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1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charts/chart29.xml" ContentType="application/vnd.openxmlformats-officedocument.drawingml.chart+xml"/>
  <Override PartName="/word/charts/chart30.xml" ContentType="application/vnd.openxmlformats-officedocument.drawingml.chart+xml"/>
  <Override PartName="/word/theme/themeOverride2.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3.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theme/themeOverride4.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5.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theme/themeOverride6.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0FE" w:rsidRDefault="008870FE" w:rsidP="00E86605">
      <w:pPr>
        <w:ind w:left="-993" w:firstLine="851"/>
        <w:jc w:val="left"/>
        <w:rPr>
          <w:rFonts w:asciiTheme="minorHAnsi" w:hAnsiTheme="minorHAnsi" w:cstheme="minorHAnsi"/>
          <w:b/>
          <w:sz w:val="36"/>
          <w:szCs w:val="36"/>
        </w:rPr>
      </w:pPr>
      <w:bookmarkStart w:id="0" w:name="_GoBack"/>
      <w:bookmarkEnd w:id="0"/>
    </w:p>
    <w:p w:rsidR="008870FE" w:rsidRDefault="008870FE" w:rsidP="00E86605">
      <w:pPr>
        <w:ind w:left="-993" w:firstLine="851"/>
        <w:jc w:val="left"/>
        <w:rPr>
          <w:rFonts w:asciiTheme="minorHAnsi" w:hAnsiTheme="minorHAnsi" w:cstheme="minorHAnsi"/>
          <w:b/>
          <w:sz w:val="36"/>
          <w:szCs w:val="36"/>
        </w:rPr>
      </w:pPr>
    </w:p>
    <w:p w:rsidR="008870FE" w:rsidRDefault="008870FE" w:rsidP="00E86605">
      <w:pPr>
        <w:ind w:left="-993" w:firstLine="851"/>
        <w:jc w:val="left"/>
        <w:rPr>
          <w:rFonts w:asciiTheme="minorHAnsi" w:hAnsiTheme="minorHAnsi" w:cstheme="minorHAnsi"/>
          <w:b/>
          <w:sz w:val="36"/>
          <w:szCs w:val="36"/>
        </w:rPr>
      </w:pPr>
    </w:p>
    <w:p w:rsidR="00F4181F" w:rsidRPr="008870FE" w:rsidRDefault="00147C2F" w:rsidP="00E86605">
      <w:pPr>
        <w:ind w:left="-993" w:firstLine="851"/>
        <w:jc w:val="left"/>
        <w:rPr>
          <w:rFonts w:asciiTheme="minorHAnsi" w:hAnsiTheme="minorHAnsi" w:cstheme="minorHAnsi"/>
          <w:b/>
          <w:sz w:val="36"/>
          <w:szCs w:val="36"/>
        </w:rPr>
      </w:pPr>
      <w:r w:rsidRPr="008870FE">
        <w:rPr>
          <w:rFonts w:asciiTheme="minorHAnsi" w:hAnsiTheme="minorHAnsi" w:cstheme="minorHAnsi"/>
          <w:b/>
          <w:sz w:val="36"/>
          <w:szCs w:val="36"/>
        </w:rPr>
        <w:t>Vedenie</w:t>
      </w:r>
    </w:p>
    <w:p w:rsidR="00F4181F" w:rsidRPr="008870FE" w:rsidRDefault="008870FE" w:rsidP="00E86605">
      <w:pPr>
        <w:ind w:left="-142"/>
        <w:jc w:val="left"/>
        <w:rPr>
          <w:rFonts w:asciiTheme="minorHAnsi" w:hAnsiTheme="minorHAnsi" w:cstheme="minorHAnsi"/>
          <w:sz w:val="36"/>
          <w:szCs w:val="36"/>
        </w:rPr>
      </w:pPr>
      <w:r>
        <w:rPr>
          <w:rFonts w:asciiTheme="minorHAnsi" w:hAnsiTheme="minorHAnsi" w:cstheme="minorHAnsi"/>
          <w:sz w:val="36"/>
          <w:szCs w:val="36"/>
        </w:rPr>
        <w:t>03.04.2019</w:t>
      </w:r>
    </w:p>
    <w:p w:rsidR="00F4181F" w:rsidRPr="00EF2265" w:rsidRDefault="00F4181F" w:rsidP="00E86605">
      <w:pPr>
        <w:ind w:left="-142"/>
        <w:jc w:val="left"/>
        <w:rPr>
          <w:rFonts w:ascii="Times New Roman" w:hAnsi="Times New Roman"/>
          <w:b/>
          <w:sz w:val="32"/>
          <w:szCs w:val="32"/>
        </w:rPr>
      </w:pPr>
    </w:p>
    <w:p w:rsidR="00F4181F" w:rsidRPr="00EF2265" w:rsidRDefault="00F4181F" w:rsidP="00E86605">
      <w:pPr>
        <w:ind w:left="-142"/>
        <w:jc w:val="left"/>
        <w:rPr>
          <w:rFonts w:ascii="Times New Roman" w:hAnsi="Times New Roman"/>
          <w:b/>
          <w:sz w:val="32"/>
          <w:szCs w:val="32"/>
        </w:rPr>
      </w:pPr>
    </w:p>
    <w:p w:rsidR="00F4181F" w:rsidRPr="008870FE" w:rsidRDefault="00147C2F" w:rsidP="00E86605">
      <w:pPr>
        <w:ind w:left="-142"/>
        <w:jc w:val="left"/>
        <w:rPr>
          <w:rFonts w:asciiTheme="minorHAnsi" w:hAnsiTheme="minorHAnsi" w:cstheme="minorHAnsi"/>
          <w:b/>
          <w:sz w:val="36"/>
          <w:szCs w:val="36"/>
        </w:rPr>
      </w:pPr>
      <w:r w:rsidRPr="008870FE">
        <w:rPr>
          <w:rFonts w:asciiTheme="minorHAnsi" w:hAnsiTheme="minorHAnsi" w:cstheme="minorHAnsi"/>
          <w:b/>
          <w:sz w:val="36"/>
          <w:szCs w:val="36"/>
        </w:rPr>
        <w:t xml:space="preserve">Výročná správa o činnosti </w:t>
      </w:r>
      <w:r w:rsidR="009045F6" w:rsidRPr="008870FE">
        <w:rPr>
          <w:rFonts w:asciiTheme="minorHAnsi" w:hAnsiTheme="minorHAnsi" w:cstheme="minorHAnsi"/>
          <w:b/>
          <w:sz w:val="36"/>
          <w:szCs w:val="36"/>
        </w:rPr>
        <w:t xml:space="preserve"> </w:t>
      </w:r>
      <w:r w:rsidRPr="008870FE">
        <w:rPr>
          <w:rFonts w:asciiTheme="minorHAnsi" w:hAnsiTheme="minorHAnsi" w:cstheme="minorHAnsi"/>
          <w:b/>
          <w:sz w:val="36"/>
          <w:szCs w:val="36"/>
        </w:rPr>
        <w:t>STU za rok 2018</w:t>
      </w:r>
    </w:p>
    <w:p w:rsidR="00F4181F" w:rsidRPr="008870FE" w:rsidRDefault="00F4181F" w:rsidP="00E86605">
      <w:pPr>
        <w:tabs>
          <w:tab w:val="left" w:pos="1985"/>
        </w:tabs>
        <w:ind w:left="-993" w:firstLine="851"/>
        <w:jc w:val="left"/>
        <w:rPr>
          <w:rFonts w:asciiTheme="minorHAnsi" w:hAnsiTheme="minorHAnsi" w:cstheme="minorHAnsi"/>
          <w:b/>
          <w:sz w:val="36"/>
          <w:szCs w:val="36"/>
        </w:rPr>
      </w:pPr>
    </w:p>
    <w:p w:rsidR="00F4181F" w:rsidRPr="008870FE" w:rsidRDefault="00F4181F" w:rsidP="00E86605">
      <w:pPr>
        <w:tabs>
          <w:tab w:val="left" w:pos="1985"/>
        </w:tabs>
        <w:ind w:left="-993" w:firstLine="851"/>
        <w:jc w:val="left"/>
        <w:rPr>
          <w:rFonts w:asciiTheme="minorHAnsi" w:hAnsiTheme="minorHAnsi" w:cstheme="minorHAnsi"/>
        </w:rPr>
      </w:pPr>
    </w:p>
    <w:p w:rsidR="00F4181F" w:rsidRPr="008870FE" w:rsidRDefault="008870FE" w:rsidP="00E86605">
      <w:pPr>
        <w:tabs>
          <w:tab w:val="left" w:pos="1985"/>
        </w:tabs>
        <w:ind w:left="-993" w:firstLine="851"/>
        <w:jc w:val="left"/>
        <w:rPr>
          <w:rFonts w:asciiTheme="minorHAnsi" w:hAnsiTheme="minorHAnsi" w:cstheme="minorHAnsi"/>
        </w:rPr>
      </w:pPr>
      <w:r>
        <w:rPr>
          <w:rFonts w:asciiTheme="minorHAnsi" w:hAnsiTheme="minorHAnsi" w:cstheme="minorHAnsi"/>
        </w:rPr>
        <w:t xml:space="preserve">  </w:t>
      </w:r>
      <w:r w:rsidR="00147C2F" w:rsidRPr="008870FE">
        <w:rPr>
          <w:rFonts w:asciiTheme="minorHAnsi" w:hAnsiTheme="minorHAnsi" w:cstheme="minorHAnsi"/>
        </w:rPr>
        <w:t>Predkladá:</w:t>
      </w:r>
      <w:r w:rsidR="00147C2F" w:rsidRPr="008870FE">
        <w:rPr>
          <w:rFonts w:asciiTheme="minorHAnsi" w:hAnsiTheme="minorHAnsi" w:cstheme="minorHAnsi"/>
        </w:rPr>
        <w:tab/>
      </w:r>
      <w:r w:rsidR="00147C2F" w:rsidRPr="008870FE">
        <w:rPr>
          <w:rFonts w:asciiTheme="minorHAnsi" w:hAnsiTheme="minorHAnsi" w:cstheme="minorHAnsi"/>
          <w:b/>
        </w:rPr>
        <w:t>prof. Ing. Marián Peciar, PhD.</w:t>
      </w:r>
    </w:p>
    <w:p w:rsidR="00F4181F" w:rsidRPr="008870FE" w:rsidRDefault="00147C2F" w:rsidP="00E86605">
      <w:pPr>
        <w:tabs>
          <w:tab w:val="left" w:pos="1985"/>
        </w:tabs>
        <w:ind w:left="-993" w:firstLine="851"/>
        <w:jc w:val="left"/>
        <w:rPr>
          <w:rFonts w:asciiTheme="minorHAnsi" w:hAnsiTheme="minorHAnsi" w:cstheme="minorHAnsi"/>
        </w:rPr>
      </w:pPr>
      <w:r w:rsidRPr="008870FE">
        <w:rPr>
          <w:rFonts w:asciiTheme="minorHAnsi" w:hAnsiTheme="minorHAnsi" w:cstheme="minorHAnsi"/>
        </w:rPr>
        <w:tab/>
        <w:t>prorektor pre spoluprácu s praxou</w:t>
      </w:r>
    </w:p>
    <w:p w:rsidR="00F4181F" w:rsidRPr="008870FE" w:rsidRDefault="00F4181F" w:rsidP="00E86605">
      <w:pPr>
        <w:tabs>
          <w:tab w:val="left" w:pos="1985"/>
        </w:tabs>
        <w:ind w:left="-993" w:firstLine="2978"/>
        <w:jc w:val="left"/>
        <w:rPr>
          <w:rFonts w:asciiTheme="minorHAnsi" w:hAnsiTheme="minorHAnsi" w:cstheme="minorHAnsi"/>
        </w:rPr>
      </w:pPr>
    </w:p>
    <w:p w:rsidR="00F4181F" w:rsidRPr="008870FE" w:rsidRDefault="00147C2F" w:rsidP="008870FE">
      <w:pPr>
        <w:tabs>
          <w:tab w:val="left" w:pos="1985"/>
        </w:tabs>
        <w:jc w:val="left"/>
        <w:rPr>
          <w:rFonts w:asciiTheme="minorHAnsi" w:hAnsiTheme="minorHAnsi" w:cstheme="minorHAnsi"/>
          <w:b/>
        </w:rPr>
      </w:pPr>
      <w:r w:rsidRPr="008870FE">
        <w:rPr>
          <w:rFonts w:asciiTheme="minorHAnsi" w:hAnsiTheme="minorHAnsi" w:cstheme="minorHAnsi"/>
        </w:rPr>
        <w:t>Vypracovala:</w:t>
      </w:r>
      <w:r w:rsidRPr="008870FE">
        <w:rPr>
          <w:rFonts w:asciiTheme="minorHAnsi" w:hAnsiTheme="minorHAnsi" w:cstheme="minorHAnsi"/>
        </w:rPr>
        <w:tab/>
      </w:r>
      <w:r w:rsidRPr="008870FE">
        <w:rPr>
          <w:rFonts w:asciiTheme="minorHAnsi" w:hAnsiTheme="minorHAnsi" w:cstheme="minorHAnsi"/>
          <w:b/>
        </w:rPr>
        <w:t>Mgr. Marianna Michelková</w:t>
      </w:r>
    </w:p>
    <w:p w:rsidR="00F4181F" w:rsidRPr="008870FE" w:rsidRDefault="00147C2F" w:rsidP="00E86605">
      <w:pPr>
        <w:tabs>
          <w:tab w:val="left" w:pos="1985"/>
        </w:tabs>
        <w:ind w:left="-993" w:firstLine="993"/>
        <w:jc w:val="left"/>
        <w:rPr>
          <w:rFonts w:asciiTheme="minorHAnsi" w:hAnsiTheme="minorHAnsi" w:cstheme="minorHAnsi"/>
        </w:rPr>
      </w:pPr>
      <w:r w:rsidRPr="008870FE">
        <w:rPr>
          <w:rFonts w:asciiTheme="minorHAnsi" w:hAnsiTheme="minorHAnsi" w:cstheme="minorHAnsi"/>
          <w:b/>
        </w:rPr>
        <w:tab/>
        <w:t xml:space="preserve">Ing. Miroslav Mihalik </w:t>
      </w:r>
    </w:p>
    <w:p w:rsidR="00F4181F" w:rsidRPr="008870FE" w:rsidRDefault="00147C2F" w:rsidP="00E86605">
      <w:pPr>
        <w:tabs>
          <w:tab w:val="left" w:pos="1985"/>
        </w:tabs>
        <w:ind w:left="-993" w:firstLine="993"/>
        <w:jc w:val="left"/>
        <w:rPr>
          <w:rFonts w:asciiTheme="minorHAnsi" w:hAnsiTheme="minorHAnsi" w:cstheme="minorHAnsi"/>
        </w:rPr>
      </w:pPr>
      <w:r w:rsidRPr="008870FE">
        <w:rPr>
          <w:rFonts w:asciiTheme="minorHAnsi" w:hAnsiTheme="minorHAnsi" w:cstheme="minorHAnsi"/>
          <w:b/>
        </w:rPr>
        <w:t xml:space="preserve">                    </w:t>
      </w:r>
      <w:r w:rsidR="002B6584" w:rsidRPr="008870FE">
        <w:rPr>
          <w:rFonts w:asciiTheme="minorHAnsi" w:hAnsiTheme="minorHAnsi" w:cstheme="minorHAnsi"/>
          <w:b/>
        </w:rPr>
        <w:t xml:space="preserve">     </w:t>
      </w:r>
      <w:r w:rsidR="008870FE">
        <w:rPr>
          <w:rFonts w:asciiTheme="minorHAnsi" w:hAnsiTheme="minorHAnsi" w:cstheme="minorHAnsi"/>
          <w:b/>
        </w:rPr>
        <w:t xml:space="preserve">            </w:t>
      </w:r>
      <w:r w:rsidRPr="008870FE">
        <w:rPr>
          <w:rFonts w:asciiTheme="minorHAnsi" w:hAnsiTheme="minorHAnsi" w:cstheme="minorHAnsi"/>
          <w:b/>
        </w:rPr>
        <w:t>Mgr. Ing. Mária Búciová</w:t>
      </w:r>
    </w:p>
    <w:p w:rsidR="00F4181F" w:rsidRPr="008870FE" w:rsidRDefault="00147C2F" w:rsidP="00E86605">
      <w:pPr>
        <w:tabs>
          <w:tab w:val="left" w:pos="1985"/>
        </w:tabs>
        <w:ind w:left="-993" w:firstLine="993"/>
        <w:jc w:val="left"/>
        <w:rPr>
          <w:rFonts w:asciiTheme="minorHAnsi" w:hAnsiTheme="minorHAnsi" w:cstheme="minorHAnsi"/>
          <w:b/>
        </w:rPr>
      </w:pPr>
      <w:r w:rsidRPr="008870FE">
        <w:rPr>
          <w:rFonts w:asciiTheme="minorHAnsi" w:hAnsiTheme="minorHAnsi" w:cstheme="minorHAnsi"/>
          <w:b/>
        </w:rPr>
        <w:tab/>
        <w:t>Mgr. Katarína Macková</w:t>
      </w:r>
    </w:p>
    <w:p w:rsidR="00F4181F" w:rsidRPr="008870FE" w:rsidRDefault="00147C2F" w:rsidP="00E86605">
      <w:pPr>
        <w:tabs>
          <w:tab w:val="left" w:pos="1985"/>
        </w:tabs>
        <w:ind w:left="-993" w:firstLine="851"/>
        <w:jc w:val="left"/>
        <w:rPr>
          <w:rFonts w:asciiTheme="minorHAnsi" w:hAnsiTheme="minorHAnsi" w:cstheme="minorHAnsi"/>
          <w:b/>
        </w:rPr>
      </w:pPr>
      <w:r w:rsidRPr="008870FE">
        <w:rPr>
          <w:rFonts w:asciiTheme="minorHAnsi" w:hAnsiTheme="minorHAnsi" w:cstheme="minorHAnsi"/>
          <w:b/>
        </w:rPr>
        <w:tab/>
      </w:r>
    </w:p>
    <w:p w:rsidR="00F4181F" w:rsidRPr="008870FE" w:rsidRDefault="00F4181F" w:rsidP="00E86605">
      <w:pPr>
        <w:tabs>
          <w:tab w:val="left" w:pos="1985"/>
        </w:tabs>
        <w:ind w:left="-993" w:firstLine="851"/>
        <w:jc w:val="left"/>
        <w:rPr>
          <w:rFonts w:asciiTheme="minorHAnsi" w:hAnsiTheme="minorHAnsi" w:cstheme="minorHAnsi"/>
          <w:b/>
        </w:rPr>
      </w:pPr>
    </w:p>
    <w:p w:rsidR="00F4181F" w:rsidRPr="008870FE" w:rsidRDefault="008870FE" w:rsidP="00E86605">
      <w:pPr>
        <w:tabs>
          <w:tab w:val="left" w:pos="1985"/>
        </w:tabs>
        <w:ind w:left="1973" w:hanging="2115"/>
        <w:jc w:val="left"/>
        <w:rPr>
          <w:rFonts w:asciiTheme="minorHAnsi" w:hAnsiTheme="minorHAnsi" w:cstheme="minorHAnsi"/>
        </w:rPr>
      </w:pPr>
      <w:r>
        <w:rPr>
          <w:rFonts w:asciiTheme="minorHAnsi" w:hAnsiTheme="minorHAnsi" w:cstheme="minorHAnsi"/>
        </w:rPr>
        <w:t xml:space="preserve">  </w:t>
      </w:r>
      <w:r w:rsidR="00147C2F" w:rsidRPr="008870FE">
        <w:rPr>
          <w:rFonts w:asciiTheme="minorHAnsi" w:hAnsiTheme="minorHAnsi" w:cstheme="minorHAnsi"/>
        </w:rPr>
        <w:t>Zdôvodnenie:</w:t>
      </w:r>
      <w:r w:rsidR="00147C2F" w:rsidRPr="008870FE">
        <w:rPr>
          <w:rFonts w:asciiTheme="minorHAnsi" w:hAnsiTheme="minorHAnsi" w:cstheme="minorHAnsi"/>
        </w:rPr>
        <w:tab/>
        <w:t>Materiál sa predkladá každoročne a je zostavený podľa požiadaviek na obsah z MŠVVaŠ SR.</w:t>
      </w:r>
    </w:p>
    <w:p w:rsidR="00F4181F" w:rsidRPr="008870FE" w:rsidRDefault="00147C2F" w:rsidP="00E86605">
      <w:pPr>
        <w:tabs>
          <w:tab w:val="left" w:pos="1985"/>
        </w:tabs>
        <w:ind w:left="1973" w:hanging="2115"/>
        <w:jc w:val="left"/>
        <w:rPr>
          <w:rFonts w:asciiTheme="minorHAnsi" w:hAnsiTheme="minorHAnsi" w:cstheme="minorHAnsi"/>
        </w:rPr>
      </w:pPr>
      <w:r w:rsidRPr="008870FE">
        <w:rPr>
          <w:rFonts w:asciiTheme="minorHAnsi" w:hAnsiTheme="minorHAnsi" w:cstheme="minorHAnsi"/>
        </w:rPr>
        <w:tab/>
      </w:r>
      <w:r w:rsidRPr="008870FE">
        <w:rPr>
          <w:rFonts w:asciiTheme="minorHAnsi" w:hAnsiTheme="minorHAnsi" w:cstheme="minorHAnsi"/>
        </w:rPr>
        <w:tab/>
        <w:t xml:space="preserve">Spolu s týmto dokumentom sa predkladá príloha s tabuľkami podľa požiadaviek MŠVVaŠ SR </w:t>
      </w:r>
      <w:r w:rsidR="004F6114" w:rsidRPr="008870FE">
        <w:rPr>
          <w:rFonts w:asciiTheme="minorHAnsi" w:hAnsiTheme="minorHAnsi" w:cstheme="minorHAnsi"/>
        </w:rPr>
        <w:t>(okrem tabu</w:t>
      </w:r>
      <w:r w:rsidR="005C59C0" w:rsidRPr="008870FE">
        <w:rPr>
          <w:rFonts w:asciiTheme="minorHAnsi" w:hAnsiTheme="minorHAnsi" w:cstheme="minorHAnsi"/>
        </w:rPr>
        <w:t>liek 6</w:t>
      </w:r>
      <w:r w:rsidR="00305181" w:rsidRPr="008870FE">
        <w:rPr>
          <w:rFonts w:asciiTheme="minorHAnsi" w:hAnsiTheme="minorHAnsi" w:cstheme="minorHAnsi"/>
        </w:rPr>
        <w:t>, 9</w:t>
      </w:r>
      <w:r w:rsidR="005C59C0" w:rsidRPr="008870FE">
        <w:rPr>
          <w:rFonts w:asciiTheme="minorHAnsi" w:hAnsiTheme="minorHAnsi" w:cstheme="minorHAnsi"/>
        </w:rPr>
        <w:t xml:space="preserve"> a</w:t>
      </w:r>
      <w:r w:rsidR="004F6114" w:rsidRPr="008870FE">
        <w:rPr>
          <w:rFonts w:asciiTheme="minorHAnsi" w:hAnsiTheme="minorHAnsi" w:cstheme="minorHAnsi"/>
        </w:rPr>
        <w:t xml:space="preserve"> 12 pre zatiaľ nedodané údaje)</w:t>
      </w:r>
    </w:p>
    <w:p w:rsidR="00F4181F" w:rsidRPr="008870FE" w:rsidRDefault="00147C2F" w:rsidP="00E86605">
      <w:pPr>
        <w:tabs>
          <w:tab w:val="left" w:pos="1985"/>
        </w:tabs>
        <w:ind w:left="1985" w:hanging="2138"/>
        <w:jc w:val="left"/>
        <w:rPr>
          <w:rFonts w:asciiTheme="minorHAnsi" w:hAnsiTheme="minorHAnsi" w:cstheme="minorHAnsi"/>
        </w:rPr>
      </w:pPr>
      <w:r w:rsidRPr="008870FE">
        <w:rPr>
          <w:rFonts w:asciiTheme="minorHAnsi" w:hAnsiTheme="minorHAnsi" w:cstheme="minorHAnsi"/>
        </w:rPr>
        <w:t xml:space="preserve">                                         </w:t>
      </w:r>
    </w:p>
    <w:p w:rsidR="00F4181F" w:rsidRPr="008870FE" w:rsidRDefault="00F4181F" w:rsidP="00E86605">
      <w:pPr>
        <w:tabs>
          <w:tab w:val="left" w:pos="1985"/>
        </w:tabs>
        <w:jc w:val="left"/>
        <w:rPr>
          <w:rFonts w:asciiTheme="minorHAnsi" w:hAnsiTheme="minorHAnsi" w:cstheme="minorHAnsi"/>
        </w:rPr>
      </w:pPr>
    </w:p>
    <w:p w:rsidR="00F4181F" w:rsidRPr="008870FE" w:rsidRDefault="008870FE" w:rsidP="00E86605">
      <w:pPr>
        <w:pStyle w:val="Default"/>
        <w:ind w:left="1985" w:hanging="2127"/>
        <w:rPr>
          <w:rFonts w:asciiTheme="minorHAnsi" w:hAnsiTheme="minorHAnsi" w:cstheme="minorHAnsi"/>
          <w:lang w:val="sk-SK"/>
        </w:rPr>
      </w:pPr>
      <w:r>
        <w:rPr>
          <w:rFonts w:asciiTheme="minorHAnsi" w:hAnsiTheme="minorHAnsi" w:cstheme="minorHAnsi"/>
          <w:lang w:val="sk-SK"/>
        </w:rPr>
        <w:t xml:space="preserve">  </w:t>
      </w:r>
      <w:r w:rsidR="00147C2F" w:rsidRPr="008870FE">
        <w:rPr>
          <w:rFonts w:asciiTheme="minorHAnsi" w:hAnsiTheme="minorHAnsi" w:cstheme="minorHAnsi"/>
          <w:lang w:val="sk-SK"/>
        </w:rPr>
        <w:t>Návrh uznesenia:</w:t>
      </w:r>
      <w:r>
        <w:rPr>
          <w:rFonts w:asciiTheme="minorHAnsi" w:hAnsiTheme="minorHAnsi" w:cstheme="minorHAnsi"/>
          <w:lang w:val="sk-SK"/>
        </w:rPr>
        <w:t xml:space="preserve">      </w:t>
      </w:r>
      <w:r w:rsidR="00147C2F" w:rsidRPr="008870FE">
        <w:rPr>
          <w:rFonts w:asciiTheme="minorHAnsi" w:hAnsiTheme="minorHAnsi" w:cstheme="minorHAnsi"/>
          <w:lang w:val="sk-SK"/>
        </w:rPr>
        <w:t>Vedenie STU schvaľuje  znenie výročnej správy o činnosti STU za rok 2018</w:t>
      </w:r>
    </w:p>
    <w:p w:rsidR="008870FE" w:rsidRDefault="00147C2F" w:rsidP="00E86605">
      <w:pPr>
        <w:pStyle w:val="Default"/>
        <w:ind w:left="1985" w:hanging="2127"/>
        <w:rPr>
          <w:rFonts w:asciiTheme="minorHAnsi" w:hAnsiTheme="minorHAnsi" w:cstheme="minorHAnsi"/>
          <w:lang w:val="sk-SK"/>
        </w:rPr>
      </w:pPr>
      <w:r w:rsidRPr="008870FE">
        <w:rPr>
          <w:rFonts w:asciiTheme="minorHAnsi" w:hAnsiTheme="minorHAnsi" w:cstheme="minorHAnsi"/>
          <w:lang w:val="sk-SK"/>
        </w:rPr>
        <w:tab/>
      </w:r>
    </w:p>
    <w:p w:rsidR="00F4181F" w:rsidRPr="008870FE" w:rsidRDefault="008870FE" w:rsidP="00E86605">
      <w:pPr>
        <w:pStyle w:val="Default"/>
        <w:ind w:left="1985" w:hanging="2127"/>
        <w:rPr>
          <w:rFonts w:asciiTheme="minorHAnsi" w:hAnsiTheme="minorHAnsi" w:cstheme="minorHAnsi"/>
          <w:lang w:val="sk-SK"/>
        </w:rPr>
      </w:pPr>
      <w:r>
        <w:rPr>
          <w:rFonts w:asciiTheme="minorHAnsi" w:hAnsiTheme="minorHAnsi" w:cstheme="minorHAnsi"/>
          <w:lang w:val="sk-SK"/>
        </w:rPr>
        <w:t xml:space="preserve">                                       a</w:t>
      </w:r>
      <w:r w:rsidR="00147C2F" w:rsidRPr="008870FE">
        <w:rPr>
          <w:rFonts w:asciiTheme="minorHAnsi" w:hAnsiTheme="minorHAnsi" w:cstheme="minorHAnsi"/>
          <w:lang w:val="sk-SK"/>
        </w:rPr>
        <w:t>) s pripomienkami</w:t>
      </w:r>
    </w:p>
    <w:p w:rsidR="00F4181F" w:rsidRPr="008870FE" w:rsidRDefault="00147C2F" w:rsidP="00E86605">
      <w:pPr>
        <w:pStyle w:val="Default"/>
        <w:tabs>
          <w:tab w:val="left" w:pos="1985"/>
        </w:tabs>
        <w:ind w:left="1985" w:hanging="2127"/>
        <w:rPr>
          <w:rFonts w:asciiTheme="minorHAnsi" w:hAnsiTheme="minorHAnsi" w:cstheme="minorHAnsi"/>
          <w:lang w:val="sk-SK"/>
        </w:rPr>
      </w:pPr>
      <w:r w:rsidRPr="008870FE">
        <w:rPr>
          <w:rFonts w:asciiTheme="minorHAnsi" w:hAnsiTheme="minorHAnsi" w:cstheme="minorHAnsi"/>
          <w:lang w:val="sk-SK"/>
        </w:rPr>
        <w:tab/>
      </w:r>
      <w:r w:rsidR="008870FE">
        <w:rPr>
          <w:rFonts w:asciiTheme="minorHAnsi" w:hAnsiTheme="minorHAnsi" w:cstheme="minorHAnsi"/>
          <w:lang w:val="sk-SK"/>
        </w:rPr>
        <w:t>b</w:t>
      </w:r>
      <w:r w:rsidRPr="008870FE">
        <w:rPr>
          <w:rFonts w:asciiTheme="minorHAnsi" w:hAnsiTheme="minorHAnsi" w:cstheme="minorHAnsi"/>
          <w:lang w:val="sk-SK"/>
        </w:rPr>
        <w:t xml:space="preserve">) bez pripomienok </w:t>
      </w:r>
    </w:p>
    <w:p w:rsidR="00F4181F" w:rsidRPr="008870FE" w:rsidRDefault="00F4181F" w:rsidP="00E86605">
      <w:pPr>
        <w:pStyle w:val="Default"/>
        <w:tabs>
          <w:tab w:val="left" w:pos="1985"/>
        </w:tabs>
        <w:ind w:left="1985" w:hanging="2127"/>
        <w:rPr>
          <w:rFonts w:asciiTheme="minorHAnsi" w:hAnsiTheme="minorHAnsi" w:cstheme="minorHAnsi"/>
          <w:lang w:val="sk-SK"/>
        </w:rPr>
      </w:pPr>
    </w:p>
    <w:p w:rsidR="008870FE" w:rsidRPr="008870FE" w:rsidRDefault="008870FE" w:rsidP="008870FE">
      <w:pPr>
        <w:pStyle w:val="Default"/>
        <w:tabs>
          <w:tab w:val="left" w:pos="1985"/>
        </w:tabs>
        <w:ind w:left="1985" w:hanging="2127"/>
        <w:rPr>
          <w:rFonts w:asciiTheme="minorHAnsi" w:hAnsiTheme="minorHAnsi" w:cstheme="minorHAnsi"/>
          <w:lang w:val="sk-SK"/>
        </w:rPr>
      </w:pPr>
      <w:r>
        <w:rPr>
          <w:rFonts w:asciiTheme="minorHAnsi" w:hAnsiTheme="minorHAnsi" w:cstheme="minorHAnsi"/>
          <w:lang w:val="sk-SK"/>
        </w:rPr>
        <w:tab/>
      </w:r>
      <w:r w:rsidRPr="008870FE">
        <w:rPr>
          <w:rFonts w:asciiTheme="minorHAnsi" w:hAnsiTheme="minorHAnsi" w:cstheme="minorHAnsi"/>
          <w:lang w:val="sk-SK"/>
        </w:rPr>
        <w:t xml:space="preserve">odporúča materiál predložiť na prerokovanie Kolégiu rektora. </w:t>
      </w:r>
    </w:p>
    <w:p w:rsidR="008870FE" w:rsidRPr="008870FE" w:rsidRDefault="008870FE" w:rsidP="008870FE">
      <w:pPr>
        <w:pStyle w:val="Default"/>
        <w:tabs>
          <w:tab w:val="left" w:pos="1985"/>
        </w:tabs>
        <w:ind w:left="1985" w:hanging="2127"/>
        <w:rPr>
          <w:rFonts w:asciiTheme="minorHAnsi" w:hAnsiTheme="minorHAnsi" w:cstheme="minorHAnsi"/>
          <w:lang w:val="sk-SK"/>
        </w:rPr>
      </w:pPr>
    </w:p>
    <w:p w:rsidR="00F4181F" w:rsidRPr="008870FE" w:rsidRDefault="008870FE" w:rsidP="00E86605">
      <w:pPr>
        <w:pStyle w:val="Default"/>
        <w:tabs>
          <w:tab w:val="left" w:pos="1985"/>
        </w:tabs>
        <w:ind w:left="1985" w:hanging="2127"/>
        <w:rPr>
          <w:rFonts w:asciiTheme="minorHAnsi" w:hAnsiTheme="minorHAnsi" w:cstheme="minorHAnsi"/>
          <w:lang w:val="sk-SK"/>
        </w:rPr>
      </w:pPr>
      <w:r>
        <w:rPr>
          <w:rFonts w:asciiTheme="minorHAnsi" w:hAnsiTheme="minorHAnsi" w:cstheme="minorHAnsi"/>
          <w:lang w:val="sk-SK"/>
        </w:rPr>
        <w:tab/>
      </w:r>
    </w:p>
    <w:p w:rsidR="00F4181F" w:rsidRPr="008870FE" w:rsidRDefault="00F4181F" w:rsidP="00E86605">
      <w:pPr>
        <w:pStyle w:val="Default"/>
        <w:tabs>
          <w:tab w:val="left" w:pos="1985"/>
        </w:tabs>
        <w:ind w:left="1985" w:hanging="2127"/>
        <w:rPr>
          <w:rFonts w:asciiTheme="minorHAnsi" w:hAnsiTheme="minorHAnsi" w:cstheme="minorHAnsi"/>
          <w:lang w:val="sk-SK"/>
        </w:rPr>
      </w:pPr>
    </w:p>
    <w:p w:rsidR="00F4181F" w:rsidRPr="008870FE" w:rsidRDefault="00F4181F" w:rsidP="00E86605">
      <w:pPr>
        <w:pStyle w:val="Default"/>
        <w:tabs>
          <w:tab w:val="left" w:pos="1985"/>
        </w:tabs>
        <w:ind w:left="1985" w:hanging="2127"/>
        <w:rPr>
          <w:rFonts w:asciiTheme="minorHAnsi" w:hAnsiTheme="minorHAnsi" w:cstheme="minorHAnsi"/>
          <w:lang w:val="sk-SK"/>
        </w:rPr>
      </w:pPr>
    </w:p>
    <w:p w:rsidR="00F4181F" w:rsidRPr="00EF2265" w:rsidRDefault="00F4181F" w:rsidP="00E86605">
      <w:pPr>
        <w:pStyle w:val="Default"/>
        <w:tabs>
          <w:tab w:val="left" w:pos="1985"/>
        </w:tabs>
        <w:ind w:left="1985" w:hanging="2127"/>
        <w:rPr>
          <w:rFonts w:ascii="Times New Roman" w:hAnsi="Times New Roman" w:cs="Times New Roman"/>
          <w:sz w:val="20"/>
          <w:szCs w:val="20"/>
          <w:lang w:val="sk-SK"/>
        </w:rPr>
      </w:pPr>
    </w:p>
    <w:p w:rsidR="00F4181F" w:rsidRPr="00EF2265" w:rsidRDefault="00F4181F" w:rsidP="00E86605">
      <w:pPr>
        <w:pStyle w:val="Default"/>
        <w:tabs>
          <w:tab w:val="left" w:pos="1985"/>
        </w:tabs>
        <w:ind w:left="1985" w:hanging="2127"/>
        <w:rPr>
          <w:rFonts w:ascii="Times New Roman" w:hAnsi="Times New Roman" w:cs="Times New Roman"/>
          <w:sz w:val="20"/>
          <w:szCs w:val="20"/>
          <w:lang w:val="sk-SK"/>
        </w:rPr>
      </w:pPr>
    </w:p>
    <w:p w:rsidR="00F4181F" w:rsidRPr="00EF2265" w:rsidRDefault="00F4181F" w:rsidP="00E86605">
      <w:pPr>
        <w:pStyle w:val="Default"/>
        <w:tabs>
          <w:tab w:val="left" w:pos="1985"/>
        </w:tabs>
        <w:ind w:left="1985" w:hanging="2127"/>
        <w:rPr>
          <w:rFonts w:ascii="Times New Roman" w:hAnsi="Times New Roman" w:cs="Times New Roman"/>
          <w:sz w:val="20"/>
          <w:szCs w:val="20"/>
          <w:lang w:val="sk-SK"/>
        </w:rPr>
      </w:pPr>
    </w:p>
    <w:p w:rsidR="00F4181F" w:rsidRPr="00EF2265" w:rsidRDefault="00F4181F" w:rsidP="00E86605">
      <w:pPr>
        <w:pStyle w:val="Default"/>
        <w:tabs>
          <w:tab w:val="left" w:pos="1985"/>
        </w:tabs>
        <w:ind w:left="1985" w:hanging="2127"/>
        <w:rPr>
          <w:rFonts w:ascii="Times New Roman" w:hAnsi="Times New Roman" w:cs="Times New Roman"/>
          <w:sz w:val="20"/>
          <w:szCs w:val="20"/>
          <w:lang w:val="sk-SK"/>
        </w:rPr>
      </w:pPr>
    </w:p>
    <w:p w:rsidR="00F4181F" w:rsidRPr="00EF2265" w:rsidRDefault="00F4181F" w:rsidP="00E86605">
      <w:pPr>
        <w:pStyle w:val="Default"/>
        <w:tabs>
          <w:tab w:val="left" w:pos="1985"/>
        </w:tabs>
        <w:ind w:left="1985" w:hanging="2127"/>
        <w:rPr>
          <w:rFonts w:ascii="Times New Roman" w:hAnsi="Times New Roman" w:cs="Times New Roman"/>
          <w:sz w:val="20"/>
          <w:szCs w:val="20"/>
          <w:lang w:val="sk-SK"/>
        </w:rPr>
      </w:pPr>
    </w:p>
    <w:p w:rsidR="00F4181F" w:rsidRPr="00EF2265" w:rsidRDefault="00F4181F" w:rsidP="00E86605">
      <w:pPr>
        <w:pStyle w:val="Default"/>
        <w:tabs>
          <w:tab w:val="left" w:pos="1985"/>
        </w:tabs>
        <w:ind w:left="1985" w:hanging="2127"/>
        <w:rPr>
          <w:rFonts w:ascii="Times New Roman" w:hAnsi="Times New Roman" w:cs="Times New Roman"/>
          <w:sz w:val="20"/>
          <w:szCs w:val="20"/>
          <w:lang w:val="sk-SK"/>
        </w:rPr>
      </w:pPr>
    </w:p>
    <w:p w:rsidR="00F4181F" w:rsidRDefault="00F4181F" w:rsidP="00E86605">
      <w:pPr>
        <w:pStyle w:val="Default"/>
        <w:tabs>
          <w:tab w:val="left" w:pos="1985"/>
        </w:tabs>
        <w:ind w:left="1985" w:hanging="2127"/>
        <w:rPr>
          <w:rFonts w:ascii="Times New Roman" w:hAnsi="Times New Roman" w:cs="Times New Roman"/>
          <w:sz w:val="20"/>
          <w:szCs w:val="20"/>
          <w:lang w:val="sk-SK"/>
        </w:rPr>
      </w:pPr>
    </w:p>
    <w:p w:rsidR="008870FE" w:rsidRDefault="008870FE" w:rsidP="00E86605">
      <w:pPr>
        <w:pStyle w:val="Default"/>
        <w:tabs>
          <w:tab w:val="left" w:pos="1985"/>
        </w:tabs>
        <w:ind w:left="1985" w:hanging="2127"/>
        <w:rPr>
          <w:rFonts w:ascii="Times New Roman" w:hAnsi="Times New Roman" w:cs="Times New Roman"/>
          <w:sz w:val="20"/>
          <w:szCs w:val="20"/>
          <w:lang w:val="sk-SK"/>
        </w:rPr>
      </w:pPr>
    </w:p>
    <w:p w:rsidR="008870FE" w:rsidRDefault="008870FE" w:rsidP="00E86605">
      <w:pPr>
        <w:pStyle w:val="Default"/>
        <w:tabs>
          <w:tab w:val="left" w:pos="1985"/>
        </w:tabs>
        <w:ind w:left="1985" w:hanging="2127"/>
        <w:rPr>
          <w:rFonts w:ascii="Times New Roman" w:hAnsi="Times New Roman" w:cs="Times New Roman"/>
          <w:sz w:val="20"/>
          <w:szCs w:val="20"/>
          <w:lang w:val="sk-SK"/>
        </w:rPr>
      </w:pPr>
    </w:p>
    <w:p w:rsidR="008870FE" w:rsidRDefault="008870FE" w:rsidP="00E86605">
      <w:pPr>
        <w:pStyle w:val="Default"/>
        <w:tabs>
          <w:tab w:val="left" w:pos="1985"/>
        </w:tabs>
        <w:ind w:left="1985" w:hanging="2127"/>
        <w:rPr>
          <w:rFonts w:ascii="Times New Roman" w:hAnsi="Times New Roman" w:cs="Times New Roman"/>
          <w:sz w:val="20"/>
          <w:szCs w:val="20"/>
          <w:lang w:val="sk-SK"/>
        </w:rPr>
      </w:pPr>
    </w:p>
    <w:p w:rsidR="008870FE" w:rsidRDefault="008870FE" w:rsidP="00E86605">
      <w:pPr>
        <w:pStyle w:val="Default"/>
        <w:tabs>
          <w:tab w:val="left" w:pos="1985"/>
        </w:tabs>
        <w:ind w:left="1985" w:hanging="2127"/>
        <w:rPr>
          <w:rFonts w:ascii="Times New Roman" w:hAnsi="Times New Roman" w:cs="Times New Roman"/>
          <w:sz w:val="20"/>
          <w:szCs w:val="20"/>
          <w:lang w:val="sk-SK"/>
        </w:rPr>
      </w:pPr>
    </w:p>
    <w:p w:rsidR="008870FE" w:rsidRDefault="008870FE" w:rsidP="00E86605">
      <w:pPr>
        <w:pStyle w:val="Default"/>
        <w:tabs>
          <w:tab w:val="left" w:pos="1985"/>
        </w:tabs>
        <w:ind w:left="1985" w:hanging="2127"/>
        <w:rPr>
          <w:rFonts w:ascii="Times New Roman" w:hAnsi="Times New Roman" w:cs="Times New Roman"/>
          <w:sz w:val="20"/>
          <w:szCs w:val="20"/>
          <w:lang w:val="sk-SK"/>
        </w:rPr>
      </w:pP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lastRenderedPageBreak/>
        <w:t>Obsah</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1</w:t>
      </w:r>
      <w:r w:rsidRPr="007C1FE7">
        <w:rPr>
          <w:rFonts w:ascii="Times New Roman" w:hAnsi="Times New Roman"/>
          <w:color w:val="auto"/>
          <w:sz w:val="20"/>
          <w:szCs w:val="20"/>
        </w:rPr>
        <w:tab/>
        <w:t>Základné informácie o vysokej škole......................................................</w:t>
      </w:r>
      <w:r w:rsidR="00F835AA">
        <w:rPr>
          <w:rFonts w:ascii="Times New Roman" w:hAnsi="Times New Roman"/>
          <w:color w:val="auto"/>
          <w:sz w:val="20"/>
          <w:szCs w:val="20"/>
        </w:rPr>
        <w:t>................</w:t>
      </w:r>
      <w:r w:rsidRPr="007C1FE7">
        <w:rPr>
          <w:rFonts w:ascii="Times New Roman" w:hAnsi="Times New Roman"/>
          <w:color w:val="auto"/>
          <w:sz w:val="20"/>
          <w:szCs w:val="20"/>
        </w:rPr>
        <w:t>....................4</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2</w:t>
      </w:r>
      <w:r w:rsidRPr="007C1FE7">
        <w:rPr>
          <w:rFonts w:ascii="Times New Roman" w:hAnsi="Times New Roman"/>
          <w:color w:val="auto"/>
          <w:sz w:val="20"/>
          <w:szCs w:val="20"/>
        </w:rPr>
        <w:tab/>
        <w:t>Prehľad najdôležitejších udalostí.........................................................................</w:t>
      </w:r>
      <w:r w:rsidR="00F835AA">
        <w:rPr>
          <w:rFonts w:ascii="Times New Roman" w:hAnsi="Times New Roman"/>
          <w:color w:val="auto"/>
          <w:sz w:val="20"/>
          <w:szCs w:val="20"/>
        </w:rPr>
        <w:t>.....................</w:t>
      </w:r>
      <w:r w:rsidRPr="007C1FE7">
        <w:rPr>
          <w:rFonts w:ascii="Times New Roman" w:hAnsi="Times New Roman"/>
          <w:color w:val="auto"/>
          <w:sz w:val="20"/>
          <w:szCs w:val="20"/>
        </w:rPr>
        <w:t>...4</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3</w:t>
      </w:r>
      <w:r w:rsidRPr="007C1FE7">
        <w:rPr>
          <w:rFonts w:ascii="Times New Roman" w:hAnsi="Times New Roman"/>
          <w:color w:val="auto"/>
          <w:sz w:val="20"/>
          <w:szCs w:val="20"/>
        </w:rPr>
        <w:tab/>
        <w:t>Informácie o poskytovanom vysokoškolskom vzdelávaní..........................................................12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3.1.  </w:t>
      </w:r>
      <w:r w:rsidR="00F835AA">
        <w:rPr>
          <w:rFonts w:ascii="Times New Roman" w:hAnsi="Times New Roman"/>
          <w:color w:val="auto"/>
          <w:sz w:val="20"/>
          <w:szCs w:val="20"/>
        </w:rPr>
        <w:tab/>
      </w:r>
      <w:r w:rsidRPr="007C1FE7">
        <w:rPr>
          <w:rFonts w:ascii="Times New Roman" w:hAnsi="Times New Roman"/>
          <w:color w:val="auto"/>
          <w:sz w:val="20"/>
          <w:szCs w:val="20"/>
        </w:rPr>
        <w:t>Študijné programy na STU  .....</w:t>
      </w:r>
      <w:r w:rsidR="00F835AA">
        <w:rPr>
          <w:rFonts w:ascii="Times New Roman" w:hAnsi="Times New Roman"/>
          <w:color w:val="auto"/>
          <w:sz w:val="20"/>
          <w:szCs w:val="20"/>
        </w:rPr>
        <w:t>..............</w:t>
      </w:r>
      <w:r w:rsidRPr="007C1FE7">
        <w:rPr>
          <w:rFonts w:ascii="Times New Roman" w:hAnsi="Times New Roman"/>
          <w:color w:val="auto"/>
          <w:sz w:val="20"/>
          <w:szCs w:val="20"/>
        </w:rPr>
        <w:t>..........................................................................</w:t>
      </w:r>
      <w:r w:rsidR="00F835AA">
        <w:rPr>
          <w:rFonts w:ascii="Times New Roman" w:hAnsi="Times New Roman"/>
          <w:color w:val="auto"/>
          <w:sz w:val="20"/>
          <w:szCs w:val="20"/>
        </w:rPr>
        <w:t>.........</w:t>
      </w:r>
      <w:r w:rsidRPr="007C1FE7">
        <w:rPr>
          <w:rFonts w:ascii="Times New Roman" w:hAnsi="Times New Roman"/>
          <w:color w:val="auto"/>
          <w:sz w:val="20"/>
          <w:szCs w:val="20"/>
        </w:rPr>
        <w:t>..12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3.2. </w:t>
      </w:r>
      <w:r w:rsidR="00F835AA">
        <w:rPr>
          <w:rFonts w:ascii="Times New Roman" w:hAnsi="Times New Roman"/>
          <w:color w:val="auto"/>
          <w:sz w:val="20"/>
          <w:szCs w:val="20"/>
        </w:rPr>
        <w:tab/>
      </w:r>
      <w:r w:rsidRPr="007C1FE7">
        <w:rPr>
          <w:rFonts w:ascii="Times New Roman" w:hAnsi="Times New Roman"/>
          <w:color w:val="auto"/>
          <w:sz w:val="20"/>
          <w:szCs w:val="20"/>
        </w:rPr>
        <w:t>Počty a štruktúra študentov na STU    .....................................................................</w:t>
      </w:r>
      <w:r w:rsidR="00F835AA">
        <w:rPr>
          <w:rFonts w:ascii="Times New Roman" w:hAnsi="Times New Roman"/>
          <w:color w:val="auto"/>
          <w:sz w:val="20"/>
          <w:szCs w:val="20"/>
        </w:rPr>
        <w:t>.................</w:t>
      </w:r>
      <w:r w:rsidRPr="007C1FE7">
        <w:rPr>
          <w:rFonts w:ascii="Times New Roman" w:hAnsi="Times New Roman"/>
          <w:color w:val="auto"/>
          <w:sz w:val="20"/>
          <w:szCs w:val="20"/>
        </w:rPr>
        <w:t>..16</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3.2.1  </w:t>
      </w:r>
      <w:r w:rsidR="00F835AA">
        <w:rPr>
          <w:rFonts w:ascii="Times New Roman" w:hAnsi="Times New Roman"/>
          <w:color w:val="auto"/>
          <w:sz w:val="20"/>
          <w:szCs w:val="20"/>
        </w:rPr>
        <w:tab/>
      </w:r>
      <w:r w:rsidRPr="007C1FE7">
        <w:rPr>
          <w:rFonts w:ascii="Times New Roman" w:hAnsi="Times New Roman"/>
          <w:color w:val="auto"/>
          <w:sz w:val="20"/>
          <w:szCs w:val="20"/>
        </w:rPr>
        <w:t>Prvý stupeň štúdia - počet a úbytok študentov.............................................................</w:t>
      </w:r>
      <w:r w:rsidR="00F835AA">
        <w:rPr>
          <w:rFonts w:ascii="Times New Roman" w:hAnsi="Times New Roman"/>
          <w:color w:val="auto"/>
          <w:sz w:val="20"/>
          <w:szCs w:val="20"/>
        </w:rPr>
        <w:t>............</w:t>
      </w:r>
      <w:r w:rsidRPr="007C1FE7">
        <w:rPr>
          <w:rFonts w:ascii="Times New Roman" w:hAnsi="Times New Roman"/>
          <w:color w:val="auto"/>
          <w:sz w:val="20"/>
          <w:szCs w:val="20"/>
        </w:rPr>
        <w:t>...21</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3.2.2</w:t>
      </w:r>
      <w:r w:rsidRPr="007C1FE7">
        <w:rPr>
          <w:rFonts w:ascii="Times New Roman" w:hAnsi="Times New Roman"/>
          <w:color w:val="auto"/>
          <w:sz w:val="20"/>
          <w:szCs w:val="20"/>
        </w:rPr>
        <w:tab/>
        <w:t>Druhý stupeň štúdia - počet a úbytok študentov........................................................</w:t>
      </w:r>
      <w:r w:rsidR="00F835AA">
        <w:rPr>
          <w:rFonts w:ascii="Times New Roman" w:hAnsi="Times New Roman"/>
          <w:color w:val="auto"/>
          <w:sz w:val="20"/>
          <w:szCs w:val="20"/>
        </w:rPr>
        <w:t>............</w:t>
      </w:r>
      <w:r w:rsidRPr="007C1FE7">
        <w:rPr>
          <w:rFonts w:ascii="Times New Roman" w:hAnsi="Times New Roman"/>
          <w:color w:val="auto"/>
          <w:sz w:val="20"/>
          <w:szCs w:val="20"/>
        </w:rPr>
        <w:t>.....22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3.2.3</w:t>
      </w:r>
      <w:r w:rsidRPr="007C1FE7">
        <w:rPr>
          <w:rFonts w:ascii="Times New Roman" w:hAnsi="Times New Roman"/>
          <w:color w:val="auto"/>
          <w:sz w:val="20"/>
          <w:szCs w:val="20"/>
        </w:rPr>
        <w:tab/>
        <w:t>Tretí stupeň štúdia - počet a úbytok študentov............................................................</w:t>
      </w:r>
      <w:r w:rsidR="00F835AA">
        <w:rPr>
          <w:rFonts w:ascii="Times New Roman" w:hAnsi="Times New Roman"/>
          <w:color w:val="auto"/>
          <w:sz w:val="20"/>
          <w:szCs w:val="20"/>
        </w:rPr>
        <w:t>..............</w:t>
      </w:r>
      <w:r w:rsidRPr="007C1FE7">
        <w:rPr>
          <w:rFonts w:ascii="Times New Roman" w:hAnsi="Times New Roman"/>
          <w:color w:val="auto"/>
          <w:sz w:val="20"/>
          <w:szCs w:val="20"/>
        </w:rPr>
        <w:t>..22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3.3.1</w:t>
      </w:r>
      <w:r w:rsidRPr="007C1FE7">
        <w:rPr>
          <w:rFonts w:ascii="Times New Roman" w:hAnsi="Times New Roman"/>
          <w:color w:val="auto"/>
          <w:sz w:val="20"/>
          <w:szCs w:val="20"/>
        </w:rPr>
        <w:tab/>
        <w:t>Štruktúra študentov z hľadiska krajov Slovenska.......................................................</w:t>
      </w:r>
      <w:r w:rsidR="00F835AA">
        <w:rPr>
          <w:rFonts w:ascii="Times New Roman" w:hAnsi="Times New Roman"/>
          <w:color w:val="auto"/>
          <w:sz w:val="20"/>
          <w:szCs w:val="20"/>
        </w:rPr>
        <w:t>.........</w:t>
      </w:r>
      <w:r w:rsidRPr="007C1FE7">
        <w:rPr>
          <w:rFonts w:ascii="Times New Roman" w:hAnsi="Times New Roman"/>
          <w:color w:val="auto"/>
          <w:sz w:val="20"/>
          <w:szCs w:val="20"/>
        </w:rPr>
        <w:t>.......23</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3.3.2</w:t>
      </w:r>
      <w:r w:rsidRPr="007C1FE7">
        <w:rPr>
          <w:rFonts w:ascii="Times New Roman" w:hAnsi="Times New Roman"/>
          <w:color w:val="auto"/>
          <w:sz w:val="20"/>
          <w:szCs w:val="20"/>
        </w:rPr>
        <w:tab/>
        <w:t>Zahraniční študenti</w:t>
      </w:r>
      <w:r w:rsidR="00F835AA">
        <w:rPr>
          <w:rFonts w:ascii="Times New Roman" w:hAnsi="Times New Roman"/>
          <w:color w:val="auto"/>
          <w:sz w:val="20"/>
          <w:szCs w:val="20"/>
        </w:rPr>
        <w:t>..................</w:t>
      </w:r>
      <w:r w:rsidRPr="007C1FE7">
        <w:rPr>
          <w:rFonts w:ascii="Times New Roman" w:hAnsi="Times New Roman"/>
          <w:color w:val="auto"/>
          <w:sz w:val="20"/>
          <w:szCs w:val="20"/>
        </w:rPr>
        <w:t>....................................................................................</w:t>
      </w:r>
      <w:r w:rsidR="00F835AA">
        <w:rPr>
          <w:rFonts w:ascii="Times New Roman" w:hAnsi="Times New Roman"/>
          <w:color w:val="auto"/>
          <w:sz w:val="20"/>
          <w:szCs w:val="20"/>
        </w:rPr>
        <w:t>............</w:t>
      </w:r>
      <w:r w:rsidRPr="007C1FE7">
        <w:rPr>
          <w:rFonts w:ascii="Times New Roman" w:hAnsi="Times New Roman"/>
          <w:color w:val="auto"/>
          <w:sz w:val="20"/>
          <w:szCs w:val="20"/>
        </w:rPr>
        <w:t>....24</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3.4.   </w:t>
      </w:r>
      <w:r w:rsidR="00F835AA">
        <w:rPr>
          <w:rFonts w:ascii="Times New Roman" w:hAnsi="Times New Roman"/>
          <w:color w:val="auto"/>
          <w:sz w:val="20"/>
          <w:szCs w:val="20"/>
        </w:rPr>
        <w:tab/>
      </w:r>
      <w:r w:rsidRPr="007C1FE7">
        <w:rPr>
          <w:rFonts w:ascii="Times New Roman" w:hAnsi="Times New Roman"/>
          <w:color w:val="auto"/>
          <w:sz w:val="20"/>
          <w:szCs w:val="20"/>
        </w:rPr>
        <w:t>Informácie o akademickej mobilite na STU..........................................................</w:t>
      </w:r>
      <w:r w:rsidR="00F835AA">
        <w:rPr>
          <w:rFonts w:ascii="Times New Roman" w:hAnsi="Times New Roman"/>
          <w:color w:val="auto"/>
          <w:sz w:val="20"/>
          <w:szCs w:val="20"/>
        </w:rPr>
        <w:t>...........</w:t>
      </w:r>
      <w:r w:rsidRPr="007C1FE7">
        <w:rPr>
          <w:rFonts w:ascii="Times New Roman" w:hAnsi="Times New Roman"/>
          <w:color w:val="auto"/>
          <w:sz w:val="20"/>
          <w:szCs w:val="20"/>
        </w:rPr>
        <w:t>...........27</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3.5.   </w:t>
      </w:r>
      <w:r w:rsidR="00F835AA">
        <w:rPr>
          <w:rFonts w:ascii="Times New Roman" w:hAnsi="Times New Roman"/>
          <w:color w:val="auto"/>
          <w:sz w:val="20"/>
          <w:szCs w:val="20"/>
        </w:rPr>
        <w:tab/>
      </w:r>
      <w:r w:rsidRPr="007C1FE7">
        <w:rPr>
          <w:rFonts w:ascii="Times New Roman" w:hAnsi="Times New Roman"/>
          <w:color w:val="auto"/>
          <w:sz w:val="20"/>
          <w:szCs w:val="20"/>
        </w:rPr>
        <w:t>Informácie o záujme o štúdium a výsledkoch prijímacieho konania</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w:t>
      </w:r>
      <w:r w:rsidR="00F835AA">
        <w:rPr>
          <w:rFonts w:ascii="Times New Roman" w:hAnsi="Times New Roman"/>
          <w:color w:val="auto"/>
          <w:sz w:val="20"/>
          <w:szCs w:val="20"/>
        </w:rPr>
        <w:tab/>
      </w:r>
      <w:r w:rsidRPr="007C1FE7">
        <w:rPr>
          <w:rFonts w:ascii="Times New Roman" w:hAnsi="Times New Roman"/>
          <w:color w:val="auto"/>
          <w:sz w:val="20"/>
          <w:szCs w:val="20"/>
        </w:rPr>
        <w:t>na akademický rok 2018/201931...........................................................................</w:t>
      </w:r>
      <w:r w:rsidR="00F835AA">
        <w:rPr>
          <w:rFonts w:ascii="Times New Roman" w:hAnsi="Times New Roman"/>
          <w:color w:val="auto"/>
          <w:sz w:val="20"/>
          <w:szCs w:val="20"/>
        </w:rPr>
        <w:t>.................</w:t>
      </w:r>
      <w:r w:rsidRPr="007C1FE7">
        <w:rPr>
          <w:rFonts w:ascii="Times New Roman" w:hAnsi="Times New Roman"/>
          <w:color w:val="auto"/>
          <w:sz w:val="20"/>
          <w:szCs w:val="20"/>
        </w:rPr>
        <w:t>.....31</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3.5.1</w:t>
      </w:r>
      <w:r w:rsidRPr="007C1FE7">
        <w:rPr>
          <w:rFonts w:ascii="Times New Roman" w:hAnsi="Times New Roman"/>
          <w:color w:val="auto"/>
          <w:sz w:val="20"/>
          <w:szCs w:val="20"/>
        </w:rPr>
        <w:tab/>
        <w:t>Prijímacie konanie na prvý stupeň štúdia..................................................................</w:t>
      </w:r>
      <w:r w:rsidR="00F835AA">
        <w:rPr>
          <w:rFonts w:ascii="Times New Roman" w:hAnsi="Times New Roman"/>
          <w:color w:val="auto"/>
          <w:sz w:val="20"/>
          <w:szCs w:val="20"/>
        </w:rPr>
        <w:t>...............</w:t>
      </w:r>
      <w:r w:rsidRPr="007C1FE7">
        <w:rPr>
          <w:rFonts w:ascii="Times New Roman" w:hAnsi="Times New Roman"/>
          <w:color w:val="auto"/>
          <w:sz w:val="20"/>
          <w:szCs w:val="20"/>
        </w:rPr>
        <w:t>...33</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3.5.2  </w:t>
      </w:r>
      <w:r w:rsidR="00F835AA">
        <w:rPr>
          <w:rFonts w:ascii="Times New Roman" w:hAnsi="Times New Roman"/>
          <w:color w:val="auto"/>
          <w:sz w:val="20"/>
          <w:szCs w:val="20"/>
        </w:rPr>
        <w:tab/>
      </w:r>
      <w:r w:rsidRPr="007C1FE7">
        <w:rPr>
          <w:rFonts w:ascii="Times New Roman" w:hAnsi="Times New Roman"/>
          <w:color w:val="auto"/>
          <w:sz w:val="20"/>
          <w:szCs w:val="20"/>
        </w:rPr>
        <w:t>Prijímacie konanie na druhý stupeň štúdia..............................................................</w:t>
      </w:r>
      <w:r w:rsidR="00F835AA">
        <w:rPr>
          <w:rFonts w:ascii="Times New Roman" w:hAnsi="Times New Roman"/>
          <w:color w:val="auto"/>
          <w:sz w:val="20"/>
          <w:szCs w:val="20"/>
        </w:rPr>
        <w:t>..............</w:t>
      </w:r>
      <w:r w:rsidRPr="007C1FE7">
        <w:rPr>
          <w:rFonts w:ascii="Times New Roman" w:hAnsi="Times New Roman"/>
          <w:color w:val="auto"/>
          <w:sz w:val="20"/>
          <w:szCs w:val="20"/>
        </w:rPr>
        <w:t>......36</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3.5.3  </w:t>
      </w:r>
      <w:r w:rsidR="00F835AA">
        <w:rPr>
          <w:rFonts w:ascii="Times New Roman" w:hAnsi="Times New Roman"/>
          <w:color w:val="auto"/>
          <w:sz w:val="20"/>
          <w:szCs w:val="20"/>
        </w:rPr>
        <w:tab/>
      </w:r>
      <w:r w:rsidRPr="007C1FE7">
        <w:rPr>
          <w:rFonts w:ascii="Times New Roman" w:hAnsi="Times New Roman"/>
          <w:color w:val="auto"/>
          <w:sz w:val="20"/>
          <w:szCs w:val="20"/>
        </w:rPr>
        <w:t>Prijímacie konanie na tretí stupeň štúdia................................................................</w:t>
      </w:r>
      <w:r w:rsidR="00F835AA">
        <w:rPr>
          <w:rFonts w:ascii="Times New Roman" w:hAnsi="Times New Roman"/>
          <w:color w:val="auto"/>
          <w:sz w:val="20"/>
          <w:szCs w:val="20"/>
        </w:rPr>
        <w:t>.................</w:t>
      </w:r>
      <w:r w:rsidRPr="007C1FE7">
        <w:rPr>
          <w:rFonts w:ascii="Times New Roman" w:hAnsi="Times New Roman"/>
          <w:color w:val="auto"/>
          <w:sz w:val="20"/>
          <w:szCs w:val="20"/>
        </w:rPr>
        <w:t>....38</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3.5.4</w:t>
      </w:r>
      <w:r w:rsidRPr="007C1FE7">
        <w:rPr>
          <w:rFonts w:ascii="Times New Roman" w:hAnsi="Times New Roman"/>
          <w:color w:val="auto"/>
          <w:sz w:val="20"/>
          <w:szCs w:val="20"/>
        </w:rPr>
        <w:tab/>
        <w:t>Preskúmanie rozhodnutí o výsledku prijímacieho konania.................................................</w:t>
      </w:r>
      <w:r w:rsidR="00F835AA">
        <w:rPr>
          <w:rFonts w:ascii="Times New Roman" w:hAnsi="Times New Roman"/>
          <w:color w:val="auto"/>
          <w:sz w:val="20"/>
          <w:szCs w:val="20"/>
        </w:rPr>
        <w:t>..</w:t>
      </w:r>
      <w:r w:rsidRPr="007C1FE7">
        <w:rPr>
          <w:rFonts w:ascii="Times New Roman" w:hAnsi="Times New Roman"/>
          <w:color w:val="auto"/>
          <w:sz w:val="20"/>
          <w:szCs w:val="20"/>
        </w:rPr>
        <w:t>......39</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3.5.5</w:t>
      </w:r>
      <w:r w:rsidRPr="007C1FE7">
        <w:rPr>
          <w:rFonts w:ascii="Times New Roman" w:hAnsi="Times New Roman"/>
          <w:color w:val="auto"/>
          <w:sz w:val="20"/>
          <w:szCs w:val="20"/>
        </w:rPr>
        <w:tab/>
        <w:t>Vyhodnotenie prijímacieho konania na STU na akademický rok 2018/2019.............................40</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3.6.   </w:t>
      </w:r>
      <w:r w:rsidR="00F835AA">
        <w:rPr>
          <w:rFonts w:ascii="Times New Roman" w:hAnsi="Times New Roman"/>
          <w:color w:val="auto"/>
          <w:sz w:val="20"/>
          <w:szCs w:val="20"/>
        </w:rPr>
        <w:tab/>
      </w:r>
      <w:r w:rsidRPr="007C1FE7">
        <w:rPr>
          <w:rFonts w:ascii="Times New Roman" w:hAnsi="Times New Roman"/>
          <w:color w:val="auto"/>
          <w:sz w:val="20"/>
          <w:szCs w:val="20"/>
        </w:rPr>
        <w:t>Údaje o absolventoch vysokoškolského štúdia...............................................................</w:t>
      </w:r>
      <w:r w:rsidR="00F835AA">
        <w:rPr>
          <w:rFonts w:ascii="Times New Roman" w:hAnsi="Times New Roman"/>
          <w:color w:val="auto"/>
          <w:sz w:val="20"/>
          <w:szCs w:val="20"/>
        </w:rPr>
        <w:t>..........</w:t>
      </w:r>
      <w:r w:rsidRPr="007C1FE7">
        <w:rPr>
          <w:rFonts w:ascii="Times New Roman" w:hAnsi="Times New Roman"/>
          <w:color w:val="auto"/>
          <w:sz w:val="20"/>
          <w:szCs w:val="20"/>
        </w:rPr>
        <w:t>...42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3.7.   </w:t>
      </w:r>
      <w:r w:rsidR="00F835AA">
        <w:rPr>
          <w:rFonts w:ascii="Times New Roman" w:hAnsi="Times New Roman"/>
          <w:color w:val="auto"/>
          <w:sz w:val="20"/>
          <w:szCs w:val="20"/>
        </w:rPr>
        <w:tab/>
      </w:r>
      <w:r w:rsidRPr="007C1FE7">
        <w:rPr>
          <w:rFonts w:ascii="Times New Roman" w:hAnsi="Times New Roman"/>
          <w:color w:val="auto"/>
          <w:sz w:val="20"/>
          <w:szCs w:val="20"/>
        </w:rPr>
        <w:t>Prehľad úspechov, ktoré dosiahli študenti na národnej a medzinárodnej úrovni.........................44</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3.8.   </w:t>
      </w:r>
      <w:r w:rsidR="00F835AA">
        <w:rPr>
          <w:rFonts w:ascii="Times New Roman" w:hAnsi="Times New Roman"/>
          <w:color w:val="auto"/>
          <w:sz w:val="20"/>
          <w:szCs w:val="20"/>
        </w:rPr>
        <w:tab/>
      </w:r>
      <w:r w:rsidRPr="007C1FE7">
        <w:rPr>
          <w:rFonts w:ascii="Times New Roman" w:hAnsi="Times New Roman"/>
          <w:color w:val="auto"/>
          <w:sz w:val="20"/>
          <w:szCs w:val="20"/>
        </w:rPr>
        <w:t>Prehľad ocenení študentov v rámci STU.....................................................................</w:t>
      </w:r>
      <w:r w:rsidR="00F835AA">
        <w:rPr>
          <w:rFonts w:ascii="Times New Roman" w:hAnsi="Times New Roman"/>
          <w:color w:val="auto"/>
          <w:sz w:val="20"/>
          <w:szCs w:val="20"/>
        </w:rPr>
        <w:t>..............</w:t>
      </w:r>
      <w:r w:rsidRPr="007C1FE7">
        <w:rPr>
          <w:rFonts w:ascii="Times New Roman" w:hAnsi="Times New Roman"/>
          <w:color w:val="auto"/>
          <w:sz w:val="20"/>
          <w:szCs w:val="20"/>
        </w:rPr>
        <w:t>...47</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3.9.</w:t>
      </w:r>
      <w:r w:rsidRPr="007C1FE7">
        <w:rPr>
          <w:rFonts w:ascii="Times New Roman" w:hAnsi="Times New Roman"/>
          <w:color w:val="auto"/>
          <w:sz w:val="20"/>
          <w:szCs w:val="20"/>
        </w:rPr>
        <w:tab/>
        <w:t>Študentská vedecká odborná činnosť na STU...............................................................</w:t>
      </w:r>
      <w:r w:rsidR="00F835AA">
        <w:rPr>
          <w:rFonts w:ascii="Times New Roman" w:hAnsi="Times New Roman"/>
          <w:color w:val="auto"/>
          <w:sz w:val="20"/>
          <w:szCs w:val="20"/>
        </w:rPr>
        <w:t>..........</w:t>
      </w:r>
      <w:r w:rsidRPr="007C1FE7">
        <w:rPr>
          <w:rFonts w:ascii="Times New Roman" w:hAnsi="Times New Roman"/>
          <w:color w:val="auto"/>
          <w:sz w:val="20"/>
          <w:szCs w:val="20"/>
        </w:rPr>
        <w:t>.....48</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4.      </w:t>
      </w:r>
      <w:r w:rsidR="00F835AA">
        <w:rPr>
          <w:rFonts w:ascii="Times New Roman" w:hAnsi="Times New Roman"/>
          <w:color w:val="auto"/>
          <w:sz w:val="20"/>
          <w:szCs w:val="20"/>
        </w:rPr>
        <w:tab/>
      </w:r>
      <w:r w:rsidRPr="007C1FE7">
        <w:rPr>
          <w:rFonts w:ascii="Times New Roman" w:hAnsi="Times New Roman"/>
          <w:color w:val="auto"/>
          <w:sz w:val="20"/>
          <w:szCs w:val="20"/>
        </w:rPr>
        <w:t>Informácie o poskytovaní ďalšieho vzdelávania.............................................................</w:t>
      </w:r>
      <w:r w:rsidR="00F835AA">
        <w:rPr>
          <w:rFonts w:ascii="Times New Roman" w:hAnsi="Times New Roman"/>
          <w:color w:val="auto"/>
          <w:sz w:val="20"/>
          <w:szCs w:val="20"/>
        </w:rPr>
        <w:t>..........</w:t>
      </w:r>
      <w:r w:rsidRPr="007C1FE7">
        <w:rPr>
          <w:rFonts w:ascii="Times New Roman" w:hAnsi="Times New Roman"/>
          <w:color w:val="auto"/>
          <w:sz w:val="20"/>
          <w:szCs w:val="20"/>
        </w:rPr>
        <w:t>...49</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4.1</w:t>
      </w:r>
      <w:r w:rsidRPr="007C1FE7">
        <w:rPr>
          <w:rFonts w:ascii="Times New Roman" w:hAnsi="Times New Roman"/>
          <w:color w:val="auto"/>
          <w:sz w:val="20"/>
          <w:szCs w:val="20"/>
        </w:rPr>
        <w:tab/>
        <w:t>Ďalšie vzdelávanie na jednotlivých súčastiach STU.........................................................</w:t>
      </w:r>
      <w:r w:rsidR="00F835AA">
        <w:rPr>
          <w:rFonts w:ascii="Times New Roman" w:hAnsi="Times New Roman"/>
          <w:color w:val="auto"/>
          <w:sz w:val="20"/>
          <w:szCs w:val="20"/>
        </w:rPr>
        <w:t>........</w:t>
      </w:r>
      <w:r w:rsidRPr="007C1FE7">
        <w:rPr>
          <w:rFonts w:ascii="Times New Roman" w:hAnsi="Times New Roman"/>
          <w:color w:val="auto"/>
          <w:sz w:val="20"/>
          <w:szCs w:val="20"/>
        </w:rPr>
        <w:t>...50</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4.2</w:t>
      </w:r>
      <w:r w:rsidRPr="007C1FE7">
        <w:rPr>
          <w:rFonts w:ascii="Times New Roman" w:hAnsi="Times New Roman"/>
          <w:color w:val="auto"/>
          <w:sz w:val="20"/>
          <w:szCs w:val="20"/>
        </w:rPr>
        <w:tab/>
        <w:t>Aktivity Inštitútu celoživotného vzdelávania STU (ICV).................................................</w:t>
      </w:r>
      <w:r w:rsidR="00F835AA">
        <w:rPr>
          <w:rFonts w:ascii="Times New Roman" w:hAnsi="Times New Roman"/>
          <w:color w:val="auto"/>
          <w:sz w:val="20"/>
          <w:szCs w:val="20"/>
        </w:rPr>
        <w:t>.....</w:t>
      </w:r>
      <w:r w:rsidRPr="007C1FE7">
        <w:rPr>
          <w:rFonts w:ascii="Times New Roman" w:hAnsi="Times New Roman"/>
          <w:color w:val="auto"/>
          <w:sz w:val="20"/>
          <w:szCs w:val="20"/>
        </w:rPr>
        <w:t>......51</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5</w:t>
      </w:r>
      <w:r w:rsidRPr="007C1FE7">
        <w:rPr>
          <w:rFonts w:ascii="Times New Roman" w:hAnsi="Times New Roman"/>
          <w:color w:val="auto"/>
          <w:sz w:val="20"/>
          <w:szCs w:val="20"/>
        </w:rPr>
        <w:tab/>
        <w:t>Informácie o výskumnej, umeleckej a ďalšej tvorivej činnosti STU...........................................53</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5.1</w:t>
      </w:r>
      <w:r w:rsidRPr="007C1FE7">
        <w:rPr>
          <w:rFonts w:ascii="Times New Roman" w:hAnsi="Times New Roman"/>
          <w:color w:val="auto"/>
          <w:sz w:val="20"/>
          <w:szCs w:val="20"/>
        </w:rPr>
        <w:tab/>
        <w:t>Východiská a vedecko-výskumná výkonnosť STU...............................................................</w:t>
      </w:r>
      <w:r w:rsidR="00F835AA">
        <w:rPr>
          <w:rFonts w:ascii="Times New Roman" w:hAnsi="Times New Roman"/>
          <w:color w:val="auto"/>
          <w:sz w:val="20"/>
          <w:szCs w:val="20"/>
        </w:rPr>
        <w:t>...</w:t>
      </w:r>
      <w:r w:rsidRPr="007C1FE7">
        <w:rPr>
          <w:rFonts w:ascii="Times New Roman" w:hAnsi="Times New Roman"/>
          <w:color w:val="auto"/>
          <w:sz w:val="20"/>
          <w:szCs w:val="20"/>
        </w:rPr>
        <w:t>...54</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5.2</w:t>
      </w:r>
      <w:r w:rsidRPr="007C1FE7">
        <w:rPr>
          <w:rFonts w:ascii="Times New Roman" w:hAnsi="Times New Roman"/>
          <w:color w:val="auto"/>
          <w:sz w:val="20"/>
          <w:szCs w:val="20"/>
        </w:rPr>
        <w:tab/>
        <w:t>Financovanie výskumných aktivít na STU...................................................................</w:t>
      </w:r>
      <w:r w:rsidR="00F835AA">
        <w:rPr>
          <w:rFonts w:ascii="Times New Roman" w:hAnsi="Times New Roman"/>
          <w:color w:val="auto"/>
          <w:sz w:val="20"/>
          <w:szCs w:val="20"/>
        </w:rPr>
        <w:t>...........</w:t>
      </w:r>
      <w:r w:rsidRPr="007C1FE7">
        <w:rPr>
          <w:rFonts w:ascii="Times New Roman" w:hAnsi="Times New Roman"/>
          <w:color w:val="auto"/>
          <w:sz w:val="20"/>
          <w:szCs w:val="20"/>
        </w:rPr>
        <w:t>....59</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5.2.1  </w:t>
      </w:r>
      <w:r w:rsidR="00F835AA">
        <w:rPr>
          <w:rFonts w:ascii="Times New Roman" w:hAnsi="Times New Roman"/>
          <w:color w:val="auto"/>
          <w:sz w:val="20"/>
          <w:szCs w:val="20"/>
        </w:rPr>
        <w:tab/>
      </w:r>
      <w:r w:rsidRPr="007C1FE7">
        <w:rPr>
          <w:rFonts w:ascii="Times New Roman" w:hAnsi="Times New Roman"/>
          <w:color w:val="auto"/>
          <w:sz w:val="20"/>
          <w:szCs w:val="20"/>
        </w:rPr>
        <w:t>Domáce a zahraničné granty</w:t>
      </w:r>
      <w:r w:rsidRPr="007C1FE7">
        <w:rPr>
          <w:rFonts w:ascii="Times New Roman" w:hAnsi="Times New Roman"/>
          <w:color w:val="auto"/>
          <w:sz w:val="20"/>
          <w:szCs w:val="20"/>
        </w:rPr>
        <w:tab/>
        <w:t>.........................................................................</w:t>
      </w:r>
      <w:r w:rsidR="00F835AA">
        <w:rPr>
          <w:rFonts w:ascii="Times New Roman" w:hAnsi="Times New Roman"/>
          <w:color w:val="auto"/>
          <w:sz w:val="20"/>
          <w:szCs w:val="20"/>
        </w:rPr>
        <w:t>................</w:t>
      </w:r>
      <w:r w:rsidRPr="007C1FE7">
        <w:rPr>
          <w:rFonts w:ascii="Times New Roman" w:hAnsi="Times New Roman"/>
          <w:color w:val="auto"/>
          <w:sz w:val="20"/>
          <w:szCs w:val="20"/>
        </w:rPr>
        <w:t>....61</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5.2.2  </w:t>
      </w:r>
      <w:r w:rsidR="00F835AA">
        <w:rPr>
          <w:rFonts w:ascii="Times New Roman" w:hAnsi="Times New Roman"/>
          <w:color w:val="auto"/>
          <w:sz w:val="20"/>
          <w:szCs w:val="20"/>
        </w:rPr>
        <w:tab/>
      </w:r>
      <w:r w:rsidRPr="007C1FE7">
        <w:rPr>
          <w:rFonts w:ascii="Times New Roman" w:hAnsi="Times New Roman"/>
          <w:color w:val="auto"/>
          <w:sz w:val="20"/>
          <w:szCs w:val="20"/>
        </w:rPr>
        <w:t>Finančné prostriedky z projektov v rámci podnikateľskej činnosti.............................................68</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5.2.3. </w:t>
      </w:r>
      <w:r w:rsidR="00F835AA">
        <w:rPr>
          <w:rFonts w:ascii="Times New Roman" w:hAnsi="Times New Roman"/>
          <w:color w:val="auto"/>
          <w:sz w:val="20"/>
          <w:szCs w:val="20"/>
        </w:rPr>
        <w:tab/>
      </w:r>
      <w:r w:rsidRPr="007C1FE7">
        <w:rPr>
          <w:rFonts w:ascii="Times New Roman" w:hAnsi="Times New Roman"/>
          <w:color w:val="auto"/>
          <w:sz w:val="20"/>
          <w:szCs w:val="20"/>
        </w:rPr>
        <w:t>Publikačná aktivita.......................................................................................</w:t>
      </w:r>
      <w:r w:rsidR="00F835AA">
        <w:rPr>
          <w:rFonts w:ascii="Times New Roman" w:hAnsi="Times New Roman"/>
          <w:color w:val="auto"/>
          <w:sz w:val="20"/>
          <w:szCs w:val="20"/>
        </w:rPr>
        <w:t>.............................</w:t>
      </w:r>
      <w:r w:rsidRPr="007C1FE7">
        <w:rPr>
          <w:rFonts w:ascii="Times New Roman" w:hAnsi="Times New Roman"/>
          <w:color w:val="auto"/>
          <w:sz w:val="20"/>
          <w:szCs w:val="20"/>
        </w:rPr>
        <w:t>...69</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5.3</w:t>
      </w:r>
      <w:r w:rsidRPr="007C1FE7">
        <w:rPr>
          <w:rFonts w:ascii="Times New Roman" w:hAnsi="Times New Roman"/>
          <w:color w:val="auto"/>
          <w:sz w:val="20"/>
          <w:szCs w:val="20"/>
        </w:rPr>
        <w:tab/>
        <w:t>Motivačné aktivity STU na podporu vedy a výskumu......................................................</w:t>
      </w:r>
      <w:r w:rsidR="00F835AA">
        <w:rPr>
          <w:rFonts w:ascii="Times New Roman" w:hAnsi="Times New Roman"/>
          <w:color w:val="auto"/>
          <w:sz w:val="20"/>
          <w:szCs w:val="20"/>
        </w:rPr>
        <w:t>....</w:t>
      </w:r>
      <w:r w:rsidRPr="007C1FE7">
        <w:rPr>
          <w:rFonts w:ascii="Times New Roman" w:hAnsi="Times New Roman"/>
          <w:color w:val="auto"/>
          <w:sz w:val="20"/>
          <w:szCs w:val="20"/>
        </w:rPr>
        <w:t>.......70</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5.3.1</w:t>
      </w:r>
      <w:r w:rsidRPr="007C1FE7">
        <w:rPr>
          <w:rFonts w:ascii="Times New Roman" w:hAnsi="Times New Roman"/>
          <w:color w:val="auto"/>
          <w:sz w:val="20"/>
          <w:szCs w:val="20"/>
        </w:rPr>
        <w:tab/>
        <w:t>Projekty na podporu mladých výskumných pracovníkov.....................................................</w:t>
      </w:r>
      <w:r w:rsidR="00F835AA">
        <w:rPr>
          <w:rFonts w:ascii="Times New Roman" w:hAnsi="Times New Roman"/>
          <w:color w:val="auto"/>
          <w:sz w:val="20"/>
          <w:szCs w:val="20"/>
        </w:rPr>
        <w:t>.</w:t>
      </w:r>
      <w:r w:rsidRPr="007C1FE7">
        <w:rPr>
          <w:rFonts w:ascii="Times New Roman" w:hAnsi="Times New Roman"/>
          <w:color w:val="auto"/>
          <w:sz w:val="20"/>
          <w:szCs w:val="20"/>
        </w:rPr>
        <w:t>......70</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5.3.2</w:t>
      </w:r>
      <w:r w:rsidRPr="007C1FE7">
        <w:rPr>
          <w:rFonts w:ascii="Times New Roman" w:hAnsi="Times New Roman"/>
          <w:color w:val="auto"/>
          <w:sz w:val="20"/>
          <w:szCs w:val="20"/>
        </w:rPr>
        <w:tab/>
        <w:t>Ocenenie Vedec roka STU</w:t>
      </w:r>
      <w:r w:rsidRPr="007C1FE7">
        <w:rPr>
          <w:rFonts w:ascii="Times New Roman" w:hAnsi="Times New Roman"/>
          <w:color w:val="auto"/>
          <w:sz w:val="20"/>
          <w:szCs w:val="20"/>
        </w:rPr>
        <w:tab/>
        <w:t>.................................................................................</w:t>
      </w:r>
      <w:r w:rsidR="00F835AA">
        <w:rPr>
          <w:rFonts w:ascii="Times New Roman" w:hAnsi="Times New Roman"/>
          <w:color w:val="auto"/>
          <w:sz w:val="20"/>
          <w:szCs w:val="20"/>
        </w:rPr>
        <w:t>.........</w:t>
      </w:r>
      <w:r w:rsidRPr="007C1FE7">
        <w:rPr>
          <w:rFonts w:ascii="Times New Roman" w:hAnsi="Times New Roman"/>
          <w:color w:val="auto"/>
          <w:sz w:val="20"/>
          <w:szCs w:val="20"/>
        </w:rPr>
        <w:t>....71</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5.3.3</w:t>
      </w:r>
      <w:r w:rsidRPr="007C1FE7">
        <w:rPr>
          <w:rFonts w:ascii="Times New Roman" w:hAnsi="Times New Roman"/>
          <w:color w:val="auto"/>
          <w:sz w:val="20"/>
          <w:szCs w:val="20"/>
        </w:rPr>
        <w:tab/>
        <w:t>Cena o najlepšie publikácie</w:t>
      </w:r>
      <w:r w:rsidRPr="007C1FE7">
        <w:rPr>
          <w:rFonts w:ascii="Times New Roman" w:hAnsi="Times New Roman"/>
          <w:color w:val="auto"/>
          <w:sz w:val="20"/>
          <w:szCs w:val="20"/>
        </w:rPr>
        <w:tab/>
        <w:t>.........................................................................</w:t>
      </w:r>
      <w:r w:rsidR="00F835AA">
        <w:rPr>
          <w:rFonts w:ascii="Times New Roman" w:hAnsi="Times New Roman"/>
          <w:color w:val="auto"/>
          <w:sz w:val="20"/>
          <w:szCs w:val="20"/>
        </w:rPr>
        <w:t>.................</w:t>
      </w:r>
      <w:r w:rsidRPr="007C1FE7">
        <w:rPr>
          <w:rFonts w:ascii="Times New Roman" w:hAnsi="Times New Roman"/>
          <w:color w:val="auto"/>
          <w:sz w:val="20"/>
          <w:szCs w:val="20"/>
        </w:rPr>
        <w:t>....71</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5.3.4</w:t>
      </w:r>
      <w:r w:rsidRPr="007C1FE7">
        <w:rPr>
          <w:rFonts w:ascii="Times New Roman" w:hAnsi="Times New Roman"/>
          <w:color w:val="auto"/>
          <w:sz w:val="20"/>
          <w:szCs w:val="20"/>
        </w:rPr>
        <w:tab/>
        <w:t>Cena o umelecké alebo architektonické dielo</w:t>
      </w:r>
      <w:r w:rsidRPr="007C1FE7">
        <w:rPr>
          <w:rFonts w:ascii="Times New Roman" w:hAnsi="Times New Roman"/>
          <w:color w:val="auto"/>
          <w:sz w:val="20"/>
          <w:szCs w:val="20"/>
        </w:rPr>
        <w:tab/>
        <w:t>.....................................................</w:t>
      </w:r>
      <w:r w:rsidR="00F835AA">
        <w:rPr>
          <w:rFonts w:ascii="Times New Roman" w:hAnsi="Times New Roman"/>
          <w:color w:val="auto"/>
          <w:sz w:val="20"/>
          <w:szCs w:val="20"/>
        </w:rPr>
        <w:t>.....</w:t>
      </w:r>
      <w:r w:rsidRPr="007C1FE7">
        <w:rPr>
          <w:rFonts w:ascii="Times New Roman" w:hAnsi="Times New Roman"/>
          <w:color w:val="auto"/>
          <w:sz w:val="20"/>
          <w:szCs w:val="20"/>
        </w:rPr>
        <w:t>........72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5.3.5</w:t>
      </w:r>
      <w:r w:rsidRPr="007C1FE7">
        <w:rPr>
          <w:rFonts w:ascii="Times New Roman" w:hAnsi="Times New Roman"/>
          <w:color w:val="auto"/>
          <w:sz w:val="20"/>
          <w:szCs w:val="20"/>
        </w:rPr>
        <w:tab/>
        <w:t>Postdoktorandské pracovné miesta</w:t>
      </w:r>
      <w:r w:rsidRPr="007C1FE7">
        <w:rPr>
          <w:rFonts w:ascii="Times New Roman" w:hAnsi="Times New Roman"/>
          <w:color w:val="auto"/>
          <w:sz w:val="20"/>
          <w:szCs w:val="20"/>
        </w:rPr>
        <w:tab/>
        <w:t>..............................................................</w:t>
      </w:r>
      <w:r w:rsidR="00F835AA">
        <w:rPr>
          <w:rFonts w:ascii="Times New Roman" w:hAnsi="Times New Roman"/>
          <w:color w:val="auto"/>
          <w:sz w:val="20"/>
          <w:szCs w:val="20"/>
        </w:rPr>
        <w:t>.........................</w:t>
      </w:r>
      <w:r w:rsidRPr="007C1FE7">
        <w:rPr>
          <w:rFonts w:ascii="Times New Roman" w:hAnsi="Times New Roman"/>
          <w:color w:val="auto"/>
          <w:sz w:val="20"/>
          <w:szCs w:val="20"/>
        </w:rPr>
        <w:t>.......72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5.4</w:t>
      </w:r>
      <w:r w:rsidRPr="007C1FE7">
        <w:rPr>
          <w:rFonts w:ascii="Times New Roman" w:hAnsi="Times New Roman"/>
          <w:color w:val="auto"/>
          <w:sz w:val="20"/>
          <w:szCs w:val="20"/>
        </w:rPr>
        <w:tab/>
        <w:t>Ochrana priemyselného vlastníctva a využitie výsledkov výskumu v praxi................................72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5.4.1</w:t>
      </w:r>
      <w:r w:rsidRPr="007C1FE7">
        <w:rPr>
          <w:rFonts w:ascii="Times New Roman" w:hAnsi="Times New Roman"/>
          <w:color w:val="auto"/>
          <w:sz w:val="20"/>
          <w:szCs w:val="20"/>
        </w:rPr>
        <w:tab/>
        <w:t>Kancelária spolupráce s praxou</w:t>
      </w:r>
      <w:r w:rsidRPr="007C1FE7">
        <w:rPr>
          <w:rFonts w:ascii="Times New Roman" w:hAnsi="Times New Roman"/>
          <w:color w:val="auto"/>
          <w:sz w:val="20"/>
          <w:szCs w:val="20"/>
        </w:rPr>
        <w:tab/>
        <w:t>.......................................................................</w:t>
      </w:r>
      <w:r w:rsidR="00F835AA">
        <w:rPr>
          <w:rFonts w:ascii="Times New Roman" w:hAnsi="Times New Roman"/>
          <w:color w:val="auto"/>
          <w:sz w:val="20"/>
          <w:szCs w:val="20"/>
        </w:rPr>
        <w:t>.................</w:t>
      </w:r>
      <w:r w:rsidRPr="007C1FE7">
        <w:rPr>
          <w:rFonts w:ascii="Times New Roman" w:hAnsi="Times New Roman"/>
          <w:color w:val="auto"/>
          <w:sz w:val="20"/>
          <w:szCs w:val="20"/>
        </w:rPr>
        <w:t>......72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5.4.2</w:t>
      </w:r>
      <w:r w:rsidRPr="007C1FE7">
        <w:rPr>
          <w:rFonts w:ascii="Times New Roman" w:hAnsi="Times New Roman"/>
          <w:color w:val="auto"/>
          <w:sz w:val="20"/>
          <w:szCs w:val="20"/>
        </w:rPr>
        <w:tab/>
        <w:t>Univerzitný technologický inkubátor</w:t>
      </w:r>
      <w:r w:rsidRPr="007C1FE7">
        <w:rPr>
          <w:rFonts w:ascii="Times New Roman" w:hAnsi="Times New Roman"/>
          <w:color w:val="auto"/>
          <w:sz w:val="20"/>
          <w:szCs w:val="20"/>
        </w:rPr>
        <w:tab/>
        <w:t>...........................................................</w:t>
      </w:r>
      <w:r w:rsidR="00F835AA">
        <w:rPr>
          <w:rFonts w:ascii="Times New Roman" w:hAnsi="Times New Roman"/>
          <w:color w:val="auto"/>
          <w:sz w:val="20"/>
          <w:szCs w:val="20"/>
        </w:rPr>
        <w:t>...........</w:t>
      </w:r>
      <w:r w:rsidRPr="007C1FE7">
        <w:rPr>
          <w:rFonts w:ascii="Times New Roman" w:hAnsi="Times New Roman"/>
          <w:color w:val="auto"/>
          <w:sz w:val="20"/>
          <w:szCs w:val="20"/>
        </w:rPr>
        <w:t>..........74</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5.4.3</w:t>
      </w:r>
      <w:r w:rsidRPr="007C1FE7">
        <w:rPr>
          <w:rFonts w:ascii="Times New Roman" w:hAnsi="Times New Roman"/>
          <w:color w:val="auto"/>
          <w:sz w:val="20"/>
          <w:szCs w:val="20"/>
        </w:rPr>
        <w:tab/>
        <w:t>STU Scientific</w:t>
      </w:r>
      <w:r w:rsidRPr="007C1FE7">
        <w:rPr>
          <w:rFonts w:ascii="Times New Roman" w:hAnsi="Times New Roman"/>
          <w:color w:val="auto"/>
          <w:sz w:val="20"/>
          <w:szCs w:val="20"/>
        </w:rPr>
        <w:tab/>
        <w:t>..........................................................................................</w:t>
      </w:r>
      <w:r w:rsidR="00F835AA">
        <w:rPr>
          <w:rFonts w:ascii="Times New Roman" w:hAnsi="Times New Roman"/>
          <w:color w:val="auto"/>
          <w:sz w:val="20"/>
          <w:szCs w:val="20"/>
        </w:rPr>
        <w:t>..............................</w:t>
      </w:r>
      <w:r w:rsidRPr="007C1FE7">
        <w:rPr>
          <w:rFonts w:ascii="Times New Roman" w:hAnsi="Times New Roman"/>
          <w:color w:val="auto"/>
          <w:sz w:val="20"/>
          <w:szCs w:val="20"/>
        </w:rPr>
        <w:t>...75</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5.5</w:t>
      </w:r>
      <w:r w:rsidRPr="007C1FE7">
        <w:rPr>
          <w:rFonts w:ascii="Times New Roman" w:hAnsi="Times New Roman"/>
          <w:color w:val="auto"/>
          <w:sz w:val="20"/>
          <w:szCs w:val="20"/>
        </w:rPr>
        <w:tab/>
        <w:t>Podporné služby výskumu..................................................................................</w:t>
      </w:r>
      <w:r w:rsidR="00F835AA">
        <w:rPr>
          <w:rFonts w:ascii="Times New Roman" w:hAnsi="Times New Roman"/>
          <w:color w:val="auto"/>
          <w:sz w:val="20"/>
          <w:szCs w:val="20"/>
        </w:rPr>
        <w:t>.......................</w:t>
      </w:r>
      <w:r w:rsidRPr="007C1FE7">
        <w:rPr>
          <w:rFonts w:ascii="Times New Roman" w:hAnsi="Times New Roman"/>
          <w:color w:val="auto"/>
          <w:sz w:val="20"/>
          <w:szCs w:val="20"/>
        </w:rPr>
        <w:t>....77</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5.5.1</w:t>
      </w:r>
      <w:r w:rsidRPr="007C1FE7">
        <w:rPr>
          <w:rFonts w:ascii="Times New Roman" w:hAnsi="Times New Roman"/>
          <w:color w:val="auto"/>
          <w:sz w:val="20"/>
          <w:szCs w:val="20"/>
        </w:rPr>
        <w:tab/>
        <w:t>Univerzitná knižnica STU</w:t>
      </w:r>
      <w:r w:rsidRPr="007C1FE7">
        <w:rPr>
          <w:rFonts w:ascii="Times New Roman" w:hAnsi="Times New Roman"/>
          <w:color w:val="auto"/>
          <w:sz w:val="20"/>
          <w:szCs w:val="20"/>
        </w:rPr>
        <w:tab/>
        <w:t>.......................................................................</w:t>
      </w:r>
      <w:r w:rsidR="00F835AA">
        <w:rPr>
          <w:rFonts w:ascii="Times New Roman" w:hAnsi="Times New Roman"/>
          <w:color w:val="auto"/>
          <w:sz w:val="20"/>
          <w:szCs w:val="20"/>
        </w:rPr>
        <w:t>................................</w:t>
      </w:r>
      <w:r w:rsidRPr="007C1FE7">
        <w:rPr>
          <w:rFonts w:ascii="Times New Roman" w:hAnsi="Times New Roman"/>
          <w:color w:val="auto"/>
          <w:sz w:val="20"/>
          <w:szCs w:val="20"/>
        </w:rPr>
        <w:t>......77</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5.6</w:t>
      </w:r>
      <w:r w:rsidRPr="007C1FE7">
        <w:rPr>
          <w:rFonts w:ascii="Times New Roman" w:hAnsi="Times New Roman"/>
          <w:color w:val="auto"/>
          <w:sz w:val="20"/>
          <w:szCs w:val="20"/>
        </w:rPr>
        <w:tab/>
        <w:t>Výskumná činnosť nepodporovaná z grantov.............................................................</w:t>
      </w:r>
      <w:r w:rsidR="00F835AA">
        <w:rPr>
          <w:rFonts w:ascii="Times New Roman" w:hAnsi="Times New Roman"/>
          <w:color w:val="auto"/>
          <w:sz w:val="20"/>
          <w:szCs w:val="20"/>
        </w:rPr>
        <w:t>..........</w:t>
      </w:r>
      <w:r w:rsidRPr="007C1FE7">
        <w:rPr>
          <w:rFonts w:ascii="Times New Roman" w:hAnsi="Times New Roman"/>
          <w:color w:val="auto"/>
          <w:sz w:val="20"/>
          <w:szCs w:val="20"/>
        </w:rPr>
        <w:t>........78</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6</w:t>
      </w:r>
      <w:r w:rsidRPr="007C1FE7">
        <w:rPr>
          <w:rFonts w:ascii="Times New Roman" w:hAnsi="Times New Roman"/>
          <w:color w:val="auto"/>
          <w:sz w:val="20"/>
          <w:szCs w:val="20"/>
        </w:rPr>
        <w:tab/>
        <w:t>Habilitačné konania a konania na vymenúvanie profesorov...............................................</w:t>
      </w:r>
      <w:r w:rsidR="00F835AA">
        <w:rPr>
          <w:rFonts w:ascii="Times New Roman" w:hAnsi="Times New Roman"/>
          <w:color w:val="auto"/>
          <w:sz w:val="20"/>
          <w:szCs w:val="20"/>
        </w:rPr>
        <w:t>...</w:t>
      </w:r>
      <w:r w:rsidRPr="007C1FE7">
        <w:rPr>
          <w:rFonts w:ascii="Times New Roman" w:hAnsi="Times New Roman"/>
          <w:color w:val="auto"/>
          <w:sz w:val="20"/>
          <w:szCs w:val="20"/>
        </w:rPr>
        <w:t>.......79</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6.1</w:t>
      </w:r>
      <w:r w:rsidRPr="007C1FE7">
        <w:rPr>
          <w:rFonts w:ascii="Times New Roman" w:hAnsi="Times New Roman"/>
          <w:color w:val="auto"/>
          <w:sz w:val="20"/>
          <w:szCs w:val="20"/>
        </w:rPr>
        <w:tab/>
        <w:t>Ocenenia na STU...........................................................................................</w:t>
      </w:r>
      <w:r w:rsidR="00F835AA">
        <w:rPr>
          <w:rFonts w:ascii="Times New Roman" w:hAnsi="Times New Roman"/>
          <w:color w:val="auto"/>
          <w:sz w:val="20"/>
          <w:szCs w:val="20"/>
        </w:rPr>
        <w:t>.............................</w:t>
      </w:r>
      <w:r w:rsidRPr="007C1FE7">
        <w:rPr>
          <w:rFonts w:ascii="Times New Roman" w:hAnsi="Times New Roman"/>
          <w:color w:val="auto"/>
          <w:sz w:val="20"/>
          <w:szCs w:val="20"/>
        </w:rPr>
        <w:t>...80</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7.      </w:t>
      </w:r>
      <w:r w:rsidR="00F835AA">
        <w:rPr>
          <w:rFonts w:ascii="Times New Roman" w:hAnsi="Times New Roman"/>
          <w:color w:val="auto"/>
          <w:sz w:val="20"/>
          <w:szCs w:val="20"/>
        </w:rPr>
        <w:tab/>
      </w:r>
      <w:r w:rsidRPr="007C1FE7">
        <w:rPr>
          <w:rFonts w:ascii="Times New Roman" w:hAnsi="Times New Roman"/>
          <w:color w:val="auto"/>
          <w:sz w:val="20"/>
          <w:szCs w:val="20"/>
        </w:rPr>
        <w:t>Zamestnanci vysokej školy..............................................................................</w:t>
      </w:r>
      <w:r w:rsidR="00F835AA">
        <w:rPr>
          <w:rFonts w:ascii="Times New Roman" w:hAnsi="Times New Roman"/>
          <w:color w:val="auto"/>
          <w:sz w:val="20"/>
          <w:szCs w:val="20"/>
        </w:rPr>
        <w:t>........................</w:t>
      </w:r>
      <w:r w:rsidRPr="007C1FE7">
        <w:rPr>
          <w:rFonts w:ascii="Times New Roman" w:hAnsi="Times New Roman"/>
          <w:color w:val="auto"/>
          <w:sz w:val="20"/>
          <w:szCs w:val="20"/>
        </w:rPr>
        <w:t>......80</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8.      </w:t>
      </w:r>
      <w:r w:rsidR="00F835AA">
        <w:rPr>
          <w:rFonts w:ascii="Times New Roman" w:hAnsi="Times New Roman"/>
          <w:color w:val="auto"/>
          <w:sz w:val="20"/>
          <w:szCs w:val="20"/>
        </w:rPr>
        <w:tab/>
      </w:r>
      <w:r w:rsidRPr="007C1FE7">
        <w:rPr>
          <w:rFonts w:ascii="Times New Roman" w:hAnsi="Times New Roman"/>
          <w:color w:val="auto"/>
          <w:sz w:val="20"/>
          <w:szCs w:val="20"/>
        </w:rPr>
        <w:t>Podpora študentov.....................................................................................</w:t>
      </w:r>
      <w:r w:rsidR="00F835AA">
        <w:rPr>
          <w:rFonts w:ascii="Times New Roman" w:hAnsi="Times New Roman"/>
          <w:color w:val="auto"/>
          <w:sz w:val="20"/>
          <w:szCs w:val="20"/>
        </w:rPr>
        <w:t>..............................</w:t>
      </w:r>
      <w:r w:rsidRPr="007C1FE7">
        <w:rPr>
          <w:rFonts w:ascii="Times New Roman" w:hAnsi="Times New Roman"/>
          <w:color w:val="auto"/>
          <w:sz w:val="20"/>
          <w:szCs w:val="20"/>
        </w:rPr>
        <w:t>.......81</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8.1</w:t>
      </w:r>
      <w:r w:rsidRPr="007C1FE7">
        <w:rPr>
          <w:rFonts w:ascii="Times New Roman" w:hAnsi="Times New Roman"/>
          <w:color w:val="auto"/>
          <w:sz w:val="20"/>
          <w:szCs w:val="20"/>
        </w:rPr>
        <w:tab/>
        <w:t>Sociálne štipendiá.......................................................................................</w:t>
      </w:r>
      <w:r w:rsidR="00F835AA">
        <w:rPr>
          <w:rFonts w:ascii="Times New Roman" w:hAnsi="Times New Roman"/>
          <w:color w:val="auto"/>
          <w:sz w:val="20"/>
          <w:szCs w:val="20"/>
        </w:rPr>
        <w:t>................................</w:t>
      </w:r>
      <w:r w:rsidRPr="007C1FE7">
        <w:rPr>
          <w:rFonts w:ascii="Times New Roman" w:hAnsi="Times New Roman"/>
          <w:color w:val="auto"/>
          <w:sz w:val="20"/>
          <w:szCs w:val="20"/>
        </w:rPr>
        <w:t>....81</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8.2</w:t>
      </w:r>
      <w:r w:rsidRPr="007C1FE7">
        <w:rPr>
          <w:rFonts w:ascii="Times New Roman" w:hAnsi="Times New Roman"/>
          <w:color w:val="auto"/>
          <w:sz w:val="20"/>
          <w:szCs w:val="20"/>
        </w:rPr>
        <w:tab/>
        <w:t>Motivačné štipendiá a štipendiá z vlastných zdrojov STU..................................................</w:t>
      </w:r>
      <w:r w:rsidR="00F835AA">
        <w:rPr>
          <w:rFonts w:ascii="Times New Roman" w:hAnsi="Times New Roman"/>
          <w:color w:val="auto"/>
          <w:sz w:val="20"/>
          <w:szCs w:val="20"/>
        </w:rPr>
        <w:t>......</w:t>
      </w:r>
      <w:r w:rsidRPr="007C1FE7">
        <w:rPr>
          <w:rFonts w:ascii="Times New Roman" w:hAnsi="Times New Roman"/>
          <w:color w:val="auto"/>
          <w:sz w:val="20"/>
          <w:szCs w:val="20"/>
        </w:rPr>
        <w:t>....82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8.3</w:t>
      </w:r>
      <w:r w:rsidRPr="007C1FE7">
        <w:rPr>
          <w:rFonts w:ascii="Times New Roman" w:hAnsi="Times New Roman"/>
          <w:color w:val="auto"/>
          <w:sz w:val="20"/>
          <w:szCs w:val="20"/>
        </w:rPr>
        <w:tab/>
        <w:t>Pôžičky..................................................................................................</w:t>
      </w:r>
      <w:r w:rsidR="00F835AA">
        <w:rPr>
          <w:rFonts w:ascii="Times New Roman" w:hAnsi="Times New Roman"/>
          <w:color w:val="auto"/>
          <w:sz w:val="20"/>
          <w:szCs w:val="20"/>
        </w:rPr>
        <w:t>.....................................</w:t>
      </w:r>
      <w:r w:rsidRPr="007C1FE7">
        <w:rPr>
          <w:rFonts w:ascii="Times New Roman" w:hAnsi="Times New Roman"/>
          <w:color w:val="auto"/>
          <w:sz w:val="20"/>
          <w:szCs w:val="20"/>
        </w:rPr>
        <w:t>....85</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8.4</w:t>
      </w:r>
      <w:r w:rsidRPr="007C1FE7">
        <w:rPr>
          <w:rFonts w:ascii="Times New Roman" w:hAnsi="Times New Roman"/>
          <w:color w:val="auto"/>
          <w:sz w:val="20"/>
          <w:szCs w:val="20"/>
        </w:rPr>
        <w:tab/>
        <w:t>Ubytovanie študentov....................................................................................</w:t>
      </w:r>
      <w:r w:rsidR="00F835AA">
        <w:rPr>
          <w:rFonts w:ascii="Times New Roman" w:hAnsi="Times New Roman"/>
          <w:color w:val="auto"/>
          <w:sz w:val="20"/>
          <w:szCs w:val="20"/>
        </w:rPr>
        <w:t>............................</w:t>
      </w:r>
      <w:r w:rsidRPr="007C1FE7">
        <w:rPr>
          <w:rFonts w:ascii="Times New Roman" w:hAnsi="Times New Roman"/>
          <w:color w:val="auto"/>
          <w:sz w:val="20"/>
          <w:szCs w:val="20"/>
        </w:rPr>
        <w:t>.....85</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8.5</w:t>
      </w:r>
      <w:r w:rsidRPr="007C1FE7">
        <w:rPr>
          <w:rFonts w:ascii="Times New Roman" w:hAnsi="Times New Roman"/>
          <w:color w:val="auto"/>
          <w:sz w:val="20"/>
          <w:szCs w:val="20"/>
        </w:rPr>
        <w:tab/>
        <w:t>Stravovacia činnosť..................................................................................</w:t>
      </w:r>
      <w:r w:rsidR="00F835AA">
        <w:rPr>
          <w:rFonts w:ascii="Times New Roman" w:hAnsi="Times New Roman"/>
          <w:color w:val="auto"/>
          <w:sz w:val="20"/>
          <w:szCs w:val="20"/>
        </w:rPr>
        <w:t>..............................</w:t>
      </w:r>
      <w:r w:rsidRPr="007C1FE7">
        <w:rPr>
          <w:rFonts w:ascii="Times New Roman" w:hAnsi="Times New Roman"/>
          <w:color w:val="auto"/>
          <w:sz w:val="20"/>
          <w:szCs w:val="20"/>
        </w:rPr>
        <w:t>........87</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8.6</w:t>
      </w:r>
      <w:r w:rsidRPr="007C1FE7">
        <w:rPr>
          <w:rFonts w:ascii="Times New Roman" w:hAnsi="Times New Roman"/>
          <w:color w:val="auto"/>
          <w:sz w:val="20"/>
          <w:szCs w:val="20"/>
        </w:rPr>
        <w:tab/>
        <w:t>Študentské organizácie...................................................................................</w:t>
      </w:r>
      <w:r w:rsidR="00F835AA">
        <w:rPr>
          <w:rFonts w:ascii="Times New Roman" w:hAnsi="Times New Roman"/>
          <w:color w:val="auto"/>
          <w:sz w:val="20"/>
          <w:szCs w:val="20"/>
        </w:rPr>
        <w:t>............................</w:t>
      </w:r>
      <w:r w:rsidRPr="007C1FE7">
        <w:rPr>
          <w:rFonts w:ascii="Times New Roman" w:hAnsi="Times New Roman"/>
          <w:color w:val="auto"/>
          <w:sz w:val="20"/>
          <w:szCs w:val="20"/>
        </w:rPr>
        <w:t>....88</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9       </w:t>
      </w:r>
      <w:r w:rsidR="00F835AA">
        <w:rPr>
          <w:rFonts w:ascii="Times New Roman" w:hAnsi="Times New Roman"/>
          <w:color w:val="auto"/>
          <w:sz w:val="20"/>
          <w:szCs w:val="20"/>
        </w:rPr>
        <w:tab/>
      </w:r>
      <w:r w:rsidRPr="007C1FE7">
        <w:rPr>
          <w:rFonts w:ascii="Times New Roman" w:hAnsi="Times New Roman"/>
          <w:color w:val="auto"/>
          <w:sz w:val="20"/>
          <w:szCs w:val="20"/>
        </w:rPr>
        <w:t>Podporné činnosti vysokej školy..........................................................................</w:t>
      </w:r>
      <w:r w:rsidR="00F835AA">
        <w:rPr>
          <w:rFonts w:ascii="Times New Roman" w:hAnsi="Times New Roman"/>
          <w:color w:val="auto"/>
          <w:sz w:val="20"/>
          <w:szCs w:val="20"/>
        </w:rPr>
        <w:t>......................</w:t>
      </w:r>
      <w:r w:rsidRPr="007C1FE7">
        <w:rPr>
          <w:rFonts w:ascii="Times New Roman" w:hAnsi="Times New Roman"/>
          <w:color w:val="auto"/>
          <w:sz w:val="20"/>
          <w:szCs w:val="20"/>
        </w:rPr>
        <w:t>....89</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9.1.  </w:t>
      </w:r>
      <w:r w:rsidR="00F835AA">
        <w:rPr>
          <w:rFonts w:ascii="Times New Roman" w:hAnsi="Times New Roman"/>
          <w:color w:val="auto"/>
          <w:sz w:val="20"/>
          <w:szCs w:val="20"/>
        </w:rPr>
        <w:tab/>
      </w:r>
      <w:r w:rsidRPr="007C1FE7">
        <w:rPr>
          <w:rFonts w:ascii="Times New Roman" w:hAnsi="Times New Roman"/>
          <w:color w:val="auto"/>
          <w:sz w:val="20"/>
          <w:szCs w:val="20"/>
        </w:rPr>
        <w:t>Informačné a komunikačné technológie..................................................................</w:t>
      </w:r>
      <w:r w:rsidR="00F835AA">
        <w:rPr>
          <w:rFonts w:ascii="Times New Roman" w:hAnsi="Times New Roman"/>
          <w:color w:val="auto"/>
          <w:sz w:val="20"/>
          <w:szCs w:val="20"/>
        </w:rPr>
        <w:t>................</w:t>
      </w:r>
      <w:r w:rsidRPr="007C1FE7">
        <w:rPr>
          <w:rFonts w:ascii="Times New Roman" w:hAnsi="Times New Roman"/>
          <w:color w:val="auto"/>
          <w:sz w:val="20"/>
          <w:szCs w:val="20"/>
        </w:rPr>
        <w:t>.......89</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9.2.   </w:t>
      </w:r>
      <w:r w:rsidR="00F835AA">
        <w:rPr>
          <w:rFonts w:ascii="Times New Roman" w:hAnsi="Times New Roman"/>
          <w:color w:val="auto"/>
          <w:sz w:val="20"/>
          <w:szCs w:val="20"/>
        </w:rPr>
        <w:tab/>
      </w:r>
      <w:r w:rsidRPr="007C1FE7">
        <w:rPr>
          <w:rFonts w:ascii="Times New Roman" w:hAnsi="Times New Roman"/>
          <w:color w:val="auto"/>
          <w:sz w:val="20"/>
          <w:szCs w:val="20"/>
        </w:rPr>
        <w:t>Vysokoškolský umelecký súbor Technik STU...............................................................</w:t>
      </w:r>
      <w:r w:rsidR="00F835AA">
        <w:rPr>
          <w:rFonts w:ascii="Times New Roman" w:hAnsi="Times New Roman"/>
          <w:color w:val="auto"/>
          <w:sz w:val="20"/>
          <w:szCs w:val="20"/>
        </w:rPr>
        <w:t>............</w:t>
      </w:r>
      <w:r w:rsidRPr="007C1FE7">
        <w:rPr>
          <w:rFonts w:ascii="Times New Roman" w:hAnsi="Times New Roman"/>
          <w:color w:val="auto"/>
          <w:sz w:val="20"/>
          <w:szCs w:val="20"/>
        </w:rPr>
        <w:t>....90</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9.3.   </w:t>
      </w:r>
      <w:r w:rsidR="00F835AA">
        <w:rPr>
          <w:rFonts w:ascii="Times New Roman" w:hAnsi="Times New Roman"/>
          <w:color w:val="auto"/>
          <w:sz w:val="20"/>
          <w:szCs w:val="20"/>
        </w:rPr>
        <w:tab/>
      </w:r>
      <w:r w:rsidRPr="007C1FE7">
        <w:rPr>
          <w:rFonts w:ascii="Times New Roman" w:hAnsi="Times New Roman"/>
          <w:color w:val="auto"/>
          <w:sz w:val="20"/>
          <w:szCs w:val="20"/>
        </w:rPr>
        <w:t>Vydavateľstvo Spektrum STU.............................................................................</w:t>
      </w:r>
      <w:r w:rsidR="00F835AA">
        <w:rPr>
          <w:rFonts w:ascii="Times New Roman" w:hAnsi="Times New Roman"/>
          <w:color w:val="auto"/>
          <w:sz w:val="20"/>
          <w:szCs w:val="20"/>
        </w:rPr>
        <w:t>.....................</w:t>
      </w:r>
      <w:r w:rsidRPr="007C1FE7">
        <w:rPr>
          <w:rFonts w:ascii="Times New Roman" w:hAnsi="Times New Roman"/>
          <w:color w:val="auto"/>
          <w:sz w:val="20"/>
          <w:szCs w:val="20"/>
        </w:rPr>
        <w:t>......92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9.4.   </w:t>
      </w:r>
      <w:r w:rsidR="00F835AA">
        <w:rPr>
          <w:rFonts w:ascii="Times New Roman" w:hAnsi="Times New Roman"/>
          <w:color w:val="auto"/>
          <w:sz w:val="20"/>
          <w:szCs w:val="20"/>
        </w:rPr>
        <w:tab/>
      </w:r>
      <w:r w:rsidRPr="007C1FE7">
        <w:rPr>
          <w:rFonts w:ascii="Times New Roman" w:hAnsi="Times New Roman"/>
          <w:color w:val="auto"/>
          <w:sz w:val="20"/>
          <w:szCs w:val="20"/>
        </w:rPr>
        <w:t>Portál absolventov.......................................................................................</w:t>
      </w:r>
      <w:r w:rsidR="00F835AA">
        <w:rPr>
          <w:rFonts w:ascii="Times New Roman" w:hAnsi="Times New Roman"/>
          <w:color w:val="auto"/>
          <w:sz w:val="20"/>
          <w:szCs w:val="20"/>
        </w:rPr>
        <w:t>................................</w:t>
      </w:r>
      <w:r w:rsidRPr="007C1FE7">
        <w:rPr>
          <w:rFonts w:ascii="Times New Roman" w:hAnsi="Times New Roman"/>
          <w:color w:val="auto"/>
          <w:sz w:val="20"/>
          <w:szCs w:val="20"/>
        </w:rPr>
        <w:t>....92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9.5.   </w:t>
      </w:r>
      <w:r w:rsidR="00F835AA">
        <w:rPr>
          <w:rFonts w:ascii="Times New Roman" w:hAnsi="Times New Roman"/>
          <w:color w:val="auto"/>
          <w:sz w:val="20"/>
          <w:szCs w:val="20"/>
        </w:rPr>
        <w:tab/>
      </w:r>
      <w:r w:rsidRPr="007C1FE7">
        <w:rPr>
          <w:rFonts w:ascii="Times New Roman" w:hAnsi="Times New Roman"/>
          <w:color w:val="auto"/>
          <w:sz w:val="20"/>
          <w:szCs w:val="20"/>
        </w:rPr>
        <w:t>Nadácia STU...............................................................................................</w:t>
      </w:r>
      <w:r w:rsidR="00F835AA">
        <w:rPr>
          <w:rFonts w:ascii="Times New Roman" w:hAnsi="Times New Roman"/>
          <w:color w:val="auto"/>
          <w:sz w:val="20"/>
          <w:szCs w:val="20"/>
        </w:rPr>
        <w:t>.................................</w:t>
      </w:r>
      <w:r w:rsidRPr="007C1FE7">
        <w:rPr>
          <w:rFonts w:ascii="Times New Roman" w:hAnsi="Times New Roman"/>
          <w:color w:val="auto"/>
          <w:sz w:val="20"/>
          <w:szCs w:val="20"/>
        </w:rPr>
        <w:t>...93</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9.6.   </w:t>
      </w:r>
      <w:r w:rsidR="00F835AA">
        <w:rPr>
          <w:rFonts w:ascii="Times New Roman" w:hAnsi="Times New Roman"/>
          <w:color w:val="auto"/>
          <w:sz w:val="20"/>
          <w:szCs w:val="20"/>
        </w:rPr>
        <w:tab/>
      </w:r>
      <w:r w:rsidRPr="007C1FE7">
        <w:rPr>
          <w:rFonts w:ascii="Times New Roman" w:hAnsi="Times New Roman"/>
          <w:color w:val="auto"/>
          <w:sz w:val="20"/>
          <w:szCs w:val="20"/>
        </w:rPr>
        <w:t>Centrum akademického športu STU.........................................................................</w:t>
      </w:r>
      <w:r w:rsidR="00F835AA">
        <w:rPr>
          <w:rFonts w:ascii="Times New Roman" w:hAnsi="Times New Roman"/>
          <w:color w:val="auto"/>
          <w:sz w:val="20"/>
          <w:szCs w:val="20"/>
        </w:rPr>
        <w:t>.................</w:t>
      </w:r>
      <w:r w:rsidRPr="007C1FE7">
        <w:rPr>
          <w:rFonts w:ascii="Times New Roman" w:hAnsi="Times New Roman"/>
          <w:color w:val="auto"/>
          <w:sz w:val="20"/>
          <w:szCs w:val="20"/>
        </w:rPr>
        <w:t>.....94</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lastRenderedPageBreak/>
        <w:t xml:space="preserve">10      </w:t>
      </w:r>
      <w:r w:rsidR="00F835AA">
        <w:rPr>
          <w:rFonts w:ascii="Times New Roman" w:hAnsi="Times New Roman"/>
          <w:color w:val="auto"/>
          <w:sz w:val="20"/>
          <w:szCs w:val="20"/>
        </w:rPr>
        <w:tab/>
      </w:r>
      <w:r w:rsidRPr="007C1FE7">
        <w:rPr>
          <w:rFonts w:ascii="Times New Roman" w:hAnsi="Times New Roman"/>
          <w:color w:val="auto"/>
          <w:sz w:val="20"/>
          <w:szCs w:val="20"/>
        </w:rPr>
        <w:t>Rozvoj vysokej školy.....................................................................................</w:t>
      </w:r>
      <w:r w:rsidR="00F835AA">
        <w:rPr>
          <w:rFonts w:ascii="Times New Roman" w:hAnsi="Times New Roman"/>
          <w:color w:val="auto"/>
          <w:sz w:val="20"/>
          <w:szCs w:val="20"/>
        </w:rPr>
        <w:t>.............................</w:t>
      </w:r>
      <w:r w:rsidRPr="007C1FE7">
        <w:rPr>
          <w:rFonts w:ascii="Times New Roman" w:hAnsi="Times New Roman"/>
          <w:color w:val="auto"/>
          <w:sz w:val="20"/>
          <w:szCs w:val="20"/>
        </w:rPr>
        <w:t>....94</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11.     </w:t>
      </w:r>
      <w:r w:rsidR="00F835AA">
        <w:rPr>
          <w:rFonts w:ascii="Times New Roman" w:hAnsi="Times New Roman"/>
          <w:color w:val="auto"/>
          <w:sz w:val="20"/>
          <w:szCs w:val="20"/>
        </w:rPr>
        <w:tab/>
      </w:r>
      <w:r w:rsidRPr="007C1FE7">
        <w:rPr>
          <w:rFonts w:ascii="Times New Roman" w:hAnsi="Times New Roman"/>
          <w:color w:val="auto"/>
          <w:sz w:val="20"/>
          <w:szCs w:val="20"/>
        </w:rPr>
        <w:t>Medzinárodné aktivity STU................................................................................</w:t>
      </w:r>
      <w:r w:rsidR="00F835AA">
        <w:rPr>
          <w:rFonts w:ascii="Times New Roman" w:hAnsi="Times New Roman"/>
          <w:color w:val="auto"/>
          <w:sz w:val="20"/>
          <w:szCs w:val="20"/>
        </w:rPr>
        <w:t>........................</w:t>
      </w:r>
      <w:r w:rsidRPr="007C1FE7">
        <w:rPr>
          <w:rFonts w:ascii="Times New Roman" w:hAnsi="Times New Roman"/>
          <w:color w:val="auto"/>
          <w:sz w:val="20"/>
          <w:szCs w:val="20"/>
        </w:rPr>
        <w:t>....95</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11.1.  </w:t>
      </w:r>
      <w:r w:rsidR="00F835AA">
        <w:rPr>
          <w:rFonts w:ascii="Times New Roman" w:hAnsi="Times New Roman"/>
          <w:color w:val="auto"/>
          <w:sz w:val="20"/>
          <w:szCs w:val="20"/>
        </w:rPr>
        <w:tab/>
      </w:r>
      <w:r w:rsidRPr="007C1FE7">
        <w:rPr>
          <w:rFonts w:ascii="Times New Roman" w:hAnsi="Times New Roman"/>
          <w:color w:val="auto"/>
          <w:sz w:val="20"/>
          <w:szCs w:val="20"/>
        </w:rPr>
        <w:t>Medzinárodné dohody a partnerstvá....................................................................</w:t>
      </w:r>
      <w:r w:rsidR="00F835AA">
        <w:rPr>
          <w:rFonts w:ascii="Times New Roman" w:hAnsi="Times New Roman"/>
          <w:color w:val="auto"/>
          <w:sz w:val="20"/>
          <w:szCs w:val="20"/>
        </w:rPr>
        <w:t>...................</w:t>
      </w:r>
      <w:r w:rsidRPr="007C1FE7">
        <w:rPr>
          <w:rFonts w:ascii="Times New Roman" w:hAnsi="Times New Roman"/>
          <w:color w:val="auto"/>
          <w:sz w:val="20"/>
          <w:szCs w:val="20"/>
        </w:rPr>
        <w:t>........96</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11.2.  </w:t>
      </w:r>
      <w:r w:rsidR="00F835AA">
        <w:rPr>
          <w:rFonts w:ascii="Times New Roman" w:hAnsi="Times New Roman"/>
          <w:color w:val="auto"/>
          <w:sz w:val="20"/>
          <w:szCs w:val="20"/>
        </w:rPr>
        <w:tab/>
      </w:r>
      <w:r w:rsidRPr="007C1FE7">
        <w:rPr>
          <w:rFonts w:ascii="Times New Roman" w:hAnsi="Times New Roman"/>
          <w:color w:val="auto"/>
          <w:sz w:val="20"/>
          <w:szCs w:val="20"/>
        </w:rPr>
        <w:t>Medzinárodné vzdelávacie projekty a siete...............................................................</w:t>
      </w:r>
      <w:r w:rsidR="00F835AA">
        <w:rPr>
          <w:rFonts w:ascii="Times New Roman" w:hAnsi="Times New Roman"/>
          <w:color w:val="auto"/>
          <w:sz w:val="20"/>
          <w:szCs w:val="20"/>
        </w:rPr>
        <w:t>................</w:t>
      </w:r>
      <w:r w:rsidRPr="007C1FE7">
        <w:rPr>
          <w:rFonts w:ascii="Times New Roman" w:hAnsi="Times New Roman"/>
          <w:color w:val="auto"/>
          <w:sz w:val="20"/>
          <w:szCs w:val="20"/>
        </w:rPr>
        <w:t>.....97</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11.3.  </w:t>
      </w:r>
      <w:r w:rsidR="00F835AA">
        <w:rPr>
          <w:rFonts w:ascii="Times New Roman" w:hAnsi="Times New Roman"/>
          <w:color w:val="auto"/>
          <w:sz w:val="20"/>
          <w:szCs w:val="20"/>
        </w:rPr>
        <w:tab/>
      </w:r>
      <w:r w:rsidRPr="007C1FE7">
        <w:rPr>
          <w:rFonts w:ascii="Times New Roman" w:hAnsi="Times New Roman"/>
          <w:color w:val="auto"/>
          <w:sz w:val="20"/>
          <w:szCs w:val="20"/>
        </w:rPr>
        <w:t>Mobility študentov a zamestnancov........................................................................</w:t>
      </w:r>
      <w:r w:rsidR="00F835AA">
        <w:rPr>
          <w:rFonts w:ascii="Times New Roman" w:hAnsi="Times New Roman"/>
          <w:color w:val="auto"/>
          <w:sz w:val="20"/>
          <w:szCs w:val="20"/>
        </w:rPr>
        <w:t>...................</w:t>
      </w:r>
      <w:r w:rsidRPr="007C1FE7">
        <w:rPr>
          <w:rFonts w:ascii="Times New Roman" w:hAnsi="Times New Roman"/>
          <w:color w:val="auto"/>
          <w:sz w:val="20"/>
          <w:szCs w:val="20"/>
        </w:rPr>
        <w:t>....98</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11.4.  </w:t>
      </w:r>
      <w:r w:rsidR="00F835AA">
        <w:rPr>
          <w:rFonts w:ascii="Times New Roman" w:hAnsi="Times New Roman"/>
          <w:color w:val="auto"/>
          <w:sz w:val="20"/>
          <w:szCs w:val="20"/>
        </w:rPr>
        <w:tab/>
      </w:r>
      <w:r w:rsidRPr="007C1FE7">
        <w:rPr>
          <w:rFonts w:ascii="Times New Roman" w:hAnsi="Times New Roman"/>
          <w:color w:val="auto"/>
          <w:sz w:val="20"/>
          <w:szCs w:val="20"/>
        </w:rPr>
        <w:t>Pôsobenie STU v medzinárodných organizáciách a sieťach....................................................</w:t>
      </w:r>
      <w:r w:rsidR="00F835AA">
        <w:rPr>
          <w:rFonts w:ascii="Times New Roman" w:hAnsi="Times New Roman"/>
          <w:color w:val="auto"/>
          <w:sz w:val="20"/>
          <w:szCs w:val="20"/>
        </w:rPr>
        <w:t>..</w:t>
      </w:r>
      <w:r w:rsidRPr="007C1FE7">
        <w:rPr>
          <w:rFonts w:ascii="Times New Roman" w:hAnsi="Times New Roman"/>
          <w:color w:val="auto"/>
          <w:sz w:val="20"/>
          <w:szCs w:val="20"/>
        </w:rPr>
        <w:t>...102</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11.5.  </w:t>
      </w:r>
      <w:r w:rsidR="00F835AA">
        <w:rPr>
          <w:rFonts w:ascii="Times New Roman" w:hAnsi="Times New Roman"/>
          <w:color w:val="auto"/>
          <w:sz w:val="20"/>
          <w:szCs w:val="20"/>
        </w:rPr>
        <w:tab/>
      </w:r>
      <w:r w:rsidRPr="007C1FE7">
        <w:rPr>
          <w:rFonts w:ascii="Times New Roman" w:hAnsi="Times New Roman"/>
          <w:color w:val="auto"/>
          <w:sz w:val="20"/>
          <w:szCs w:val="20"/>
        </w:rPr>
        <w:t>Vycestovania zamestnancov a prijatia zahraničných hostí......................................................</w:t>
      </w:r>
      <w:r w:rsidR="00F835AA">
        <w:rPr>
          <w:rFonts w:ascii="Times New Roman" w:hAnsi="Times New Roman"/>
          <w:color w:val="auto"/>
          <w:sz w:val="20"/>
          <w:szCs w:val="20"/>
        </w:rPr>
        <w:t>......</w:t>
      </w:r>
      <w:r w:rsidRPr="007C1FE7">
        <w:rPr>
          <w:rFonts w:ascii="Times New Roman" w:hAnsi="Times New Roman"/>
          <w:color w:val="auto"/>
          <w:sz w:val="20"/>
          <w:szCs w:val="20"/>
        </w:rPr>
        <w:t>105</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12.     </w:t>
      </w:r>
      <w:r w:rsidR="00F835AA">
        <w:rPr>
          <w:rFonts w:ascii="Times New Roman" w:hAnsi="Times New Roman"/>
          <w:color w:val="auto"/>
          <w:sz w:val="20"/>
          <w:szCs w:val="20"/>
        </w:rPr>
        <w:tab/>
      </w:r>
      <w:r w:rsidRPr="007C1FE7">
        <w:rPr>
          <w:rFonts w:ascii="Times New Roman" w:hAnsi="Times New Roman"/>
          <w:color w:val="auto"/>
          <w:sz w:val="20"/>
          <w:szCs w:val="20"/>
        </w:rPr>
        <w:t>Systém hodnotenia kvality na STU..........................................................................</w:t>
      </w:r>
      <w:r w:rsidR="00F835AA">
        <w:rPr>
          <w:rFonts w:ascii="Times New Roman" w:hAnsi="Times New Roman"/>
          <w:color w:val="auto"/>
          <w:sz w:val="20"/>
          <w:szCs w:val="20"/>
        </w:rPr>
        <w:t>...................</w:t>
      </w:r>
      <w:r w:rsidRPr="007C1FE7">
        <w:rPr>
          <w:rFonts w:ascii="Times New Roman" w:hAnsi="Times New Roman"/>
          <w:color w:val="auto"/>
          <w:sz w:val="20"/>
          <w:szCs w:val="20"/>
        </w:rPr>
        <w:t>...105</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12.1.  </w:t>
      </w:r>
      <w:r w:rsidR="00F835AA">
        <w:rPr>
          <w:rFonts w:ascii="Times New Roman" w:hAnsi="Times New Roman"/>
          <w:color w:val="auto"/>
          <w:sz w:val="20"/>
          <w:szCs w:val="20"/>
        </w:rPr>
        <w:tab/>
      </w:r>
      <w:r w:rsidRPr="007C1FE7">
        <w:rPr>
          <w:rFonts w:ascii="Times New Roman" w:hAnsi="Times New Roman"/>
          <w:color w:val="auto"/>
          <w:sz w:val="20"/>
          <w:szCs w:val="20"/>
        </w:rPr>
        <w:t>Manažment vysokej školy..................................................................................</w:t>
      </w:r>
      <w:r w:rsidR="00F835AA">
        <w:rPr>
          <w:rFonts w:ascii="Times New Roman" w:hAnsi="Times New Roman"/>
          <w:color w:val="auto"/>
          <w:sz w:val="20"/>
          <w:szCs w:val="20"/>
        </w:rPr>
        <w:t>........................</w:t>
      </w:r>
      <w:r w:rsidRPr="007C1FE7">
        <w:rPr>
          <w:rFonts w:ascii="Times New Roman" w:hAnsi="Times New Roman"/>
          <w:color w:val="auto"/>
          <w:sz w:val="20"/>
          <w:szCs w:val="20"/>
        </w:rPr>
        <w:t>....105</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12.2.  </w:t>
      </w:r>
      <w:r w:rsidR="00F835AA">
        <w:rPr>
          <w:rFonts w:ascii="Times New Roman" w:hAnsi="Times New Roman"/>
          <w:color w:val="auto"/>
          <w:sz w:val="20"/>
          <w:szCs w:val="20"/>
        </w:rPr>
        <w:tab/>
      </w:r>
      <w:r w:rsidRPr="007C1FE7">
        <w:rPr>
          <w:rFonts w:ascii="Times New Roman" w:hAnsi="Times New Roman"/>
          <w:color w:val="auto"/>
          <w:sz w:val="20"/>
          <w:szCs w:val="20"/>
        </w:rPr>
        <w:t>Hodnotenie vzdelávania študentmi.......................................................................</w:t>
      </w:r>
      <w:r w:rsidR="00F835AA">
        <w:rPr>
          <w:rFonts w:ascii="Times New Roman" w:hAnsi="Times New Roman"/>
          <w:color w:val="auto"/>
          <w:sz w:val="20"/>
          <w:szCs w:val="20"/>
        </w:rPr>
        <w:t>....................</w:t>
      </w:r>
      <w:r w:rsidRPr="007C1FE7">
        <w:rPr>
          <w:rFonts w:ascii="Times New Roman" w:hAnsi="Times New Roman"/>
          <w:color w:val="auto"/>
          <w:sz w:val="20"/>
          <w:szCs w:val="20"/>
        </w:rPr>
        <w:t>......107</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12.3.  </w:t>
      </w:r>
      <w:r w:rsidR="00F835AA">
        <w:rPr>
          <w:rFonts w:ascii="Times New Roman" w:hAnsi="Times New Roman"/>
          <w:color w:val="auto"/>
          <w:sz w:val="20"/>
          <w:szCs w:val="20"/>
        </w:rPr>
        <w:tab/>
      </w:r>
      <w:r w:rsidRPr="007C1FE7">
        <w:rPr>
          <w:rFonts w:ascii="Times New Roman" w:hAnsi="Times New Roman"/>
          <w:color w:val="auto"/>
          <w:sz w:val="20"/>
          <w:szCs w:val="20"/>
        </w:rPr>
        <w:t>Kvantitatívne hodnotenie zabezpečovania kvality vzdelávania..............................................</w:t>
      </w:r>
      <w:r w:rsidR="00F835AA">
        <w:rPr>
          <w:rFonts w:ascii="Times New Roman" w:hAnsi="Times New Roman"/>
          <w:color w:val="auto"/>
          <w:sz w:val="20"/>
          <w:szCs w:val="20"/>
        </w:rPr>
        <w:t>...</w:t>
      </w:r>
      <w:r w:rsidRPr="007C1FE7">
        <w:rPr>
          <w:rFonts w:ascii="Times New Roman" w:hAnsi="Times New Roman"/>
          <w:color w:val="auto"/>
          <w:sz w:val="20"/>
          <w:szCs w:val="20"/>
        </w:rPr>
        <w:t>....109</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12.4.  </w:t>
      </w:r>
      <w:r w:rsidR="00F835AA">
        <w:rPr>
          <w:rFonts w:ascii="Times New Roman" w:hAnsi="Times New Roman"/>
          <w:color w:val="auto"/>
          <w:sz w:val="20"/>
          <w:szCs w:val="20"/>
        </w:rPr>
        <w:tab/>
      </w:r>
      <w:r w:rsidRPr="007C1FE7">
        <w:rPr>
          <w:rFonts w:ascii="Times New Roman" w:hAnsi="Times New Roman"/>
          <w:color w:val="auto"/>
          <w:sz w:val="20"/>
          <w:szCs w:val="20"/>
        </w:rPr>
        <w:t xml:space="preserve">Hodnotenie úrovne vedeckovýskumnej a umeleckej činnosti na STU za rok 2018 z pohľadu </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w:t>
      </w:r>
      <w:r w:rsidR="00F835AA">
        <w:rPr>
          <w:rFonts w:ascii="Times New Roman" w:hAnsi="Times New Roman"/>
          <w:color w:val="auto"/>
          <w:sz w:val="20"/>
          <w:szCs w:val="20"/>
        </w:rPr>
        <w:tab/>
      </w:r>
      <w:r w:rsidRPr="007C1FE7">
        <w:rPr>
          <w:rFonts w:ascii="Times New Roman" w:hAnsi="Times New Roman"/>
          <w:color w:val="auto"/>
          <w:sz w:val="20"/>
          <w:szCs w:val="20"/>
        </w:rPr>
        <w:t>Vedeckej  rady STU........................................................................................</w:t>
      </w:r>
      <w:r w:rsidR="00F835AA">
        <w:rPr>
          <w:rFonts w:ascii="Times New Roman" w:hAnsi="Times New Roman"/>
          <w:color w:val="auto"/>
          <w:sz w:val="20"/>
          <w:szCs w:val="20"/>
        </w:rPr>
        <w:t>.............................</w:t>
      </w:r>
      <w:r w:rsidRPr="007C1FE7">
        <w:rPr>
          <w:rFonts w:ascii="Times New Roman" w:hAnsi="Times New Roman"/>
          <w:color w:val="auto"/>
          <w:sz w:val="20"/>
          <w:szCs w:val="20"/>
        </w:rPr>
        <w:t>...111</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12.5.  </w:t>
      </w:r>
      <w:r w:rsidR="00F835AA">
        <w:rPr>
          <w:rFonts w:ascii="Times New Roman" w:hAnsi="Times New Roman"/>
          <w:color w:val="auto"/>
          <w:sz w:val="20"/>
          <w:szCs w:val="20"/>
        </w:rPr>
        <w:tab/>
      </w:r>
      <w:r w:rsidRPr="007C1FE7">
        <w:rPr>
          <w:rFonts w:ascii="Times New Roman" w:hAnsi="Times New Roman"/>
          <w:color w:val="auto"/>
          <w:sz w:val="20"/>
          <w:szCs w:val="20"/>
        </w:rPr>
        <w:t xml:space="preserve">Hodnotenie úrovne vzdelávacej činnosti na STU za akademický rok 2017-2018 z pohľadu </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        </w:t>
      </w:r>
      <w:r w:rsidR="00F835AA">
        <w:rPr>
          <w:rFonts w:ascii="Times New Roman" w:hAnsi="Times New Roman"/>
          <w:color w:val="auto"/>
          <w:sz w:val="20"/>
          <w:szCs w:val="20"/>
        </w:rPr>
        <w:tab/>
      </w:r>
      <w:r w:rsidRPr="007C1FE7">
        <w:rPr>
          <w:rFonts w:ascii="Times New Roman" w:hAnsi="Times New Roman"/>
          <w:color w:val="auto"/>
          <w:sz w:val="20"/>
          <w:szCs w:val="20"/>
        </w:rPr>
        <w:t>Vedeckej rady STU..........................................................................................</w:t>
      </w:r>
      <w:r w:rsidR="00F835AA">
        <w:rPr>
          <w:rFonts w:ascii="Times New Roman" w:hAnsi="Times New Roman"/>
          <w:color w:val="auto"/>
          <w:sz w:val="20"/>
          <w:szCs w:val="20"/>
        </w:rPr>
        <w:t>.............................</w:t>
      </w:r>
      <w:r w:rsidRPr="007C1FE7">
        <w:rPr>
          <w:rFonts w:ascii="Times New Roman" w:hAnsi="Times New Roman"/>
          <w:color w:val="auto"/>
          <w:sz w:val="20"/>
          <w:szCs w:val="20"/>
        </w:rPr>
        <w:t>..111</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13.     </w:t>
      </w:r>
      <w:r w:rsidR="00F835AA">
        <w:rPr>
          <w:rFonts w:ascii="Times New Roman" w:hAnsi="Times New Roman"/>
          <w:color w:val="auto"/>
          <w:sz w:val="20"/>
          <w:szCs w:val="20"/>
        </w:rPr>
        <w:tab/>
      </w:r>
      <w:r w:rsidRPr="007C1FE7">
        <w:rPr>
          <w:rFonts w:ascii="Times New Roman" w:hAnsi="Times New Roman"/>
          <w:color w:val="auto"/>
          <w:sz w:val="20"/>
          <w:szCs w:val="20"/>
        </w:rPr>
        <w:t>Sumár......................................................................................................</w:t>
      </w:r>
      <w:r w:rsidR="00F835AA">
        <w:rPr>
          <w:rFonts w:ascii="Times New Roman" w:hAnsi="Times New Roman"/>
          <w:color w:val="auto"/>
          <w:sz w:val="20"/>
          <w:szCs w:val="20"/>
        </w:rPr>
        <w:t>......................................</w:t>
      </w:r>
      <w:r w:rsidRPr="007C1FE7">
        <w:rPr>
          <w:rFonts w:ascii="Times New Roman" w:hAnsi="Times New Roman"/>
          <w:color w:val="auto"/>
          <w:sz w:val="20"/>
          <w:szCs w:val="20"/>
        </w:rPr>
        <w:t>..114</w:t>
      </w:r>
    </w:p>
    <w:p w:rsidR="007C1FE7" w:rsidRPr="007C1FE7"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14      </w:t>
      </w:r>
      <w:r w:rsidR="00F835AA">
        <w:rPr>
          <w:rFonts w:ascii="Times New Roman" w:hAnsi="Times New Roman"/>
          <w:color w:val="auto"/>
          <w:sz w:val="20"/>
          <w:szCs w:val="20"/>
        </w:rPr>
        <w:tab/>
      </w:r>
      <w:r w:rsidRPr="007C1FE7">
        <w:rPr>
          <w:rFonts w:ascii="Times New Roman" w:hAnsi="Times New Roman"/>
          <w:color w:val="auto"/>
          <w:sz w:val="20"/>
          <w:szCs w:val="20"/>
        </w:rPr>
        <w:t>Kontaktné údaje...........................................................................................</w:t>
      </w:r>
      <w:r w:rsidR="00F835AA">
        <w:rPr>
          <w:rFonts w:ascii="Times New Roman" w:hAnsi="Times New Roman"/>
          <w:color w:val="auto"/>
          <w:sz w:val="20"/>
          <w:szCs w:val="20"/>
        </w:rPr>
        <w:t>................................</w:t>
      </w:r>
      <w:r w:rsidRPr="007C1FE7">
        <w:rPr>
          <w:rFonts w:ascii="Times New Roman" w:hAnsi="Times New Roman"/>
          <w:color w:val="auto"/>
          <w:sz w:val="20"/>
          <w:szCs w:val="20"/>
        </w:rPr>
        <w:t>...115</w:t>
      </w:r>
    </w:p>
    <w:p w:rsidR="00F4181F" w:rsidRPr="00EF2265" w:rsidRDefault="007C1FE7" w:rsidP="007C1FE7">
      <w:pPr>
        <w:jc w:val="left"/>
        <w:rPr>
          <w:rFonts w:ascii="Times New Roman" w:hAnsi="Times New Roman"/>
          <w:color w:val="auto"/>
          <w:sz w:val="20"/>
          <w:szCs w:val="20"/>
        </w:rPr>
      </w:pPr>
      <w:r w:rsidRPr="007C1FE7">
        <w:rPr>
          <w:rFonts w:ascii="Times New Roman" w:hAnsi="Times New Roman"/>
          <w:color w:val="auto"/>
          <w:sz w:val="20"/>
          <w:szCs w:val="20"/>
        </w:rPr>
        <w:t xml:space="preserve">15      </w:t>
      </w:r>
      <w:r w:rsidR="00F835AA">
        <w:rPr>
          <w:rFonts w:ascii="Times New Roman" w:hAnsi="Times New Roman"/>
          <w:color w:val="auto"/>
          <w:sz w:val="20"/>
          <w:szCs w:val="20"/>
        </w:rPr>
        <w:tab/>
      </w:r>
      <w:r w:rsidRPr="007C1FE7">
        <w:rPr>
          <w:rFonts w:ascii="Times New Roman" w:hAnsi="Times New Roman"/>
          <w:color w:val="auto"/>
          <w:sz w:val="20"/>
          <w:szCs w:val="20"/>
        </w:rPr>
        <w:t>Prílohy a tabuľky.........................................................................................</w:t>
      </w:r>
      <w:r w:rsidR="00F835AA">
        <w:rPr>
          <w:rFonts w:ascii="Times New Roman" w:hAnsi="Times New Roman"/>
          <w:color w:val="auto"/>
          <w:sz w:val="20"/>
          <w:szCs w:val="20"/>
        </w:rPr>
        <w:t>................................</w:t>
      </w:r>
      <w:r w:rsidRPr="007C1FE7">
        <w:rPr>
          <w:rFonts w:ascii="Times New Roman" w:hAnsi="Times New Roman"/>
          <w:color w:val="auto"/>
          <w:sz w:val="20"/>
          <w:szCs w:val="20"/>
        </w:rPr>
        <w:t>...115</w:t>
      </w:r>
    </w:p>
    <w:p w:rsidR="00F4181F" w:rsidRPr="00EF2265" w:rsidRDefault="00F4181F" w:rsidP="00E86605">
      <w:pPr>
        <w:jc w:val="left"/>
        <w:rPr>
          <w:rFonts w:ascii="Times New Roman" w:hAnsi="Times New Roman"/>
          <w:sz w:val="20"/>
          <w:szCs w:val="20"/>
        </w:rPr>
      </w:pPr>
    </w:p>
    <w:p w:rsidR="00F4181F" w:rsidRPr="00FD2950" w:rsidRDefault="00FC7509" w:rsidP="00E86605">
      <w:pPr>
        <w:jc w:val="left"/>
        <w:rPr>
          <w:rFonts w:ascii="Times New Roman" w:hAnsi="Times New Roman"/>
          <w:b/>
          <w:sz w:val="20"/>
          <w:szCs w:val="20"/>
        </w:rPr>
      </w:pPr>
      <w:r w:rsidRPr="00FD2950">
        <w:rPr>
          <w:rFonts w:ascii="Times New Roman" w:hAnsi="Times New Roman"/>
          <w:b/>
          <w:sz w:val="20"/>
          <w:szCs w:val="20"/>
        </w:rPr>
        <w:t xml:space="preserve">Prílohy: </w:t>
      </w:r>
    </w:p>
    <w:p w:rsidR="00FC7509" w:rsidRPr="00EF2265" w:rsidRDefault="00FC7509" w:rsidP="00E86605">
      <w:pPr>
        <w:pStyle w:val="Odsekzoznamu"/>
        <w:numPr>
          <w:ilvl w:val="0"/>
          <w:numId w:val="79"/>
        </w:numPr>
        <w:rPr>
          <w:rFonts w:ascii="Times New Roman" w:hAnsi="Times New Roman"/>
          <w:color w:val="auto"/>
          <w:sz w:val="20"/>
          <w:szCs w:val="20"/>
        </w:rPr>
      </w:pPr>
      <w:r w:rsidRPr="00EF2265">
        <w:rPr>
          <w:rFonts w:ascii="Times New Roman" w:hAnsi="Times New Roman"/>
          <w:color w:val="auto"/>
          <w:sz w:val="20"/>
          <w:szCs w:val="20"/>
        </w:rPr>
        <w:t>Dodatok číslo 7 k Organizačnému poriadku Slovenskej technickej univerzity v Bratislave, ktorý ustanovil pôsobnosť fakúlt v oblasti informačných technológií a ochrany osobných údajov a zároveň reflektoval vznik Poradenského centra STU ako ďalšieho z univerzitných pracovísk</w:t>
      </w:r>
    </w:p>
    <w:p w:rsidR="00FC7509" w:rsidRDefault="00FC7509" w:rsidP="00E86605">
      <w:pPr>
        <w:pStyle w:val="Odsekzoznamu"/>
        <w:numPr>
          <w:ilvl w:val="0"/>
          <w:numId w:val="79"/>
        </w:numPr>
        <w:rPr>
          <w:rFonts w:ascii="Times New Roman" w:hAnsi="Times New Roman"/>
          <w:sz w:val="20"/>
          <w:szCs w:val="20"/>
        </w:rPr>
      </w:pPr>
      <w:r w:rsidRPr="00EF2265">
        <w:rPr>
          <w:rFonts w:ascii="Times New Roman" w:hAnsi="Times New Roman"/>
          <w:sz w:val="20"/>
          <w:szCs w:val="20"/>
        </w:rPr>
        <w:t>Tabuľky</w:t>
      </w: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Default="004741A3" w:rsidP="004741A3">
      <w:pPr>
        <w:rPr>
          <w:rFonts w:ascii="Times New Roman" w:hAnsi="Times New Roman"/>
          <w:sz w:val="20"/>
          <w:szCs w:val="20"/>
        </w:rPr>
      </w:pPr>
    </w:p>
    <w:p w:rsidR="004741A3" w:rsidRPr="004741A3" w:rsidRDefault="004741A3" w:rsidP="004741A3">
      <w:pPr>
        <w:rPr>
          <w:rFonts w:ascii="Times New Roman" w:hAnsi="Times New Roman"/>
          <w:sz w:val="20"/>
          <w:szCs w:val="20"/>
        </w:rPr>
      </w:pPr>
    </w:p>
    <w:p w:rsidR="00F4181F" w:rsidRDefault="00F4181F" w:rsidP="00E86605">
      <w:pPr>
        <w:ind w:left="360"/>
        <w:jc w:val="left"/>
        <w:rPr>
          <w:rFonts w:ascii="Times New Roman" w:hAnsi="Times New Roman"/>
          <w:sz w:val="20"/>
          <w:szCs w:val="20"/>
        </w:rPr>
      </w:pPr>
    </w:p>
    <w:p w:rsidR="000830B6" w:rsidRDefault="000830B6" w:rsidP="00E86605">
      <w:pPr>
        <w:ind w:left="360"/>
        <w:jc w:val="left"/>
        <w:rPr>
          <w:rFonts w:ascii="Times New Roman" w:hAnsi="Times New Roman"/>
          <w:sz w:val="20"/>
          <w:szCs w:val="20"/>
        </w:rPr>
      </w:pPr>
    </w:p>
    <w:p w:rsidR="00A53767" w:rsidRPr="00210165" w:rsidRDefault="00A53767" w:rsidP="00E86605">
      <w:pPr>
        <w:pStyle w:val="Odsekzoznamu"/>
        <w:numPr>
          <w:ilvl w:val="0"/>
          <w:numId w:val="81"/>
        </w:numPr>
        <w:rPr>
          <w:rFonts w:ascii="Times New Roman" w:hAnsi="Times New Roman"/>
          <w:b/>
          <w:sz w:val="24"/>
          <w:szCs w:val="24"/>
        </w:rPr>
      </w:pPr>
      <w:r w:rsidRPr="00210165">
        <w:rPr>
          <w:rFonts w:ascii="Times New Roman" w:hAnsi="Times New Roman"/>
          <w:b/>
          <w:sz w:val="24"/>
          <w:szCs w:val="24"/>
        </w:rPr>
        <w:t>Základné informácie o vysokej škole</w:t>
      </w:r>
    </w:p>
    <w:p w:rsidR="00552F53" w:rsidRPr="00EF2265" w:rsidRDefault="00552F53" w:rsidP="00E86605">
      <w:pPr>
        <w:jc w:val="left"/>
        <w:rPr>
          <w:rFonts w:ascii="Times New Roman" w:hAnsi="Times New Roman"/>
          <w:sz w:val="20"/>
          <w:szCs w:val="20"/>
        </w:rPr>
      </w:pPr>
      <w:r w:rsidRPr="00210165">
        <w:rPr>
          <w:rFonts w:ascii="Times New Roman" w:hAnsi="Times New Roman"/>
          <w:b/>
          <w:sz w:val="20"/>
          <w:szCs w:val="20"/>
        </w:rPr>
        <w:lastRenderedPageBreak/>
        <w:t xml:space="preserve">Názov vysokej školy: </w:t>
      </w:r>
      <w:r w:rsidRPr="00EF2265">
        <w:rPr>
          <w:rFonts w:ascii="Times New Roman" w:hAnsi="Times New Roman"/>
          <w:sz w:val="20"/>
          <w:szCs w:val="20"/>
        </w:rPr>
        <w:t>Slovenská technická univerzita v Bratislave</w:t>
      </w:r>
    </w:p>
    <w:p w:rsidR="00B23142" w:rsidRPr="00210165" w:rsidRDefault="00B23142" w:rsidP="00E86605">
      <w:pPr>
        <w:jc w:val="left"/>
        <w:rPr>
          <w:rFonts w:ascii="Times New Roman" w:hAnsi="Times New Roman"/>
          <w:b/>
          <w:sz w:val="20"/>
          <w:szCs w:val="20"/>
        </w:rPr>
      </w:pPr>
    </w:p>
    <w:p w:rsidR="00552F53" w:rsidRPr="00EF2265" w:rsidRDefault="00552F53" w:rsidP="00E86605">
      <w:pPr>
        <w:jc w:val="left"/>
        <w:rPr>
          <w:rFonts w:ascii="Times New Roman" w:hAnsi="Times New Roman"/>
          <w:sz w:val="20"/>
          <w:szCs w:val="20"/>
        </w:rPr>
      </w:pPr>
      <w:r w:rsidRPr="00210165">
        <w:rPr>
          <w:rFonts w:ascii="Times New Roman" w:hAnsi="Times New Roman"/>
          <w:b/>
          <w:sz w:val="20"/>
          <w:szCs w:val="20"/>
        </w:rPr>
        <w:t>Začlenenie vysokej školy:</w:t>
      </w:r>
      <w:r w:rsidRPr="00EF2265">
        <w:rPr>
          <w:rFonts w:ascii="Times New Roman" w:hAnsi="Times New Roman"/>
          <w:sz w:val="20"/>
          <w:szCs w:val="20"/>
        </w:rPr>
        <w:t xml:space="preserve"> univerzitná vysoká škola</w:t>
      </w:r>
    </w:p>
    <w:p w:rsidR="00B23142" w:rsidRPr="00EF2265" w:rsidRDefault="00B23142" w:rsidP="00E86605">
      <w:pPr>
        <w:jc w:val="left"/>
        <w:rPr>
          <w:rFonts w:ascii="Times New Roman" w:hAnsi="Times New Roman"/>
          <w:sz w:val="20"/>
          <w:szCs w:val="20"/>
        </w:rPr>
      </w:pPr>
    </w:p>
    <w:p w:rsidR="00A53767" w:rsidRPr="00EF2265" w:rsidRDefault="0087170D" w:rsidP="00E86605">
      <w:pPr>
        <w:jc w:val="left"/>
        <w:rPr>
          <w:rFonts w:ascii="Times New Roman" w:hAnsi="Times New Roman"/>
          <w:sz w:val="20"/>
          <w:szCs w:val="20"/>
        </w:rPr>
      </w:pPr>
      <w:r w:rsidRPr="00210165">
        <w:rPr>
          <w:rFonts w:ascii="Times New Roman" w:hAnsi="Times New Roman"/>
          <w:b/>
          <w:sz w:val="20"/>
          <w:szCs w:val="20"/>
        </w:rPr>
        <w:t>Typ vysokej školy:</w:t>
      </w:r>
      <w:r w:rsidRPr="00EF2265">
        <w:rPr>
          <w:rFonts w:ascii="Times New Roman" w:hAnsi="Times New Roman"/>
          <w:sz w:val="20"/>
          <w:szCs w:val="20"/>
        </w:rPr>
        <w:t xml:space="preserve"> verejná vysoká škola</w:t>
      </w:r>
    </w:p>
    <w:p w:rsidR="00B23142" w:rsidRPr="00EF2265" w:rsidRDefault="00B23142" w:rsidP="00E86605">
      <w:pPr>
        <w:jc w:val="left"/>
        <w:rPr>
          <w:rFonts w:ascii="Times New Roman" w:hAnsi="Times New Roman"/>
          <w:sz w:val="20"/>
          <w:szCs w:val="20"/>
        </w:rPr>
      </w:pPr>
    </w:p>
    <w:p w:rsidR="003F0B5D" w:rsidRPr="00EF2265" w:rsidRDefault="0084583D" w:rsidP="00E86605">
      <w:pPr>
        <w:jc w:val="left"/>
        <w:rPr>
          <w:rFonts w:ascii="Times New Roman" w:hAnsi="Times New Roman"/>
          <w:sz w:val="20"/>
          <w:szCs w:val="20"/>
        </w:rPr>
      </w:pPr>
      <w:r w:rsidRPr="00210165">
        <w:rPr>
          <w:rFonts w:ascii="Times New Roman" w:hAnsi="Times New Roman"/>
          <w:b/>
          <w:sz w:val="20"/>
          <w:szCs w:val="20"/>
        </w:rPr>
        <w:t>Poslanie vysokej školy:</w:t>
      </w:r>
      <w:r w:rsidRPr="00EF2265">
        <w:rPr>
          <w:rFonts w:ascii="Times New Roman" w:hAnsi="Times New Roman"/>
          <w:sz w:val="20"/>
          <w:szCs w:val="20"/>
        </w:rPr>
        <w:t xml:space="preserve"> </w:t>
      </w:r>
      <w:r w:rsidR="003F0B5D" w:rsidRPr="00EF2265">
        <w:rPr>
          <w:rFonts w:ascii="Times New Roman" w:hAnsi="Times New Roman"/>
          <w:sz w:val="20"/>
          <w:szCs w:val="20"/>
        </w:rPr>
        <w:t xml:space="preserve">Slovenská technická univerzita v Bratislave vychováva generáciu, ktorá je základom budúcej ekonomiky Slovenska. Praktická výučba, zapájanie študentov do výskumu a orientácia na inovatívne oblasti je predpokladom prípravy generácie pre ekonomiku, ktorá bude udržateľná, konkurencie schopná, inovatívna a bude tvoriť zamestnanosť. </w:t>
      </w:r>
    </w:p>
    <w:p w:rsidR="0087170D" w:rsidRPr="00EF2265" w:rsidRDefault="0087170D" w:rsidP="00E86605">
      <w:pPr>
        <w:jc w:val="left"/>
        <w:rPr>
          <w:rFonts w:ascii="Times New Roman" w:hAnsi="Times New Roman"/>
          <w:sz w:val="20"/>
          <w:szCs w:val="20"/>
        </w:rPr>
      </w:pPr>
    </w:p>
    <w:p w:rsidR="00B23142" w:rsidRPr="00EF2265" w:rsidRDefault="00B23142" w:rsidP="00E86605">
      <w:pPr>
        <w:jc w:val="left"/>
        <w:rPr>
          <w:rFonts w:ascii="Times New Roman" w:hAnsi="Times New Roman"/>
          <w:b/>
          <w:sz w:val="20"/>
          <w:szCs w:val="20"/>
        </w:rPr>
      </w:pPr>
      <w:r w:rsidRPr="00EF2265">
        <w:rPr>
          <w:rFonts w:ascii="Times New Roman" w:hAnsi="Times New Roman"/>
          <w:b/>
          <w:sz w:val="20"/>
          <w:szCs w:val="20"/>
        </w:rPr>
        <w:t xml:space="preserve">Vedenie vysokej školy: </w:t>
      </w:r>
    </w:p>
    <w:p w:rsidR="00227236" w:rsidRPr="00EF2265" w:rsidRDefault="005424B7" w:rsidP="00E86605">
      <w:pPr>
        <w:jc w:val="left"/>
        <w:rPr>
          <w:rFonts w:ascii="Times New Roman" w:hAnsi="Times New Roman"/>
          <w:noProof/>
          <w:sz w:val="20"/>
          <w:szCs w:val="20"/>
        </w:rPr>
      </w:pPr>
      <w:r>
        <w:rPr>
          <w:rFonts w:ascii="Times New Roman" w:hAnsi="Times New Roman"/>
          <w:noProof/>
          <w:sz w:val="20"/>
          <w:szCs w:val="20"/>
        </w:rPr>
        <w:t xml:space="preserve">prof.h.c. </w:t>
      </w:r>
      <w:r w:rsidR="00227236" w:rsidRPr="00EF2265">
        <w:rPr>
          <w:rFonts w:ascii="Times New Roman" w:hAnsi="Times New Roman"/>
          <w:noProof/>
          <w:sz w:val="20"/>
          <w:szCs w:val="20"/>
        </w:rPr>
        <w:t>prof. Ing. Robert REDHAMMER, PhD.</w:t>
      </w:r>
      <w:r w:rsidR="00227236" w:rsidRPr="00EF2265">
        <w:rPr>
          <w:rFonts w:ascii="Times New Roman" w:hAnsi="Times New Roman"/>
          <w:b/>
          <w:noProof/>
          <w:sz w:val="20"/>
          <w:szCs w:val="20"/>
        </w:rPr>
        <w:t xml:space="preserve"> </w:t>
      </w:r>
      <w:r w:rsidR="00227236" w:rsidRPr="00EF2265">
        <w:rPr>
          <w:rFonts w:ascii="Times New Roman" w:hAnsi="Times New Roman"/>
          <w:noProof/>
          <w:sz w:val="20"/>
          <w:szCs w:val="20"/>
        </w:rPr>
        <w:t>(od. 23. 3. 2011)</w:t>
      </w:r>
    </w:p>
    <w:p w:rsidR="00227236" w:rsidRPr="00EF2265" w:rsidRDefault="00227236" w:rsidP="00E86605">
      <w:pPr>
        <w:jc w:val="left"/>
        <w:rPr>
          <w:rFonts w:ascii="Times New Roman" w:hAnsi="Times New Roman"/>
          <w:i/>
          <w:noProof/>
          <w:sz w:val="20"/>
          <w:szCs w:val="20"/>
        </w:rPr>
      </w:pPr>
      <w:r w:rsidRPr="00EF2265">
        <w:rPr>
          <w:rFonts w:ascii="Times New Roman" w:hAnsi="Times New Roman"/>
          <w:i/>
          <w:noProof/>
          <w:sz w:val="20"/>
          <w:szCs w:val="20"/>
        </w:rPr>
        <w:t>rektor</w:t>
      </w:r>
      <w:r w:rsidR="004E55A4" w:rsidRPr="00EF2265">
        <w:rPr>
          <w:rFonts w:ascii="Times New Roman" w:hAnsi="Times New Roman"/>
          <w:i/>
          <w:noProof/>
          <w:sz w:val="20"/>
          <w:szCs w:val="20"/>
        </w:rPr>
        <w:t xml:space="preserve"> </w:t>
      </w:r>
    </w:p>
    <w:p w:rsidR="00227236" w:rsidRPr="00EF2265" w:rsidRDefault="00227236" w:rsidP="00E86605">
      <w:pPr>
        <w:jc w:val="left"/>
        <w:rPr>
          <w:rFonts w:ascii="Times New Roman" w:hAnsi="Times New Roman"/>
          <w:i/>
          <w:noProof/>
          <w:sz w:val="20"/>
          <w:szCs w:val="20"/>
        </w:rPr>
      </w:pPr>
    </w:p>
    <w:p w:rsidR="00227236" w:rsidRPr="00EF2265" w:rsidRDefault="00227236" w:rsidP="00E86605">
      <w:pPr>
        <w:jc w:val="left"/>
        <w:rPr>
          <w:rFonts w:ascii="Times New Roman" w:hAnsi="Times New Roman"/>
          <w:noProof/>
          <w:sz w:val="20"/>
          <w:szCs w:val="20"/>
        </w:rPr>
      </w:pPr>
      <w:r w:rsidRPr="00EF2265">
        <w:rPr>
          <w:rFonts w:ascii="Times New Roman" w:hAnsi="Times New Roman"/>
          <w:noProof/>
          <w:sz w:val="20"/>
          <w:szCs w:val="20"/>
        </w:rPr>
        <w:t>prof. Ing. Marián PECIAR, PhD. (od 29. 3. 2011)</w:t>
      </w:r>
    </w:p>
    <w:p w:rsidR="00227236" w:rsidRPr="00EF2265" w:rsidRDefault="00227236" w:rsidP="00E86605">
      <w:pPr>
        <w:jc w:val="left"/>
        <w:rPr>
          <w:rFonts w:ascii="Times New Roman" w:hAnsi="Times New Roman"/>
          <w:i/>
          <w:noProof/>
          <w:sz w:val="20"/>
          <w:szCs w:val="20"/>
        </w:rPr>
      </w:pPr>
      <w:r w:rsidRPr="00EF2265">
        <w:rPr>
          <w:rFonts w:ascii="Times New Roman" w:hAnsi="Times New Roman"/>
          <w:i/>
          <w:noProof/>
          <w:sz w:val="20"/>
          <w:szCs w:val="20"/>
        </w:rPr>
        <w:t>prorektor pre spoluprácu s praxou</w:t>
      </w:r>
    </w:p>
    <w:p w:rsidR="00227236" w:rsidRPr="00EF2265" w:rsidRDefault="00227236" w:rsidP="00E86605">
      <w:pPr>
        <w:jc w:val="left"/>
        <w:rPr>
          <w:rFonts w:ascii="Times New Roman" w:hAnsi="Times New Roman"/>
          <w:i/>
          <w:noProof/>
          <w:sz w:val="20"/>
          <w:szCs w:val="20"/>
        </w:rPr>
      </w:pPr>
      <w:r w:rsidRPr="00EF2265">
        <w:rPr>
          <w:rFonts w:ascii="Times New Roman" w:hAnsi="Times New Roman"/>
          <w:i/>
          <w:noProof/>
          <w:sz w:val="20"/>
          <w:szCs w:val="20"/>
        </w:rPr>
        <w:t>štatutárny zástupca</w:t>
      </w:r>
    </w:p>
    <w:p w:rsidR="00227236" w:rsidRPr="00EF2265" w:rsidRDefault="00227236" w:rsidP="00E86605">
      <w:pPr>
        <w:jc w:val="left"/>
        <w:rPr>
          <w:rFonts w:ascii="Times New Roman" w:hAnsi="Times New Roman"/>
          <w:i/>
          <w:noProof/>
          <w:sz w:val="20"/>
          <w:szCs w:val="20"/>
        </w:rPr>
      </w:pPr>
      <w:r w:rsidRPr="00EF2265">
        <w:rPr>
          <w:rFonts w:ascii="Times New Roman" w:hAnsi="Times New Roman"/>
          <w:i/>
          <w:noProof/>
          <w:sz w:val="20"/>
          <w:szCs w:val="20"/>
        </w:rPr>
        <w:t xml:space="preserve">poverený </w:t>
      </w:r>
      <w:r w:rsidRPr="00EF2265">
        <w:rPr>
          <w:rFonts w:ascii="Times New Roman" w:hAnsi="Times New Roman"/>
          <w:i/>
          <w:iCs/>
          <w:noProof/>
          <w:sz w:val="20"/>
          <w:szCs w:val="20"/>
        </w:rPr>
        <w:t>riadením oblasti vedy a výskumu (od 25. 11. 2016)</w:t>
      </w:r>
    </w:p>
    <w:p w:rsidR="00227236" w:rsidRPr="00EF2265" w:rsidRDefault="00227236" w:rsidP="00E86605">
      <w:pPr>
        <w:jc w:val="left"/>
        <w:rPr>
          <w:rFonts w:ascii="Times New Roman" w:hAnsi="Times New Roman"/>
          <w:i/>
          <w:noProof/>
          <w:sz w:val="20"/>
          <w:szCs w:val="20"/>
        </w:rPr>
      </w:pPr>
    </w:p>
    <w:p w:rsidR="00227236" w:rsidRPr="00EF2265" w:rsidRDefault="00227236" w:rsidP="00E86605">
      <w:pPr>
        <w:jc w:val="left"/>
        <w:rPr>
          <w:rFonts w:ascii="Times New Roman" w:hAnsi="Times New Roman"/>
          <w:noProof/>
          <w:sz w:val="20"/>
          <w:szCs w:val="20"/>
        </w:rPr>
      </w:pPr>
      <w:r w:rsidRPr="00EF2265">
        <w:rPr>
          <w:rFonts w:ascii="Times New Roman" w:hAnsi="Times New Roman"/>
          <w:noProof/>
          <w:sz w:val="20"/>
          <w:szCs w:val="20"/>
        </w:rPr>
        <w:t>prof. Ing. Štefan STANKO, PhD. (od 8. 4. 2015)</w:t>
      </w:r>
    </w:p>
    <w:p w:rsidR="00227236" w:rsidRPr="00EF2265" w:rsidRDefault="00227236" w:rsidP="00E86605">
      <w:pPr>
        <w:jc w:val="left"/>
        <w:rPr>
          <w:rFonts w:ascii="Times New Roman" w:hAnsi="Times New Roman"/>
          <w:i/>
          <w:noProof/>
          <w:sz w:val="20"/>
          <w:szCs w:val="20"/>
        </w:rPr>
      </w:pPr>
      <w:r w:rsidRPr="00EF2265">
        <w:rPr>
          <w:rFonts w:ascii="Times New Roman" w:hAnsi="Times New Roman"/>
          <w:i/>
          <w:noProof/>
          <w:sz w:val="20"/>
          <w:szCs w:val="20"/>
        </w:rPr>
        <w:t>prorektor pre vzdelávanie a medzinárodné vzťahy</w:t>
      </w:r>
    </w:p>
    <w:p w:rsidR="00227236" w:rsidRPr="00EF2265" w:rsidRDefault="00227236" w:rsidP="00E86605">
      <w:pPr>
        <w:jc w:val="left"/>
        <w:rPr>
          <w:rFonts w:ascii="Times New Roman" w:hAnsi="Times New Roman"/>
          <w:i/>
          <w:noProof/>
          <w:sz w:val="20"/>
          <w:szCs w:val="20"/>
        </w:rPr>
      </w:pPr>
    </w:p>
    <w:p w:rsidR="00227236" w:rsidRPr="00EF2265" w:rsidRDefault="00227236" w:rsidP="00E86605">
      <w:pPr>
        <w:jc w:val="left"/>
        <w:rPr>
          <w:rFonts w:ascii="Times New Roman" w:hAnsi="Times New Roman"/>
          <w:noProof/>
          <w:sz w:val="20"/>
          <w:szCs w:val="20"/>
        </w:rPr>
      </w:pPr>
      <w:r w:rsidRPr="00EF2265">
        <w:rPr>
          <w:rFonts w:ascii="Times New Roman" w:hAnsi="Times New Roman"/>
          <w:bCs/>
          <w:noProof/>
          <w:sz w:val="20"/>
          <w:szCs w:val="20"/>
        </w:rPr>
        <w:t xml:space="preserve">Dr.h.c. prof. h.c., </w:t>
      </w:r>
      <w:r w:rsidRPr="00EF2265">
        <w:rPr>
          <w:rFonts w:ascii="Times New Roman" w:hAnsi="Times New Roman"/>
          <w:noProof/>
          <w:sz w:val="20"/>
          <w:szCs w:val="20"/>
        </w:rPr>
        <w:t>prof. Dr. Ing. Oliver MORAVČÍK (od 8. 4. 2015)</w:t>
      </w:r>
    </w:p>
    <w:p w:rsidR="00227236" w:rsidRPr="00EF2265" w:rsidRDefault="00227236" w:rsidP="00E86605">
      <w:pPr>
        <w:jc w:val="left"/>
        <w:rPr>
          <w:rFonts w:ascii="Times New Roman" w:hAnsi="Times New Roman"/>
          <w:i/>
          <w:noProof/>
          <w:sz w:val="20"/>
          <w:szCs w:val="20"/>
        </w:rPr>
      </w:pPr>
      <w:r w:rsidRPr="00EF2265">
        <w:rPr>
          <w:rFonts w:ascii="Times New Roman" w:hAnsi="Times New Roman"/>
          <w:i/>
          <w:noProof/>
          <w:sz w:val="20"/>
          <w:szCs w:val="20"/>
        </w:rPr>
        <w:t>prorektor pre strategické projekty a rozvoj</w:t>
      </w:r>
    </w:p>
    <w:p w:rsidR="00227236" w:rsidRPr="00EF2265" w:rsidRDefault="00227236" w:rsidP="00E86605">
      <w:pPr>
        <w:jc w:val="left"/>
        <w:rPr>
          <w:rFonts w:ascii="Times New Roman" w:hAnsi="Times New Roman"/>
          <w:i/>
          <w:noProof/>
          <w:sz w:val="20"/>
          <w:szCs w:val="20"/>
        </w:rPr>
      </w:pPr>
    </w:p>
    <w:p w:rsidR="00227236" w:rsidRPr="00EF2265" w:rsidRDefault="00227236" w:rsidP="00E86605">
      <w:pPr>
        <w:pStyle w:val="Normlnywebov"/>
        <w:spacing w:beforeAutospacing="0" w:afterAutospacing="0"/>
        <w:jc w:val="left"/>
        <w:rPr>
          <w:noProof/>
          <w:sz w:val="20"/>
          <w:szCs w:val="20"/>
        </w:rPr>
      </w:pPr>
      <w:r w:rsidRPr="00EF2265">
        <w:rPr>
          <w:noProof/>
          <w:sz w:val="20"/>
          <w:szCs w:val="20"/>
        </w:rPr>
        <w:t>prof. Ing. Pavel ČIČÁK, PhD., (od 01. 7. 2016)</w:t>
      </w:r>
    </w:p>
    <w:p w:rsidR="00227236" w:rsidRPr="00EF2265" w:rsidRDefault="00227236" w:rsidP="00E86605">
      <w:pPr>
        <w:pStyle w:val="Normlnywebov"/>
        <w:spacing w:beforeAutospacing="0" w:afterAutospacing="0"/>
        <w:jc w:val="left"/>
        <w:rPr>
          <w:noProof/>
          <w:sz w:val="20"/>
          <w:szCs w:val="20"/>
        </w:rPr>
      </w:pPr>
      <w:r w:rsidRPr="00EF2265">
        <w:rPr>
          <w:i/>
          <w:iCs/>
          <w:noProof/>
          <w:sz w:val="20"/>
          <w:szCs w:val="20"/>
        </w:rPr>
        <w:t xml:space="preserve">prorektor pre </w:t>
      </w:r>
      <w:r w:rsidRPr="00EF2265">
        <w:rPr>
          <w:rStyle w:val="Zvraznenie"/>
          <w:noProof/>
          <w:sz w:val="20"/>
          <w:szCs w:val="20"/>
        </w:rPr>
        <w:t>medzinárodné vzťahy a informačné technológie</w:t>
      </w:r>
    </w:p>
    <w:p w:rsidR="00227236" w:rsidRPr="00EF2265" w:rsidRDefault="00227236" w:rsidP="00E86605">
      <w:pPr>
        <w:autoSpaceDE w:val="0"/>
        <w:autoSpaceDN w:val="0"/>
        <w:adjustRightInd w:val="0"/>
        <w:jc w:val="left"/>
        <w:rPr>
          <w:rFonts w:ascii="Times New Roman" w:hAnsi="Times New Roman"/>
          <w:i/>
          <w:noProof/>
          <w:sz w:val="20"/>
          <w:szCs w:val="20"/>
        </w:rPr>
      </w:pPr>
    </w:p>
    <w:p w:rsidR="00227236" w:rsidRPr="00EF2265" w:rsidRDefault="00227236" w:rsidP="00E86605">
      <w:pPr>
        <w:autoSpaceDE w:val="0"/>
        <w:autoSpaceDN w:val="0"/>
        <w:adjustRightInd w:val="0"/>
        <w:jc w:val="left"/>
        <w:rPr>
          <w:rFonts w:ascii="Times New Roman" w:hAnsi="Times New Roman"/>
          <w:i/>
          <w:iCs/>
          <w:noProof/>
          <w:sz w:val="20"/>
          <w:szCs w:val="20"/>
        </w:rPr>
      </w:pPr>
      <w:r w:rsidRPr="00EF2265">
        <w:rPr>
          <w:rFonts w:ascii="Times New Roman" w:hAnsi="Times New Roman"/>
          <w:noProof/>
          <w:sz w:val="20"/>
          <w:szCs w:val="20"/>
        </w:rPr>
        <w:t>Ing. Dušan FAKTOR, PhD. (od 25. 7. 2012)</w:t>
      </w:r>
    </w:p>
    <w:p w:rsidR="00227236" w:rsidRPr="00EF2265" w:rsidRDefault="00227236" w:rsidP="00E86605">
      <w:pPr>
        <w:autoSpaceDE w:val="0"/>
        <w:autoSpaceDN w:val="0"/>
        <w:adjustRightInd w:val="0"/>
        <w:jc w:val="left"/>
        <w:rPr>
          <w:rFonts w:ascii="Times New Roman" w:hAnsi="Times New Roman"/>
          <w:i/>
          <w:iCs/>
          <w:noProof/>
          <w:sz w:val="20"/>
          <w:szCs w:val="20"/>
        </w:rPr>
      </w:pPr>
      <w:r w:rsidRPr="00EF2265">
        <w:rPr>
          <w:rFonts w:ascii="Times New Roman" w:hAnsi="Times New Roman"/>
          <w:i/>
          <w:iCs/>
          <w:noProof/>
          <w:sz w:val="20"/>
          <w:szCs w:val="20"/>
        </w:rPr>
        <w:t>Kvestor</w:t>
      </w:r>
    </w:p>
    <w:p w:rsidR="00F4181F" w:rsidRPr="00EF2265" w:rsidRDefault="00F4181F" w:rsidP="00E86605">
      <w:pPr>
        <w:jc w:val="left"/>
        <w:rPr>
          <w:rFonts w:ascii="Times New Roman" w:hAnsi="Times New Roman"/>
          <w:sz w:val="20"/>
          <w:szCs w:val="20"/>
        </w:rPr>
      </w:pPr>
    </w:p>
    <w:p w:rsidR="00F4181F" w:rsidRPr="00EF2265" w:rsidRDefault="00F4181F" w:rsidP="00E86605">
      <w:pPr>
        <w:jc w:val="left"/>
        <w:rPr>
          <w:rFonts w:ascii="Times New Roman" w:hAnsi="Times New Roman"/>
          <w:sz w:val="20"/>
          <w:szCs w:val="20"/>
        </w:rPr>
      </w:pPr>
    </w:p>
    <w:p w:rsidR="00FB0B26" w:rsidRPr="00367B40" w:rsidRDefault="00FB0B26" w:rsidP="00E86605">
      <w:pPr>
        <w:pStyle w:val="Normlnywebov"/>
        <w:jc w:val="left"/>
        <w:rPr>
          <w:rStyle w:val="Siln"/>
          <w:rFonts w:eastAsiaTheme="majorEastAsia"/>
          <w:color w:val="333333"/>
        </w:rPr>
      </w:pPr>
      <w:r w:rsidRPr="00367B40">
        <w:rPr>
          <w:rStyle w:val="Siln"/>
          <w:rFonts w:eastAsiaTheme="majorEastAsia"/>
          <w:color w:val="333333"/>
        </w:rPr>
        <w:t>Akademický senát vysokej školy</w:t>
      </w:r>
      <w:r w:rsidR="00162BC6" w:rsidRPr="00367B40">
        <w:rPr>
          <w:rStyle w:val="Siln"/>
          <w:rFonts w:eastAsiaTheme="majorEastAsia"/>
          <w:color w:val="333333"/>
        </w:rPr>
        <w:t xml:space="preserve"> – funkčné obdobie 2015-2019</w:t>
      </w:r>
      <w:r w:rsidRPr="00367B40">
        <w:rPr>
          <w:rStyle w:val="Siln"/>
          <w:rFonts w:eastAsiaTheme="majorEastAsia"/>
          <w:color w:val="333333"/>
        </w:rPr>
        <w:t>:</w:t>
      </w:r>
    </w:p>
    <w:p w:rsidR="00FB0B26" w:rsidRPr="00EF2265" w:rsidRDefault="00FB0B26" w:rsidP="00E86605">
      <w:pPr>
        <w:pStyle w:val="Normlnywebov"/>
        <w:jc w:val="left"/>
        <w:rPr>
          <w:color w:val="333333"/>
          <w:sz w:val="20"/>
          <w:szCs w:val="20"/>
        </w:rPr>
      </w:pPr>
      <w:r w:rsidRPr="00EF2265">
        <w:rPr>
          <w:rStyle w:val="Siln"/>
          <w:rFonts w:eastAsiaTheme="majorEastAsia"/>
          <w:color w:val="333333"/>
          <w:sz w:val="20"/>
          <w:szCs w:val="20"/>
        </w:rPr>
        <w:t>PREDSEDA</w:t>
      </w:r>
      <w:r w:rsidRPr="00EF2265">
        <w:rPr>
          <w:color w:val="333333"/>
          <w:sz w:val="20"/>
          <w:szCs w:val="20"/>
        </w:rPr>
        <w:br/>
        <w:t>HÍVEŠ Ján, prof. Ing., PhD. (FCHPT)</w:t>
      </w:r>
    </w:p>
    <w:p w:rsidR="00FB0B26" w:rsidRPr="00EF2265" w:rsidRDefault="00FB0B26" w:rsidP="00E86605">
      <w:pPr>
        <w:pStyle w:val="Normlnywebov"/>
        <w:jc w:val="left"/>
        <w:rPr>
          <w:color w:val="333333"/>
          <w:sz w:val="20"/>
          <w:szCs w:val="20"/>
        </w:rPr>
      </w:pPr>
      <w:r w:rsidRPr="00EF2265">
        <w:rPr>
          <w:rStyle w:val="Siln"/>
          <w:rFonts w:eastAsiaTheme="majorEastAsia"/>
          <w:color w:val="333333"/>
          <w:sz w:val="20"/>
          <w:szCs w:val="20"/>
        </w:rPr>
        <w:t>PODPREDSEDA</w:t>
      </w:r>
      <w:r w:rsidRPr="00EF2265">
        <w:rPr>
          <w:color w:val="333333"/>
          <w:sz w:val="20"/>
          <w:szCs w:val="20"/>
        </w:rPr>
        <w:br/>
        <w:t>ANDRÁŠ Milan, doc. Ing. arch., PhD. (FA)</w:t>
      </w:r>
    </w:p>
    <w:p w:rsidR="00FB0B26" w:rsidRPr="00EF2265" w:rsidRDefault="00FB0B26" w:rsidP="00E86605">
      <w:pPr>
        <w:pStyle w:val="Normlnywebov"/>
        <w:jc w:val="left"/>
        <w:rPr>
          <w:color w:val="333333"/>
          <w:sz w:val="20"/>
          <w:szCs w:val="20"/>
        </w:rPr>
      </w:pPr>
      <w:r w:rsidRPr="00EF2265">
        <w:rPr>
          <w:rStyle w:val="Siln"/>
          <w:rFonts w:eastAsiaTheme="majorEastAsia"/>
          <w:color w:val="333333"/>
          <w:sz w:val="20"/>
          <w:szCs w:val="20"/>
        </w:rPr>
        <w:t>TAJOMNÍČKA</w:t>
      </w:r>
      <w:r w:rsidRPr="00EF2265">
        <w:rPr>
          <w:color w:val="333333"/>
          <w:sz w:val="20"/>
          <w:szCs w:val="20"/>
        </w:rPr>
        <w:br/>
        <w:t>DUBECKÁ Magdaléna, Mgr. (REK)</w:t>
      </w:r>
    </w:p>
    <w:p w:rsidR="00FB0B26" w:rsidRPr="00EF2265" w:rsidRDefault="00FB0B26" w:rsidP="00E86605">
      <w:pPr>
        <w:pStyle w:val="Normlnywebov"/>
        <w:jc w:val="left"/>
        <w:rPr>
          <w:color w:val="333333"/>
          <w:sz w:val="20"/>
          <w:szCs w:val="20"/>
        </w:rPr>
      </w:pPr>
      <w:r w:rsidRPr="00EF2265">
        <w:rPr>
          <w:rStyle w:val="Siln"/>
          <w:rFonts w:eastAsiaTheme="majorEastAsia"/>
          <w:color w:val="333333"/>
          <w:sz w:val="20"/>
          <w:szCs w:val="20"/>
        </w:rPr>
        <w:t>Členovia – zamestnanecká časť</w:t>
      </w:r>
      <w:r w:rsidRPr="00EF2265">
        <w:rPr>
          <w:color w:val="333333"/>
          <w:sz w:val="20"/>
          <w:szCs w:val="20"/>
        </w:rPr>
        <w:br/>
        <w:t>BOBRÍK Miroslav, prof. PhDr., CSc. (FCHPT)</w:t>
      </w:r>
      <w:r w:rsidRPr="00EF2265">
        <w:rPr>
          <w:color w:val="333333"/>
          <w:sz w:val="20"/>
          <w:szCs w:val="20"/>
        </w:rPr>
        <w:br/>
        <w:t>ČAPLOVIČ Ľubomír, prof. Ing., PhD. (MTF)</w:t>
      </w:r>
      <w:r w:rsidRPr="00EF2265">
        <w:rPr>
          <w:color w:val="333333"/>
          <w:sz w:val="20"/>
          <w:szCs w:val="20"/>
        </w:rPr>
        <w:br/>
        <w:t>FINKA Maroš, prof. Ing. arch., PhD. (ÚM)</w:t>
      </w:r>
      <w:r w:rsidRPr="00EF2265">
        <w:rPr>
          <w:color w:val="333333"/>
          <w:sz w:val="20"/>
          <w:szCs w:val="20"/>
        </w:rPr>
        <w:br/>
        <w:t>GULAN Ladislav, prof. Ing., PhD. (SjF)</w:t>
      </w:r>
      <w:r w:rsidRPr="00EF2265">
        <w:rPr>
          <w:color w:val="333333"/>
          <w:sz w:val="20"/>
          <w:szCs w:val="20"/>
        </w:rPr>
        <w:br/>
        <w:t>GUŽELA Štefan, doc. Ing., PhD. (SjF)</w:t>
      </w:r>
      <w:r w:rsidRPr="00EF2265">
        <w:rPr>
          <w:color w:val="333333"/>
          <w:sz w:val="20"/>
          <w:szCs w:val="20"/>
        </w:rPr>
        <w:br/>
        <w:t>HRUŠTINEC Ľuboš, doc. Ing., PhD. (SvF)</w:t>
      </w:r>
      <w:r w:rsidRPr="00EF2265">
        <w:rPr>
          <w:color w:val="333333"/>
          <w:sz w:val="20"/>
          <w:szCs w:val="20"/>
        </w:rPr>
        <w:br/>
        <w:t>HUDEC Ivan, prof. Ing., PhD. (FCHPT)</w:t>
      </w:r>
      <w:r w:rsidRPr="00EF2265">
        <w:rPr>
          <w:color w:val="333333"/>
          <w:sz w:val="20"/>
          <w:szCs w:val="20"/>
        </w:rPr>
        <w:br/>
        <w:t>HÚSENICOVÁ Jarmila, doc. Ing. arch., PhD. (SvF)</w:t>
      </w:r>
      <w:r w:rsidRPr="00EF2265">
        <w:rPr>
          <w:color w:val="333333"/>
          <w:sz w:val="20"/>
          <w:szCs w:val="20"/>
        </w:rPr>
        <w:br/>
        <w:t>JANÍČEK František, prof. Ing., PhD. (FEI)</w:t>
      </w:r>
      <w:r w:rsidRPr="00EF2265">
        <w:rPr>
          <w:color w:val="333333"/>
          <w:sz w:val="20"/>
          <w:szCs w:val="20"/>
        </w:rPr>
        <w:br/>
        <w:t>KOPÁČIK Alojz, prof. Ing., PhD. (SvF)</w:t>
      </w:r>
      <w:r w:rsidRPr="00EF2265">
        <w:rPr>
          <w:color w:val="333333"/>
          <w:sz w:val="20"/>
          <w:szCs w:val="20"/>
        </w:rPr>
        <w:br/>
        <w:t xml:space="preserve">KOVÁČ Bohumil, prof. Ing. arch., PhD. (FA) – </w:t>
      </w:r>
      <w:r w:rsidRPr="00EF2265">
        <w:rPr>
          <w:b/>
          <w:color w:val="333333"/>
          <w:sz w:val="20"/>
          <w:szCs w:val="20"/>
        </w:rPr>
        <w:t>od 01.10.2018</w:t>
      </w:r>
      <w:r w:rsidRPr="00EF2265">
        <w:rPr>
          <w:color w:val="333333"/>
          <w:sz w:val="20"/>
          <w:szCs w:val="20"/>
        </w:rPr>
        <w:br/>
        <w:t>LACKO Peter, Ing., PhD. (FIIT)</w:t>
      </w:r>
      <w:r w:rsidRPr="00EF2265">
        <w:rPr>
          <w:color w:val="333333"/>
          <w:sz w:val="20"/>
          <w:szCs w:val="20"/>
        </w:rPr>
        <w:br/>
        <w:t>LUKEŠ Vladimír, prof. Ing., DrSc. (FCHPT)</w:t>
      </w:r>
      <w:r w:rsidRPr="00EF2265">
        <w:rPr>
          <w:color w:val="333333"/>
          <w:sz w:val="20"/>
          <w:szCs w:val="20"/>
        </w:rPr>
        <w:br/>
        <w:t>NAĎ Milan, doc. Ing., CSc. (MTF)</w:t>
      </w:r>
      <w:r w:rsidRPr="00EF2265">
        <w:rPr>
          <w:color w:val="333333"/>
          <w:sz w:val="20"/>
          <w:szCs w:val="20"/>
        </w:rPr>
        <w:br/>
        <w:t>NAHÁLKA Pavel, Ing. arch., PhD. (FA)</w:t>
      </w:r>
      <w:r w:rsidRPr="00EF2265">
        <w:rPr>
          <w:color w:val="333333"/>
          <w:sz w:val="20"/>
          <w:szCs w:val="20"/>
        </w:rPr>
        <w:br/>
      </w:r>
      <w:r w:rsidRPr="00EF2265">
        <w:rPr>
          <w:color w:val="333333"/>
          <w:sz w:val="20"/>
          <w:szCs w:val="20"/>
        </w:rPr>
        <w:lastRenderedPageBreak/>
        <w:t>NEČAS Vladimír, prof. Ing., PhD. (FEI)</w:t>
      </w:r>
      <w:r w:rsidRPr="00EF2265">
        <w:rPr>
          <w:color w:val="333333"/>
          <w:sz w:val="20"/>
          <w:szCs w:val="20"/>
        </w:rPr>
        <w:br/>
        <w:t>PAVLOVIČOVÁ Jarmila, prof. Ing., PhD. (FEI)</w:t>
      </w:r>
      <w:r w:rsidRPr="00EF2265">
        <w:rPr>
          <w:color w:val="333333"/>
          <w:sz w:val="20"/>
          <w:szCs w:val="20"/>
        </w:rPr>
        <w:br/>
        <w:t>RIDZOŇ František, doc. Ing., CSc. (SjF)</w:t>
      </w:r>
      <w:r w:rsidRPr="00EF2265">
        <w:rPr>
          <w:color w:val="333333"/>
          <w:sz w:val="20"/>
          <w:szCs w:val="20"/>
        </w:rPr>
        <w:br/>
        <w:t>RIEDLMAJER Róbert, doc. Ing. PhD. (MTF)</w:t>
      </w:r>
      <w:r w:rsidRPr="00EF2265">
        <w:rPr>
          <w:color w:val="333333"/>
          <w:sz w:val="20"/>
          <w:szCs w:val="20"/>
        </w:rPr>
        <w:br/>
        <w:t>ROHÁĽ-IĽKIV Boris, prof. Ing., CSc. (SjF)</w:t>
      </w:r>
      <w:r w:rsidRPr="00EF2265">
        <w:rPr>
          <w:color w:val="333333"/>
          <w:sz w:val="20"/>
          <w:szCs w:val="20"/>
        </w:rPr>
        <w:br/>
        <w:t>ROLLOVÁ Lea, doc. Ing. arch., PhD. (FA)</w:t>
      </w:r>
      <w:r w:rsidRPr="00EF2265">
        <w:rPr>
          <w:color w:val="333333"/>
          <w:sz w:val="20"/>
          <w:szCs w:val="20"/>
        </w:rPr>
        <w:br/>
        <w:t>ŠIMKO Jakub, Ing., PhD. (FIIT)</w:t>
      </w:r>
      <w:r w:rsidRPr="00EF2265">
        <w:rPr>
          <w:color w:val="333333"/>
          <w:sz w:val="20"/>
          <w:szCs w:val="20"/>
        </w:rPr>
        <w:br/>
        <w:t>TRÚCHLY Peter, Ing., PhD. (FIIT)</w:t>
      </w:r>
      <w:r w:rsidRPr="00EF2265">
        <w:rPr>
          <w:color w:val="333333"/>
          <w:sz w:val="20"/>
          <w:szCs w:val="20"/>
        </w:rPr>
        <w:br/>
        <w:t>UHEREK František, prof. Ing., PhD. (FEI)</w:t>
      </w:r>
      <w:r w:rsidRPr="00EF2265">
        <w:rPr>
          <w:color w:val="333333"/>
          <w:sz w:val="20"/>
          <w:szCs w:val="20"/>
        </w:rPr>
        <w:br/>
        <w:t>VÁCLAV Štefan, doc. Ing., PhD. (MTF)</w:t>
      </w:r>
      <w:r w:rsidRPr="00EF2265">
        <w:rPr>
          <w:color w:val="333333"/>
          <w:sz w:val="20"/>
          <w:szCs w:val="20"/>
        </w:rPr>
        <w:br/>
        <w:t>VRANIĆ Valentíno, doc. Ing., PhD. (FIIT)</w:t>
      </w:r>
      <w:r w:rsidRPr="00EF2265">
        <w:rPr>
          <w:color w:val="333333"/>
          <w:sz w:val="20"/>
          <w:szCs w:val="20"/>
        </w:rPr>
        <w:br/>
        <w:t>ZAJACOVÁ Janka, JUDr., PhD. (SvF)</w:t>
      </w:r>
    </w:p>
    <w:p w:rsidR="00FB0B26" w:rsidRPr="00EF2265" w:rsidRDefault="00FB0B26" w:rsidP="00E86605">
      <w:pPr>
        <w:pStyle w:val="Normlnywebov"/>
        <w:jc w:val="left"/>
        <w:rPr>
          <w:color w:val="333333"/>
          <w:sz w:val="20"/>
          <w:szCs w:val="20"/>
        </w:rPr>
      </w:pPr>
      <w:r w:rsidRPr="00EF2265">
        <w:rPr>
          <w:rStyle w:val="Siln"/>
          <w:rFonts w:eastAsiaTheme="majorEastAsia"/>
          <w:color w:val="333333"/>
          <w:sz w:val="20"/>
          <w:szCs w:val="20"/>
        </w:rPr>
        <w:t>Členovia – študentská časť</w:t>
      </w:r>
      <w:r w:rsidRPr="00EF2265">
        <w:rPr>
          <w:b/>
          <w:bCs/>
          <w:color w:val="333333"/>
          <w:sz w:val="20"/>
          <w:szCs w:val="20"/>
        </w:rPr>
        <w:br/>
      </w:r>
      <w:r w:rsidRPr="00EF2265">
        <w:rPr>
          <w:color w:val="333333"/>
          <w:sz w:val="20"/>
          <w:szCs w:val="20"/>
        </w:rPr>
        <w:t xml:space="preserve">ABRHÁN FILIP, (SjF) – </w:t>
      </w:r>
      <w:r w:rsidRPr="00EF2265">
        <w:rPr>
          <w:b/>
          <w:color w:val="333333"/>
          <w:sz w:val="20"/>
          <w:szCs w:val="20"/>
        </w:rPr>
        <w:t>od 24.10.2018</w:t>
      </w:r>
      <w:r w:rsidRPr="00EF2265">
        <w:rPr>
          <w:color w:val="333333"/>
          <w:sz w:val="20"/>
          <w:szCs w:val="20"/>
        </w:rPr>
        <w:br/>
        <w:t xml:space="preserve">ČECHO Adam, (ÚM) – </w:t>
      </w:r>
      <w:r w:rsidRPr="00EF2265">
        <w:rPr>
          <w:b/>
          <w:color w:val="333333"/>
          <w:sz w:val="20"/>
          <w:szCs w:val="20"/>
        </w:rPr>
        <w:t>od 22.10.2018</w:t>
      </w:r>
      <w:r w:rsidRPr="00EF2265">
        <w:rPr>
          <w:color w:val="333333"/>
          <w:sz w:val="20"/>
          <w:szCs w:val="20"/>
        </w:rPr>
        <w:br/>
        <w:t>HANIC Michal, Ing. (FEI)</w:t>
      </w:r>
      <w:r w:rsidRPr="00EF2265">
        <w:rPr>
          <w:color w:val="333333"/>
          <w:sz w:val="20"/>
          <w:szCs w:val="20"/>
        </w:rPr>
        <w:br/>
        <w:t xml:space="preserve">HUCKO Michal, Bc. (FIIT) – </w:t>
      </w:r>
      <w:r w:rsidRPr="00EF2265">
        <w:rPr>
          <w:b/>
          <w:color w:val="333333"/>
          <w:sz w:val="20"/>
          <w:szCs w:val="20"/>
        </w:rPr>
        <w:t>od 01.02.2018</w:t>
      </w:r>
      <w:r w:rsidRPr="00EF2265">
        <w:rPr>
          <w:color w:val="333333"/>
          <w:sz w:val="20"/>
          <w:szCs w:val="20"/>
        </w:rPr>
        <w:br/>
        <w:t xml:space="preserve">JUNASOVÁ Barbora, Bc. (SvF) </w:t>
      </w:r>
      <w:r w:rsidRPr="00EF2265">
        <w:rPr>
          <w:color w:val="333333"/>
          <w:sz w:val="20"/>
          <w:szCs w:val="20"/>
        </w:rPr>
        <w:br/>
        <w:t>KOLIMÁR Marián, Bc. (FA)</w:t>
      </w:r>
      <w:r w:rsidRPr="00EF2265">
        <w:rPr>
          <w:color w:val="333333"/>
          <w:sz w:val="20"/>
          <w:szCs w:val="20"/>
        </w:rPr>
        <w:br/>
        <w:t>KRIŽÁNEK Jaroslav, Bc. (FA)</w:t>
      </w:r>
      <w:r w:rsidRPr="00EF2265">
        <w:rPr>
          <w:color w:val="333333"/>
          <w:sz w:val="20"/>
          <w:szCs w:val="20"/>
        </w:rPr>
        <w:br/>
        <w:t>KUTLÁKOVÁ Renáta, Bc.(MTF)</w:t>
      </w:r>
      <w:r w:rsidRPr="00EF2265">
        <w:rPr>
          <w:color w:val="333333"/>
          <w:sz w:val="20"/>
          <w:szCs w:val="20"/>
        </w:rPr>
        <w:br/>
        <w:t xml:space="preserve">MAJSTRÍK Andrej, Bc. (SjF) – </w:t>
      </w:r>
      <w:r w:rsidRPr="00EF2265">
        <w:rPr>
          <w:b/>
          <w:color w:val="333333"/>
          <w:sz w:val="20"/>
          <w:szCs w:val="20"/>
        </w:rPr>
        <w:t>od 24.10.2018</w:t>
      </w:r>
      <w:r w:rsidRPr="00EF2265">
        <w:rPr>
          <w:color w:val="333333"/>
          <w:sz w:val="20"/>
          <w:szCs w:val="20"/>
        </w:rPr>
        <w:br/>
        <w:t xml:space="preserve">SMORÁDKOVÁ Kristína, (FCHPT) – </w:t>
      </w:r>
      <w:r w:rsidRPr="00EF2265">
        <w:rPr>
          <w:b/>
          <w:color w:val="333333"/>
          <w:sz w:val="20"/>
          <w:szCs w:val="20"/>
        </w:rPr>
        <w:t>od 25.10.2018</w:t>
      </w:r>
      <w:r w:rsidRPr="00EF2265">
        <w:rPr>
          <w:color w:val="333333"/>
          <w:sz w:val="20"/>
          <w:szCs w:val="20"/>
        </w:rPr>
        <w:br/>
        <w:t xml:space="preserve">STAREČEK Augustín, Ing. (MTF) – </w:t>
      </w:r>
      <w:r w:rsidRPr="00EF2265">
        <w:rPr>
          <w:b/>
          <w:color w:val="333333"/>
          <w:sz w:val="20"/>
          <w:szCs w:val="20"/>
        </w:rPr>
        <w:t>od 01.10.2018</w:t>
      </w:r>
      <w:r w:rsidRPr="00EF2265">
        <w:rPr>
          <w:color w:val="333333"/>
          <w:sz w:val="20"/>
          <w:szCs w:val="20"/>
        </w:rPr>
        <w:br/>
        <w:t xml:space="preserve">ŠTEFANCOVÁ Elena, Bc. (FIIT) - predsedníčka ŠČ AS – </w:t>
      </w:r>
      <w:r w:rsidRPr="00EF2265">
        <w:rPr>
          <w:b/>
          <w:color w:val="333333"/>
          <w:sz w:val="20"/>
          <w:szCs w:val="20"/>
        </w:rPr>
        <w:t>od 01.02.2018</w:t>
      </w:r>
      <w:r w:rsidRPr="00EF2265">
        <w:rPr>
          <w:color w:val="333333"/>
          <w:sz w:val="20"/>
          <w:szCs w:val="20"/>
        </w:rPr>
        <w:br/>
        <w:t>ŠULGAN Branislav, Ing. (FCHPT) - podpredseda ŠČ AS</w:t>
      </w:r>
      <w:r w:rsidRPr="00EF2265">
        <w:rPr>
          <w:color w:val="333333"/>
          <w:sz w:val="20"/>
          <w:szCs w:val="20"/>
        </w:rPr>
        <w:br/>
        <w:t>ŠVOLÍK Milan, (SvF)</w:t>
      </w:r>
      <w:r w:rsidRPr="00EF2265">
        <w:rPr>
          <w:color w:val="333333"/>
          <w:sz w:val="20"/>
          <w:szCs w:val="20"/>
        </w:rPr>
        <w:br/>
        <w:t xml:space="preserve">TOMČO Tomáš (FEI) – </w:t>
      </w:r>
      <w:r w:rsidRPr="00EF2265">
        <w:rPr>
          <w:b/>
          <w:color w:val="333333"/>
          <w:sz w:val="20"/>
          <w:szCs w:val="20"/>
        </w:rPr>
        <w:t>od 10.12.2018</w:t>
      </w:r>
    </w:p>
    <w:p w:rsidR="00E86605" w:rsidRPr="00EF2265" w:rsidRDefault="00E86605" w:rsidP="00E86605">
      <w:pPr>
        <w:spacing w:beforeAutospacing="1" w:after="100" w:afterAutospacing="1"/>
        <w:jc w:val="left"/>
        <w:rPr>
          <w:rFonts w:ascii="Times New Roman" w:eastAsia="Times New Roman" w:hAnsi="Times New Roman"/>
          <w:b/>
          <w:bCs/>
          <w:sz w:val="20"/>
          <w:szCs w:val="20"/>
          <w:lang w:eastAsia="sk-SK"/>
        </w:rPr>
      </w:pPr>
    </w:p>
    <w:p w:rsidR="00E86605" w:rsidRPr="00367B40" w:rsidRDefault="00E86605" w:rsidP="00E86605">
      <w:pPr>
        <w:spacing w:beforeAutospacing="1" w:after="100" w:afterAutospacing="1"/>
        <w:jc w:val="left"/>
        <w:rPr>
          <w:rFonts w:ascii="Times New Roman" w:eastAsia="Times New Roman" w:hAnsi="Times New Roman"/>
        </w:rPr>
      </w:pPr>
      <w:r w:rsidRPr="00367B40">
        <w:rPr>
          <w:rFonts w:ascii="Times New Roman" w:eastAsia="Times New Roman" w:hAnsi="Times New Roman"/>
          <w:b/>
          <w:bCs/>
          <w:lang w:eastAsia="sk-SK"/>
        </w:rPr>
        <w:t>Vedecká rada STU od 30. 3. 2015:</w:t>
      </w:r>
    </w:p>
    <w:p w:rsidR="00E86605" w:rsidRPr="00EF2265" w:rsidRDefault="00E86605" w:rsidP="00E86605">
      <w:pPr>
        <w:spacing w:before="100" w:beforeAutospacing="1" w:after="100" w:afterAutospacing="1"/>
        <w:jc w:val="left"/>
        <w:rPr>
          <w:rFonts w:ascii="Times New Roman" w:eastAsia="Times New Roman" w:hAnsi="Times New Roman"/>
          <w:sz w:val="20"/>
          <w:szCs w:val="20"/>
        </w:rPr>
      </w:pPr>
      <w:r w:rsidRPr="00EF2265">
        <w:rPr>
          <w:rFonts w:ascii="Times New Roman" w:eastAsia="Times New Roman" w:hAnsi="Times New Roman"/>
          <w:b/>
          <w:bCs/>
          <w:sz w:val="20"/>
          <w:szCs w:val="20"/>
          <w:lang w:eastAsia="sk-SK"/>
        </w:rPr>
        <w:t>PREDSEDA:</w:t>
      </w:r>
      <w:r w:rsidRPr="00EF2265">
        <w:rPr>
          <w:rFonts w:ascii="Times New Roman" w:eastAsia="Times New Roman" w:hAnsi="Times New Roman"/>
          <w:b/>
          <w:bCs/>
          <w:sz w:val="20"/>
          <w:szCs w:val="20"/>
          <w:lang w:eastAsia="sk-SK"/>
        </w:rPr>
        <w:br/>
      </w:r>
      <w:r w:rsidR="005424B7">
        <w:rPr>
          <w:rFonts w:ascii="Times New Roman" w:eastAsia="Times New Roman" w:hAnsi="Times New Roman"/>
          <w:sz w:val="20"/>
          <w:szCs w:val="20"/>
          <w:lang w:eastAsia="sk-SK"/>
        </w:rPr>
        <w:t xml:space="preserve">prof.h.c. </w:t>
      </w:r>
      <w:r w:rsidRPr="00EF2265">
        <w:rPr>
          <w:rFonts w:ascii="Times New Roman" w:eastAsia="Times New Roman" w:hAnsi="Times New Roman"/>
          <w:sz w:val="20"/>
          <w:szCs w:val="20"/>
          <w:lang w:eastAsia="sk-SK"/>
        </w:rPr>
        <w:t>prof. Ing. Robert REDHAMMER, PhD., elektronika</w:t>
      </w:r>
    </w:p>
    <w:p w:rsidR="00E86605" w:rsidRPr="00EF2265" w:rsidRDefault="00E86605" w:rsidP="00E86605">
      <w:pPr>
        <w:spacing w:before="100" w:beforeAutospacing="1" w:after="100" w:afterAutospacing="1"/>
        <w:jc w:val="left"/>
        <w:rPr>
          <w:rFonts w:ascii="Times New Roman" w:eastAsia="Times New Roman" w:hAnsi="Times New Roman"/>
          <w:sz w:val="20"/>
          <w:szCs w:val="20"/>
        </w:rPr>
      </w:pPr>
      <w:r w:rsidRPr="00EF2265">
        <w:rPr>
          <w:rFonts w:ascii="Times New Roman" w:eastAsia="Times New Roman" w:hAnsi="Times New Roman"/>
          <w:b/>
          <w:bCs/>
          <w:sz w:val="20"/>
          <w:szCs w:val="20"/>
          <w:lang w:eastAsia="sk-SK"/>
        </w:rPr>
        <w:t>PODPREDSEDA:</w:t>
      </w:r>
      <w:r w:rsidRPr="00EF2265">
        <w:rPr>
          <w:rFonts w:ascii="Times New Roman" w:eastAsia="Times New Roman" w:hAnsi="Times New Roman"/>
          <w:b/>
          <w:bCs/>
          <w:sz w:val="20"/>
          <w:szCs w:val="20"/>
          <w:lang w:eastAsia="sk-SK"/>
        </w:rPr>
        <w:br/>
      </w:r>
      <w:r w:rsidRPr="00EF2265">
        <w:rPr>
          <w:rFonts w:ascii="Times New Roman" w:eastAsia="Times New Roman" w:hAnsi="Times New Roman"/>
          <w:sz w:val="20"/>
          <w:szCs w:val="20"/>
          <w:lang w:eastAsia="sk-SK"/>
        </w:rPr>
        <w:t>prof. Ing. Marián PECIAR, PhD., procesná technika (od decembra 2016)</w:t>
      </w:r>
    </w:p>
    <w:p w:rsidR="00E86605" w:rsidRPr="00210165" w:rsidRDefault="00E86605" w:rsidP="00E86605">
      <w:pPr>
        <w:spacing w:before="100" w:beforeAutospacing="1" w:after="100" w:afterAutospacing="1"/>
        <w:jc w:val="left"/>
        <w:rPr>
          <w:rFonts w:ascii="Times New Roman" w:eastAsia="Times New Roman" w:hAnsi="Times New Roman"/>
          <w:color w:val="auto"/>
          <w:sz w:val="20"/>
          <w:szCs w:val="20"/>
        </w:rPr>
      </w:pPr>
      <w:r w:rsidRPr="00EF2265">
        <w:rPr>
          <w:rFonts w:ascii="Times New Roman" w:eastAsia="Times New Roman" w:hAnsi="Times New Roman"/>
          <w:b/>
          <w:bCs/>
          <w:sz w:val="20"/>
          <w:szCs w:val="20"/>
          <w:lang w:eastAsia="sk-SK"/>
        </w:rPr>
        <w:t>ČLENOVIA:</w:t>
      </w:r>
      <w:r w:rsidRPr="00EF2265">
        <w:rPr>
          <w:rFonts w:ascii="Times New Roman" w:eastAsia="Times New Roman" w:hAnsi="Times New Roman"/>
          <w:b/>
          <w:bCs/>
          <w:sz w:val="20"/>
          <w:szCs w:val="20"/>
          <w:lang w:eastAsia="sk-SK"/>
        </w:rPr>
        <w:br/>
      </w:r>
      <w:r w:rsidRPr="00210165">
        <w:rPr>
          <w:rFonts w:ascii="Times New Roman" w:eastAsia="Times New Roman" w:hAnsi="Times New Roman"/>
          <w:color w:val="auto"/>
          <w:sz w:val="20"/>
          <w:szCs w:val="20"/>
          <w:lang w:eastAsia="sk-SK"/>
        </w:rPr>
        <w:t xml:space="preserve">prof. Ing. Mária BIELIKOVÁ, PhD. (od decembra 2015), </w:t>
      </w:r>
      <w:r w:rsidRPr="00210165">
        <w:rPr>
          <w:rFonts w:ascii="Times New Roman" w:eastAsia="Times New Roman" w:hAnsi="Times New Roman"/>
          <w:color w:val="auto"/>
          <w:sz w:val="20"/>
          <w:szCs w:val="20"/>
        </w:rPr>
        <w:t>programové a informačné systémy</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prof. Ing. Miloš ČAMBÁL, CSc., priemyselné inžinierstvo</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prof. Ing. Pavel ČIČÁK, PhD., počítačové prostriedky a systémy</w:t>
      </w:r>
      <w:r w:rsidRPr="00210165">
        <w:rPr>
          <w:rFonts w:ascii="Times New Roman" w:eastAsia="Times New Roman" w:hAnsi="Times New Roman"/>
          <w:color w:val="auto"/>
          <w:sz w:val="20"/>
          <w:szCs w:val="20"/>
          <w:lang w:eastAsia="sk-SK"/>
        </w:rPr>
        <w:br/>
        <w:t>(od decembra 2011 do decembra 2015, od júna 2016)</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prof. Ing. Daniel DONOVAL, DrSc., elektronika</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prof. Ing. Anton GATIAL, DrSc., fyzikálna chémia</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prof. Ing. Ján HÍVEŠ, PhD., anorganická technológia a materiály</w:t>
      </w:r>
      <w:r w:rsidRPr="00210165">
        <w:rPr>
          <w:rFonts w:ascii="Times New Roman" w:eastAsia="Times New Roman" w:hAnsi="Times New Roman"/>
          <w:color w:val="auto"/>
          <w:sz w:val="20"/>
          <w:szCs w:val="20"/>
        </w:rPr>
        <w:br/>
        <w:t>doc. Ing. Branislav Hučko, PhD. (do októbra 2017)</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prof. Ing. František  JANÍČEK, PhD., elektroenergetika</w:t>
      </w:r>
      <w:r w:rsidRPr="00210165">
        <w:rPr>
          <w:rFonts w:ascii="Times New Roman" w:eastAsia="Times New Roman" w:hAnsi="Times New Roman"/>
          <w:color w:val="auto"/>
          <w:sz w:val="20"/>
          <w:szCs w:val="20"/>
          <w:lang w:eastAsia="sk-SK"/>
        </w:rPr>
        <w:br/>
        <w:t>prof. Ing. Radko MESIAR, DrSc., matematika</w:t>
      </w:r>
      <w:r w:rsidRPr="00210165">
        <w:rPr>
          <w:rFonts w:ascii="Times New Roman" w:eastAsia="Times New Roman" w:hAnsi="Times New Roman"/>
          <w:color w:val="auto"/>
          <w:sz w:val="20"/>
          <w:szCs w:val="20"/>
        </w:rPr>
        <w:br/>
        <w:t xml:space="preserve">Dr.h.c. </w:t>
      </w:r>
      <w:r w:rsidRPr="00210165">
        <w:rPr>
          <w:rFonts w:ascii="Times New Roman" w:eastAsia="Times New Roman" w:hAnsi="Times New Roman"/>
          <w:color w:val="auto"/>
          <w:sz w:val="20"/>
          <w:szCs w:val="20"/>
          <w:lang w:eastAsia="sk-SK"/>
        </w:rPr>
        <w:t>prof. Dr. Ing. Oliver MORAVČÍK, aplikovaná informatika a automatizácia v priemysle</w:t>
      </w:r>
      <w:r w:rsidRPr="00210165">
        <w:rPr>
          <w:rFonts w:ascii="Times New Roman" w:eastAsia="Times New Roman" w:hAnsi="Times New Roman"/>
          <w:color w:val="auto"/>
          <w:sz w:val="20"/>
          <w:szCs w:val="20"/>
          <w:lang w:eastAsia="sk-SK"/>
        </w:rPr>
        <w:br/>
        <w:t>prof. Ing. Pavol NÁVRAT, PhD., aplikovaná informatika</w:t>
      </w:r>
      <w:r w:rsidRPr="00210165">
        <w:rPr>
          <w:rFonts w:ascii="Times New Roman" w:eastAsia="Times New Roman" w:hAnsi="Times New Roman"/>
          <w:color w:val="auto"/>
          <w:sz w:val="20"/>
          <w:szCs w:val="20"/>
        </w:rPr>
        <w:br/>
        <w:t>prof. Dr. Ing. Miloš ORAVEC, kybernetika</w:t>
      </w:r>
      <w:r w:rsidRPr="00210165">
        <w:rPr>
          <w:rFonts w:ascii="Times New Roman" w:eastAsia="Times New Roman" w:hAnsi="Times New Roman"/>
          <w:color w:val="auto"/>
          <w:sz w:val="20"/>
          <w:szCs w:val="20"/>
        </w:rPr>
        <w:br/>
        <w:t>prof. akad. soch. Peter PALIATKA, dizajn (od októbra 2013 do októbra 2017) obnovené členstvo od októbra 2017</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prof. Dr. Ing. Jozef PETERKA, technológie strojárskej výroby</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prof. Ing. Viktor SMIEŠKO, PhD., meracia technika (od októbra 2015)</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menovaný december 2017prof. Ing. Štefan STANKO, PhD., vodné hospodárstvo</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prof. Ing. Ján SZOLGAY, PhD., hydrológia a vodné hospodárstvo</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Dr.h.c. prof. Ing. Ján ŠAJBIDOR, DrSc., biotechnológie</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lastRenderedPageBreak/>
        <w:t>prof. Ing. Ľubomír ŠOOŠ, PhD., výrobná technika</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 xml:space="preserve">prof. Ing. arch. Robert ŠPAČEK, CSc., architektúra a urbanizmus </w:t>
      </w:r>
      <w:r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prof. Ing. Stanislav UNČÍK, PhD., stavebníctvo</w:t>
      </w:r>
      <w:r w:rsidRPr="00210165">
        <w:rPr>
          <w:rFonts w:ascii="Times New Roman" w:eastAsia="Times New Roman" w:hAnsi="Times New Roman"/>
          <w:color w:val="auto"/>
          <w:sz w:val="20"/>
          <w:szCs w:val="20"/>
        </w:rPr>
        <w:br/>
        <w:t>prof. Ing. František Urban, CSc. energetika (od októbra 2017)</w:t>
      </w:r>
      <w:r w:rsidRPr="00210165">
        <w:rPr>
          <w:rFonts w:ascii="Times New Roman" w:eastAsia="Times New Roman" w:hAnsi="Times New Roman"/>
          <w:color w:val="auto"/>
          <w:sz w:val="20"/>
          <w:szCs w:val="20"/>
          <w:lang w:eastAsia="sk-SK"/>
        </w:rPr>
        <w:br/>
        <w:t>doc. Ing. arch. Ľubica VITKOVÁ, PhD., architektúra a urbanizmus</w:t>
      </w:r>
      <w:r w:rsidRPr="00210165">
        <w:rPr>
          <w:rFonts w:ascii="Times New Roman" w:eastAsia="Times New Roman" w:hAnsi="Times New Roman"/>
          <w:color w:val="auto"/>
          <w:sz w:val="20"/>
          <w:szCs w:val="20"/>
        </w:rPr>
        <w:br/>
        <w:t>doc. Ing. Marián ZAJKO, PhD., MBA, manažment a riadenie (od októbra 2013 do októbra 2017) obnovené členstvo od októbra 2017</w:t>
      </w:r>
    </w:p>
    <w:p w:rsidR="00E86605" w:rsidRPr="00210165" w:rsidRDefault="00E86605" w:rsidP="00CB112C">
      <w:pPr>
        <w:spacing w:beforeAutospacing="1" w:after="100" w:afterAutospacing="1"/>
        <w:jc w:val="left"/>
        <w:rPr>
          <w:rFonts w:ascii="Times New Roman" w:eastAsia="Times New Roman" w:hAnsi="Times New Roman"/>
          <w:color w:val="auto"/>
          <w:sz w:val="20"/>
          <w:szCs w:val="20"/>
        </w:rPr>
      </w:pPr>
      <w:r w:rsidRPr="00210165">
        <w:rPr>
          <w:rFonts w:ascii="Times New Roman" w:eastAsia="Times New Roman" w:hAnsi="Times New Roman"/>
          <w:b/>
          <w:bCs/>
          <w:color w:val="auto"/>
          <w:sz w:val="20"/>
          <w:szCs w:val="20"/>
          <w:lang w:eastAsia="sk-SK"/>
        </w:rPr>
        <w:t>EXTERNÍ ČLENOVIA</w:t>
      </w:r>
      <w:r w:rsidR="00CB112C" w:rsidRPr="00210165">
        <w:rPr>
          <w:rFonts w:ascii="Times New Roman" w:eastAsia="Times New Roman" w:hAnsi="Times New Roman"/>
          <w:b/>
          <w:bCs/>
          <w:color w:val="auto"/>
          <w:sz w:val="20"/>
          <w:szCs w:val="20"/>
          <w:lang w:eastAsia="sk-SK"/>
        </w:rPr>
        <w:t>:</w:t>
      </w:r>
      <w:r w:rsidR="00CB112C" w:rsidRPr="00210165">
        <w:rPr>
          <w:rFonts w:ascii="Times New Roman" w:eastAsia="Times New Roman" w:hAnsi="Times New Roman"/>
          <w:b/>
          <w:bCs/>
          <w:color w:val="auto"/>
          <w:sz w:val="20"/>
          <w:szCs w:val="20"/>
          <w:lang w:eastAsia="sk-SK"/>
        </w:rPr>
        <w:br/>
      </w:r>
      <w:r w:rsidRPr="00210165">
        <w:rPr>
          <w:rFonts w:ascii="Times New Roman" w:eastAsia="Times New Roman" w:hAnsi="Times New Roman"/>
          <w:color w:val="auto"/>
          <w:sz w:val="20"/>
          <w:szCs w:val="20"/>
          <w:lang w:eastAsia="sk-SK"/>
        </w:rPr>
        <w:t>Dr.h.c. prof. Ing. Tatiana ČOREJOVÁ, PhD., odvetvové a prierezové ekonomiky</w:t>
      </w:r>
      <w:r w:rsidR="00CB112C" w:rsidRPr="00210165">
        <w:rPr>
          <w:rFonts w:ascii="Times New Roman" w:eastAsia="Times New Roman" w:hAnsi="Times New Roman"/>
          <w:color w:val="auto"/>
          <w:sz w:val="20"/>
          <w:szCs w:val="20"/>
          <w:lang w:eastAsia="sk-SK"/>
        </w:rPr>
        <w:br/>
      </w:r>
      <w:r w:rsidRPr="00210165">
        <w:rPr>
          <w:rFonts w:ascii="Times New Roman" w:eastAsia="Times New Roman" w:hAnsi="Times New Roman"/>
          <w:color w:val="auto"/>
          <w:sz w:val="20"/>
          <w:szCs w:val="20"/>
          <w:lang w:eastAsia="sk-SK"/>
        </w:rPr>
        <w:t>prof. Ing. Milan DADO, PhD., telekomunikácie</w:t>
      </w:r>
      <w:r w:rsidR="00CB112C" w:rsidRPr="00210165">
        <w:rPr>
          <w:rFonts w:ascii="Times New Roman" w:eastAsia="Times New Roman" w:hAnsi="Times New Roman"/>
          <w:color w:val="auto"/>
          <w:sz w:val="20"/>
          <w:szCs w:val="20"/>
          <w:lang w:eastAsia="sk-SK"/>
        </w:rPr>
        <w:br/>
      </w:r>
      <w:r w:rsidRPr="00210165">
        <w:rPr>
          <w:rFonts w:ascii="Times New Roman" w:eastAsia="Times New Roman" w:hAnsi="Times New Roman"/>
          <w:color w:val="auto"/>
          <w:sz w:val="20"/>
          <w:szCs w:val="20"/>
          <w:lang w:eastAsia="sk-SK"/>
        </w:rPr>
        <w:t>hosť. prof. Ing. Peter FODREK, PhD., strojárske technológie a</w:t>
      </w:r>
      <w:r w:rsidR="00CB112C" w:rsidRPr="00210165">
        <w:rPr>
          <w:rFonts w:ascii="Times New Roman" w:eastAsia="Times New Roman" w:hAnsi="Times New Roman"/>
          <w:color w:val="auto"/>
          <w:sz w:val="20"/>
          <w:szCs w:val="20"/>
          <w:lang w:eastAsia="sk-SK"/>
        </w:rPr>
        <w:t> </w:t>
      </w:r>
      <w:r w:rsidRPr="00210165">
        <w:rPr>
          <w:rFonts w:ascii="Times New Roman" w:eastAsia="Times New Roman" w:hAnsi="Times New Roman"/>
          <w:color w:val="auto"/>
          <w:sz w:val="20"/>
          <w:szCs w:val="20"/>
          <w:lang w:eastAsia="sk-SK"/>
        </w:rPr>
        <w:t>materiály</w:t>
      </w:r>
      <w:r w:rsidR="00CB112C" w:rsidRPr="00210165">
        <w:rPr>
          <w:rFonts w:ascii="Times New Roman" w:eastAsia="Times New Roman" w:hAnsi="Times New Roman"/>
          <w:color w:val="auto"/>
          <w:sz w:val="20"/>
          <w:szCs w:val="20"/>
          <w:lang w:eastAsia="sk-SK"/>
        </w:rPr>
        <w:br/>
      </w:r>
      <w:r w:rsidRPr="00210165">
        <w:rPr>
          <w:rFonts w:ascii="Times New Roman" w:eastAsia="Times New Roman" w:hAnsi="Times New Roman"/>
          <w:color w:val="auto"/>
          <w:sz w:val="20"/>
          <w:szCs w:val="20"/>
          <w:lang w:eastAsia="sk-SK"/>
        </w:rPr>
        <w:t>Ing. arch. Vojtech HRDINA, PhD., architektúra</w:t>
      </w:r>
      <w:r w:rsidR="00CB112C" w:rsidRPr="00210165">
        <w:rPr>
          <w:rFonts w:ascii="Times New Roman" w:eastAsia="Times New Roman" w:hAnsi="Times New Roman"/>
          <w:color w:val="auto"/>
          <w:sz w:val="20"/>
          <w:szCs w:val="20"/>
          <w:lang w:eastAsia="sk-SK"/>
        </w:rPr>
        <w:br/>
      </w:r>
      <w:r w:rsidRPr="00210165">
        <w:rPr>
          <w:rFonts w:ascii="Times New Roman" w:eastAsia="Times New Roman" w:hAnsi="Times New Roman"/>
          <w:color w:val="auto"/>
          <w:sz w:val="20"/>
          <w:szCs w:val="20"/>
          <w:lang w:eastAsia="sk-SK"/>
        </w:rPr>
        <w:t>prof. Ing. Stanislav KMEŤ, CSc., teória a konštrukcie inžinierskych stavieb</w:t>
      </w:r>
      <w:r w:rsidRPr="00210165">
        <w:rPr>
          <w:rFonts w:ascii="Times New Roman" w:eastAsia="Times New Roman" w:hAnsi="Times New Roman"/>
          <w:color w:val="auto"/>
          <w:sz w:val="20"/>
          <w:szCs w:val="20"/>
          <w:lang w:eastAsia="sk-SK"/>
        </w:rPr>
        <w:br/>
        <w:t>(od októbra 2015)</w:t>
      </w:r>
      <w:r w:rsidR="00CB112C" w:rsidRPr="00210165">
        <w:rPr>
          <w:rFonts w:ascii="Times New Roman" w:eastAsia="Times New Roman" w:hAnsi="Times New Roman"/>
          <w:color w:val="auto"/>
          <w:sz w:val="20"/>
          <w:szCs w:val="20"/>
          <w:lang w:eastAsia="sk-SK"/>
        </w:rPr>
        <w:br/>
      </w:r>
      <w:r w:rsidRPr="00210165">
        <w:rPr>
          <w:rFonts w:ascii="Times New Roman" w:eastAsia="Times New Roman" w:hAnsi="Times New Roman"/>
          <w:color w:val="auto"/>
          <w:sz w:val="20"/>
          <w:szCs w:val="20"/>
          <w:lang w:eastAsia="sk-SK"/>
        </w:rPr>
        <w:t xml:space="preserve">Ing. Peter MATIAŠOVSKÝ, CSc., </w:t>
      </w:r>
      <w:r w:rsidRPr="00210165">
        <w:rPr>
          <w:rFonts w:ascii="Times New Roman" w:eastAsia="Times New Roman" w:hAnsi="Times New Roman"/>
          <w:color w:val="auto"/>
          <w:sz w:val="20"/>
          <w:szCs w:val="20"/>
        </w:rPr>
        <w:t xml:space="preserve">teória a konštrukcie pozemných stavieb </w:t>
      </w:r>
      <w:r w:rsidR="00CB112C" w:rsidRPr="00210165">
        <w:rPr>
          <w:rFonts w:ascii="Times New Roman" w:eastAsia="Times New Roman" w:hAnsi="Times New Roman"/>
          <w:color w:val="auto"/>
          <w:sz w:val="20"/>
          <w:szCs w:val="20"/>
        </w:rPr>
        <w:br/>
      </w:r>
      <w:r w:rsidRPr="00210165">
        <w:rPr>
          <w:rFonts w:ascii="Times New Roman" w:eastAsia="Times New Roman" w:hAnsi="Times New Roman"/>
          <w:color w:val="auto"/>
          <w:sz w:val="20"/>
          <w:szCs w:val="20"/>
          <w:lang w:eastAsia="sk-SK"/>
        </w:rPr>
        <w:t xml:space="preserve">Dr.h.c. prof. RNDr. Karol MIČIETA, PhD., biológia </w:t>
      </w:r>
      <w:r w:rsidR="00CB112C" w:rsidRPr="00210165">
        <w:rPr>
          <w:rFonts w:ascii="Times New Roman" w:eastAsia="Times New Roman" w:hAnsi="Times New Roman"/>
          <w:color w:val="auto"/>
          <w:sz w:val="20"/>
          <w:szCs w:val="20"/>
          <w:lang w:eastAsia="sk-SK"/>
        </w:rPr>
        <w:br/>
      </w:r>
      <w:r w:rsidRPr="00210165">
        <w:rPr>
          <w:rFonts w:ascii="Times New Roman" w:eastAsia="Times New Roman" w:hAnsi="Times New Roman"/>
          <w:color w:val="auto"/>
          <w:sz w:val="20"/>
          <w:szCs w:val="20"/>
          <w:lang w:eastAsia="sk-SK"/>
        </w:rPr>
        <w:t>doc. Ing. Pavol RAJNIAK, DrSc., chemické inžinierstvo a riadenie procesov</w:t>
      </w:r>
      <w:r w:rsidR="00CB112C" w:rsidRPr="00210165">
        <w:rPr>
          <w:rFonts w:ascii="Times New Roman" w:eastAsia="Times New Roman" w:hAnsi="Times New Roman"/>
          <w:color w:val="auto"/>
          <w:sz w:val="20"/>
          <w:szCs w:val="20"/>
          <w:lang w:eastAsia="sk-SK"/>
        </w:rPr>
        <w:br/>
      </w:r>
      <w:r w:rsidRPr="00210165">
        <w:rPr>
          <w:rFonts w:ascii="Times New Roman" w:eastAsia="Times New Roman" w:hAnsi="Times New Roman"/>
          <w:color w:val="auto"/>
          <w:sz w:val="20"/>
          <w:szCs w:val="20"/>
          <w:lang w:eastAsia="sk-SK"/>
        </w:rPr>
        <w:t xml:space="preserve">Ing. Anton SCHEBER, CSc., informačné systémy </w:t>
      </w:r>
      <w:r w:rsidR="00CB112C" w:rsidRPr="00210165">
        <w:rPr>
          <w:rFonts w:ascii="Times New Roman" w:eastAsia="Times New Roman" w:hAnsi="Times New Roman"/>
          <w:color w:val="auto"/>
          <w:sz w:val="20"/>
          <w:szCs w:val="20"/>
          <w:lang w:eastAsia="sk-SK"/>
        </w:rPr>
        <w:br/>
      </w:r>
      <w:r w:rsidRPr="00210165">
        <w:rPr>
          <w:rFonts w:ascii="Times New Roman" w:eastAsia="Times New Roman" w:hAnsi="Times New Roman"/>
          <w:color w:val="auto"/>
          <w:sz w:val="20"/>
          <w:szCs w:val="20"/>
          <w:lang w:eastAsia="sk-SK"/>
        </w:rPr>
        <w:t xml:space="preserve">Ing. Vladimír SLEZÁK, stroje pre chemický a potravinársky priemysel  </w:t>
      </w:r>
      <w:r w:rsidR="00CB112C" w:rsidRPr="00210165">
        <w:rPr>
          <w:rFonts w:ascii="Times New Roman" w:eastAsia="Times New Roman" w:hAnsi="Times New Roman"/>
          <w:color w:val="auto"/>
          <w:sz w:val="20"/>
          <w:szCs w:val="20"/>
          <w:lang w:eastAsia="sk-SK"/>
        </w:rPr>
        <w:br/>
      </w:r>
      <w:r w:rsidRPr="00210165">
        <w:rPr>
          <w:rFonts w:ascii="Times New Roman" w:eastAsia="Times New Roman" w:hAnsi="Times New Roman"/>
          <w:color w:val="auto"/>
          <w:sz w:val="20"/>
          <w:szCs w:val="20"/>
          <w:lang w:eastAsia="sk-SK"/>
        </w:rPr>
        <w:t>prof. RNDr. Pavol ŠAJGALÍK, DrSc., anorganická technológia a</w:t>
      </w:r>
      <w:r w:rsidR="00CB112C" w:rsidRPr="00210165">
        <w:rPr>
          <w:rFonts w:ascii="Times New Roman" w:eastAsia="Times New Roman" w:hAnsi="Times New Roman"/>
          <w:color w:val="auto"/>
          <w:sz w:val="20"/>
          <w:szCs w:val="20"/>
          <w:lang w:eastAsia="sk-SK"/>
        </w:rPr>
        <w:t> </w:t>
      </w:r>
      <w:r w:rsidRPr="00210165">
        <w:rPr>
          <w:rFonts w:ascii="Times New Roman" w:eastAsia="Times New Roman" w:hAnsi="Times New Roman"/>
          <w:color w:val="auto"/>
          <w:sz w:val="20"/>
          <w:szCs w:val="20"/>
          <w:lang w:eastAsia="sk-SK"/>
        </w:rPr>
        <w:t>materiály</w:t>
      </w:r>
      <w:r w:rsidR="00CB112C" w:rsidRPr="00210165">
        <w:rPr>
          <w:rFonts w:ascii="Times New Roman" w:eastAsia="Times New Roman" w:hAnsi="Times New Roman"/>
          <w:color w:val="auto"/>
          <w:sz w:val="20"/>
          <w:szCs w:val="20"/>
          <w:lang w:eastAsia="sk-SK"/>
        </w:rPr>
        <w:br/>
      </w:r>
      <w:r w:rsidRPr="00210165">
        <w:rPr>
          <w:rFonts w:ascii="Times New Roman" w:eastAsia="Times New Roman" w:hAnsi="Times New Roman"/>
          <w:color w:val="auto"/>
          <w:sz w:val="20"/>
          <w:szCs w:val="20"/>
        </w:rPr>
        <w:t>prof. RNDr. Ing. Petr ŠTEPÁNEK, CSc., stavebníctvo</w:t>
      </w:r>
    </w:p>
    <w:p w:rsidR="00E86605" w:rsidRPr="00210165" w:rsidRDefault="00E86605" w:rsidP="00E86605">
      <w:pPr>
        <w:spacing w:before="100" w:beforeAutospacing="1" w:after="100" w:afterAutospacing="1"/>
        <w:jc w:val="left"/>
        <w:rPr>
          <w:rFonts w:ascii="Times New Roman" w:eastAsia="Times New Roman" w:hAnsi="Times New Roman"/>
          <w:color w:val="auto"/>
          <w:sz w:val="20"/>
          <w:szCs w:val="20"/>
        </w:rPr>
      </w:pPr>
      <w:r w:rsidRPr="00210165">
        <w:rPr>
          <w:rFonts w:ascii="Times New Roman" w:eastAsia="Times New Roman" w:hAnsi="Times New Roman"/>
          <w:b/>
          <w:bCs/>
          <w:color w:val="auto"/>
          <w:sz w:val="20"/>
          <w:szCs w:val="20"/>
          <w:lang w:eastAsia="sk-SK"/>
        </w:rPr>
        <w:t>TAJOMNÍČKA</w:t>
      </w:r>
      <w:r w:rsidR="00CB112C" w:rsidRPr="00210165">
        <w:rPr>
          <w:rFonts w:ascii="Times New Roman" w:eastAsia="Times New Roman" w:hAnsi="Times New Roman"/>
          <w:b/>
          <w:bCs/>
          <w:color w:val="auto"/>
          <w:sz w:val="20"/>
          <w:szCs w:val="20"/>
          <w:lang w:eastAsia="sk-SK"/>
        </w:rPr>
        <w:t xml:space="preserve">: </w:t>
      </w:r>
      <w:r w:rsidR="00CB112C" w:rsidRPr="00210165">
        <w:rPr>
          <w:rFonts w:ascii="Times New Roman" w:eastAsia="Times New Roman" w:hAnsi="Times New Roman"/>
          <w:b/>
          <w:bCs/>
          <w:color w:val="auto"/>
          <w:sz w:val="20"/>
          <w:szCs w:val="20"/>
          <w:lang w:eastAsia="sk-SK"/>
        </w:rPr>
        <w:br/>
      </w:r>
      <w:r w:rsidRPr="00210165">
        <w:rPr>
          <w:rFonts w:ascii="Times New Roman" w:eastAsia="Times New Roman" w:hAnsi="Times New Roman"/>
          <w:color w:val="auto"/>
          <w:sz w:val="20"/>
          <w:szCs w:val="20"/>
          <w:lang w:eastAsia="sk-SK"/>
        </w:rPr>
        <w:t>Ing. Dagmar PETRÍKOVÁ</w:t>
      </w:r>
    </w:p>
    <w:p w:rsidR="004B2190" w:rsidRPr="00EF2265" w:rsidRDefault="004B2190" w:rsidP="00CE0083">
      <w:pPr>
        <w:jc w:val="left"/>
        <w:rPr>
          <w:rFonts w:ascii="Times New Roman" w:hAnsi="Times New Roman"/>
          <w:sz w:val="20"/>
          <w:szCs w:val="20"/>
        </w:rPr>
      </w:pPr>
    </w:p>
    <w:p w:rsidR="00CE0083" w:rsidRPr="00367B40" w:rsidRDefault="00CE0083" w:rsidP="00CE0083">
      <w:pPr>
        <w:jc w:val="left"/>
        <w:rPr>
          <w:rFonts w:ascii="Times New Roman" w:hAnsi="Times New Roman"/>
          <w:b/>
          <w:bCs/>
          <w:noProof/>
        </w:rPr>
      </w:pPr>
      <w:r w:rsidRPr="00367B40">
        <w:rPr>
          <w:rFonts w:ascii="Times New Roman" w:hAnsi="Times New Roman"/>
          <w:b/>
        </w:rPr>
        <w:t>Disciplinárna</w:t>
      </w:r>
      <w:r w:rsidRPr="00367B40">
        <w:rPr>
          <w:rFonts w:ascii="Times New Roman" w:hAnsi="Times New Roman"/>
          <w:b/>
          <w:bCs/>
          <w:noProof/>
        </w:rPr>
        <w:t xml:space="preserve"> komisia vysokej školy pre študentov:</w:t>
      </w:r>
    </w:p>
    <w:p w:rsidR="00CE0083" w:rsidRPr="00EF2265" w:rsidRDefault="00CE0083" w:rsidP="00CE0083">
      <w:pPr>
        <w:pStyle w:val="Normlnywebov"/>
        <w:spacing w:beforeAutospacing="0" w:afterAutospacing="0"/>
        <w:jc w:val="left"/>
        <w:rPr>
          <w:b/>
          <w:bCs/>
          <w:noProof/>
          <w:sz w:val="20"/>
          <w:szCs w:val="20"/>
          <w:lang w:eastAsia="sk-SK"/>
        </w:rPr>
      </w:pPr>
      <w:r w:rsidRPr="00EF2265">
        <w:rPr>
          <w:b/>
          <w:bCs/>
          <w:noProof/>
          <w:sz w:val="20"/>
          <w:szCs w:val="20"/>
          <w:lang w:eastAsia="sk-SK"/>
        </w:rPr>
        <w:t xml:space="preserve">PREDSEDA: </w:t>
      </w:r>
    </w:p>
    <w:p w:rsidR="00CE0083" w:rsidRPr="00EF2265" w:rsidRDefault="00CE0083" w:rsidP="00CE0083">
      <w:pPr>
        <w:pStyle w:val="Normlnywebov"/>
        <w:spacing w:beforeAutospacing="0" w:afterAutospacing="0"/>
        <w:jc w:val="left"/>
        <w:rPr>
          <w:b/>
          <w:bCs/>
          <w:noProof/>
          <w:sz w:val="20"/>
          <w:szCs w:val="20"/>
          <w:lang w:eastAsia="sk-SK"/>
        </w:rPr>
      </w:pPr>
      <w:r w:rsidRPr="00EF2265">
        <w:rPr>
          <w:bCs/>
          <w:noProof/>
          <w:sz w:val="20"/>
          <w:szCs w:val="20"/>
        </w:rPr>
        <w:t>prof. Ing. Štefan STANKO, PhD.</w:t>
      </w:r>
    </w:p>
    <w:p w:rsidR="00CE0083" w:rsidRPr="00EF2265" w:rsidRDefault="00CE0083" w:rsidP="00CE0083">
      <w:pPr>
        <w:jc w:val="left"/>
        <w:rPr>
          <w:rFonts w:ascii="Times New Roman" w:hAnsi="Times New Roman"/>
          <w:b/>
          <w:bCs/>
          <w:noProof/>
          <w:sz w:val="20"/>
          <w:szCs w:val="20"/>
          <w:lang w:eastAsia="sk-SK"/>
        </w:rPr>
      </w:pPr>
    </w:p>
    <w:p w:rsidR="00CE0083" w:rsidRPr="00EF2265" w:rsidRDefault="00CE0083" w:rsidP="00CE0083">
      <w:pPr>
        <w:jc w:val="left"/>
        <w:rPr>
          <w:rFonts w:ascii="Times New Roman" w:hAnsi="Times New Roman"/>
          <w:b/>
          <w:bCs/>
          <w:noProof/>
          <w:sz w:val="20"/>
          <w:szCs w:val="20"/>
          <w:lang w:eastAsia="sk-SK"/>
        </w:rPr>
      </w:pPr>
      <w:r w:rsidRPr="00EF2265">
        <w:rPr>
          <w:rFonts w:ascii="Times New Roman" w:hAnsi="Times New Roman"/>
          <w:b/>
          <w:bCs/>
          <w:noProof/>
          <w:sz w:val="20"/>
          <w:szCs w:val="20"/>
          <w:lang w:eastAsia="sk-SK"/>
        </w:rPr>
        <w:t>ČLENOVIA:</w:t>
      </w:r>
    </w:p>
    <w:p w:rsidR="00CE0083" w:rsidRPr="00EF2265" w:rsidRDefault="00CE0083" w:rsidP="00CE0083">
      <w:pPr>
        <w:jc w:val="left"/>
        <w:rPr>
          <w:rFonts w:ascii="Times New Roman" w:hAnsi="Times New Roman"/>
          <w:b/>
          <w:bCs/>
          <w:noProof/>
          <w:sz w:val="20"/>
          <w:szCs w:val="20"/>
          <w:lang w:eastAsia="sk-SK"/>
        </w:rPr>
      </w:pPr>
      <w:r w:rsidRPr="00EF2265">
        <w:rPr>
          <w:rFonts w:ascii="Times New Roman" w:eastAsia="Times New Roman" w:hAnsi="Times New Roman"/>
          <w:noProof/>
          <w:sz w:val="20"/>
          <w:szCs w:val="20"/>
          <w:lang w:eastAsia="sk-SK"/>
        </w:rPr>
        <w:t>doc. Ing. Daniela ŠPIRKOVÁ, PhD.</w:t>
      </w:r>
    </w:p>
    <w:p w:rsidR="00CE0083" w:rsidRPr="00EF2265" w:rsidRDefault="00CE0083" w:rsidP="00CE0083">
      <w:pPr>
        <w:jc w:val="left"/>
        <w:rPr>
          <w:rFonts w:ascii="Times New Roman" w:hAnsi="Times New Roman"/>
          <w:b/>
          <w:bCs/>
          <w:noProof/>
          <w:sz w:val="20"/>
          <w:szCs w:val="20"/>
          <w:lang w:eastAsia="sk-SK"/>
        </w:rPr>
      </w:pPr>
      <w:r w:rsidRPr="00EF2265">
        <w:rPr>
          <w:rFonts w:ascii="Times New Roman" w:eastAsia="Times New Roman" w:hAnsi="Times New Roman"/>
          <w:noProof/>
          <w:sz w:val="20"/>
          <w:szCs w:val="20"/>
          <w:lang w:eastAsia="sk-SK"/>
        </w:rPr>
        <w:t>prof. Ing. arch. Maroš FINKA, PhD.</w:t>
      </w:r>
    </w:p>
    <w:p w:rsidR="00CE0083" w:rsidRPr="00EF2265" w:rsidRDefault="00CE0083" w:rsidP="00CE0083">
      <w:pPr>
        <w:jc w:val="left"/>
        <w:rPr>
          <w:rFonts w:ascii="Times New Roman" w:hAnsi="Times New Roman"/>
          <w:b/>
          <w:bCs/>
          <w:noProof/>
          <w:sz w:val="20"/>
          <w:szCs w:val="20"/>
          <w:lang w:eastAsia="sk-SK"/>
        </w:rPr>
      </w:pPr>
      <w:r w:rsidRPr="00EF2265">
        <w:rPr>
          <w:rFonts w:ascii="Times New Roman" w:eastAsia="Times New Roman" w:hAnsi="Times New Roman"/>
          <w:noProof/>
          <w:sz w:val="20"/>
          <w:szCs w:val="20"/>
          <w:lang w:eastAsia="sk-SK"/>
        </w:rPr>
        <w:t>doc. PhDr. Dagmar PETRÍKOVÁ, PhD.</w:t>
      </w:r>
    </w:p>
    <w:p w:rsidR="00CE0083" w:rsidRPr="00EF2265" w:rsidRDefault="00CE0083" w:rsidP="00CE0083">
      <w:pPr>
        <w:jc w:val="left"/>
        <w:rPr>
          <w:rFonts w:ascii="Times New Roman" w:hAnsi="Times New Roman"/>
          <w:b/>
          <w:bCs/>
          <w:noProof/>
          <w:sz w:val="20"/>
          <w:szCs w:val="20"/>
          <w:lang w:eastAsia="sk-SK"/>
        </w:rPr>
      </w:pPr>
      <w:r w:rsidRPr="00EF2265">
        <w:rPr>
          <w:rFonts w:ascii="Times New Roman" w:eastAsia="Times New Roman" w:hAnsi="Times New Roman"/>
          <w:noProof/>
          <w:sz w:val="20"/>
          <w:szCs w:val="20"/>
          <w:lang w:eastAsia="sk-SK"/>
        </w:rPr>
        <w:t>Rebeka KRIŽANOVÁ</w:t>
      </w:r>
    </w:p>
    <w:p w:rsidR="00CE0083" w:rsidRPr="00EF2265" w:rsidRDefault="00CE0083" w:rsidP="00CE0083">
      <w:pPr>
        <w:jc w:val="left"/>
        <w:rPr>
          <w:rFonts w:ascii="Times New Roman" w:hAnsi="Times New Roman"/>
          <w:b/>
          <w:bCs/>
          <w:noProof/>
          <w:sz w:val="20"/>
          <w:szCs w:val="20"/>
          <w:lang w:eastAsia="sk-SK"/>
        </w:rPr>
      </w:pPr>
      <w:r w:rsidRPr="00EF2265">
        <w:rPr>
          <w:rFonts w:ascii="Times New Roman" w:eastAsia="Times New Roman" w:hAnsi="Times New Roman"/>
          <w:noProof/>
          <w:sz w:val="20"/>
          <w:szCs w:val="20"/>
          <w:lang w:eastAsia="sk-SK"/>
        </w:rPr>
        <w:t>Barbora BRESTOVSKÁ</w:t>
      </w:r>
    </w:p>
    <w:p w:rsidR="00CE0083" w:rsidRPr="00EF2265" w:rsidRDefault="00CE0083" w:rsidP="00CE0083">
      <w:pPr>
        <w:jc w:val="left"/>
        <w:rPr>
          <w:rFonts w:ascii="Times New Roman" w:eastAsia="Times New Roman" w:hAnsi="Times New Roman"/>
          <w:noProof/>
          <w:sz w:val="20"/>
          <w:szCs w:val="20"/>
          <w:lang w:eastAsia="sk-SK"/>
        </w:rPr>
      </w:pPr>
      <w:r w:rsidRPr="00EF2265">
        <w:rPr>
          <w:rFonts w:ascii="Times New Roman" w:eastAsia="Times New Roman" w:hAnsi="Times New Roman"/>
          <w:noProof/>
          <w:sz w:val="20"/>
          <w:szCs w:val="20"/>
          <w:lang w:eastAsia="sk-SK"/>
        </w:rPr>
        <w:t>Bc.  Petra MATYŠAKOVÁ</w:t>
      </w:r>
    </w:p>
    <w:p w:rsidR="00CE0083" w:rsidRPr="00EF2265" w:rsidRDefault="00CE0083" w:rsidP="00CE0083">
      <w:pPr>
        <w:jc w:val="left"/>
        <w:rPr>
          <w:rFonts w:ascii="Times New Roman" w:hAnsi="Times New Roman"/>
          <w:b/>
          <w:bCs/>
          <w:noProof/>
          <w:sz w:val="20"/>
          <w:szCs w:val="20"/>
          <w:lang w:eastAsia="sk-SK"/>
        </w:rPr>
      </w:pPr>
      <w:r w:rsidRPr="00EF2265">
        <w:rPr>
          <w:rFonts w:ascii="Times New Roman" w:eastAsia="Times New Roman" w:hAnsi="Times New Roman"/>
          <w:noProof/>
          <w:sz w:val="20"/>
          <w:szCs w:val="20"/>
          <w:lang w:eastAsia="sk-SK"/>
        </w:rPr>
        <w:t>Ing. Aneta VANDÁKOVÁ</w:t>
      </w:r>
    </w:p>
    <w:p w:rsidR="00CE0083" w:rsidRPr="00EF2265" w:rsidRDefault="00CE0083" w:rsidP="00CE0083">
      <w:pPr>
        <w:jc w:val="left"/>
        <w:rPr>
          <w:rFonts w:ascii="Times New Roman" w:hAnsi="Times New Roman"/>
          <w:b/>
          <w:noProof/>
          <w:sz w:val="20"/>
          <w:szCs w:val="20"/>
          <w:lang w:eastAsia="sk-SK"/>
        </w:rPr>
      </w:pPr>
    </w:p>
    <w:p w:rsidR="00CE0083" w:rsidRPr="00EF2265" w:rsidRDefault="00CE0083" w:rsidP="00CE0083">
      <w:pPr>
        <w:jc w:val="left"/>
        <w:rPr>
          <w:rFonts w:ascii="Times New Roman" w:hAnsi="Times New Roman"/>
          <w:b/>
          <w:noProof/>
          <w:sz w:val="20"/>
          <w:szCs w:val="20"/>
          <w:lang w:eastAsia="sk-SK"/>
        </w:rPr>
      </w:pPr>
      <w:r w:rsidRPr="00EF2265">
        <w:rPr>
          <w:rFonts w:ascii="Times New Roman" w:hAnsi="Times New Roman"/>
          <w:b/>
          <w:noProof/>
          <w:sz w:val="20"/>
          <w:szCs w:val="20"/>
          <w:lang w:eastAsia="sk-SK"/>
        </w:rPr>
        <w:t xml:space="preserve">TAJOMNÍČKA: </w:t>
      </w:r>
    </w:p>
    <w:p w:rsidR="00CE0083" w:rsidRPr="00EF2265" w:rsidRDefault="00CE0083" w:rsidP="00CE0083">
      <w:pPr>
        <w:jc w:val="left"/>
        <w:rPr>
          <w:rFonts w:ascii="Times New Roman" w:hAnsi="Times New Roman"/>
          <w:b/>
          <w:noProof/>
          <w:sz w:val="20"/>
          <w:szCs w:val="20"/>
          <w:lang w:eastAsia="sk-SK"/>
        </w:rPr>
      </w:pPr>
      <w:r w:rsidRPr="00EF2265">
        <w:rPr>
          <w:rFonts w:ascii="Times New Roman" w:hAnsi="Times New Roman"/>
          <w:noProof/>
          <w:sz w:val="20"/>
          <w:szCs w:val="20"/>
          <w:lang w:eastAsia="sk-SK"/>
        </w:rPr>
        <w:t>Mgr. Marianna MICHELKOVÁ</w:t>
      </w:r>
    </w:p>
    <w:p w:rsidR="00FB0B26" w:rsidRPr="00EF2265" w:rsidRDefault="00FB0B26" w:rsidP="00E86605">
      <w:pPr>
        <w:jc w:val="left"/>
        <w:rPr>
          <w:rFonts w:ascii="Times New Roman" w:hAnsi="Times New Roman"/>
          <w:sz w:val="20"/>
          <w:szCs w:val="20"/>
        </w:rPr>
      </w:pPr>
    </w:p>
    <w:p w:rsidR="00073016" w:rsidRPr="00EF2265" w:rsidRDefault="00073016" w:rsidP="005B3F16">
      <w:pPr>
        <w:jc w:val="left"/>
        <w:rPr>
          <w:rFonts w:ascii="Times New Roman" w:hAnsi="Times New Roman"/>
          <w:b/>
          <w:noProof/>
          <w:sz w:val="20"/>
          <w:szCs w:val="20"/>
        </w:rPr>
      </w:pPr>
    </w:p>
    <w:p w:rsidR="005B3F16" w:rsidRPr="00EF2265" w:rsidRDefault="005B3F16" w:rsidP="005B3F16">
      <w:pPr>
        <w:jc w:val="left"/>
        <w:rPr>
          <w:rFonts w:ascii="Times New Roman" w:hAnsi="Times New Roman"/>
          <w:b/>
          <w:noProof/>
          <w:sz w:val="20"/>
          <w:szCs w:val="20"/>
        </w:rPr>
      </w:pPr>
      <w:r w:rsidRPr="00EF2265">
        <w:rPr>
          <w:rFonts w:ascii="Times New Roman" w:hAnsi="Times New Roman"/>
          <w:b/>
          <w:noProof/>
          <w:sz w:val="20"/>
          <w:szCs w:val="20"/>
        </w:rPr>
        <w:t xml:space="preserve">Súčasti </w:t>
      </w:r>
      <w:r w:rsidR="00073016" w:rsidRPr="00EF2265">
        <w:rPr>
          <w:rFonts w:ascii="Times New Roman" w:hAnsi="Times New Roman"/>
          <w:b/>
          <w:noProof/>
          <w:sz w:val="20"/>
          <w:szCs w:val="20"/>
        </w:rPr>
        <w:t>vysokej školy</w:t>
      </w:r>
      <w:r w:rsidRPr="00EF2265">
        <w:rPr>
          <w:rFonts w:ascii="Times New Roman" w:hAnsi="Times New Roman"/>
          <w:b/>
          <w:noProof/>
          <w:sz w:val="20"/>
          <w:szCs w:val="20"/>
        </w:rPr>
        <w:t xml:space="preserve"> (fakulty): </w:t>
      </w:r>
    </w:p>
    <w:p w:rsidR="005B3F16" w:rsidRPr="00EF2265" w:rsidRDefault="005B3F16" w:rsidP="005B3F16">
      <w:pPr>
        <w:jc w:val="left"/>
        <w:rPr>
          <w:rFonts w:ascii="Times New Roman" w:hAnsi="Times New Roman"/>
          <w:b/>
          <w:iCs/>
          <w:noProof/>
          <w:sz w:val="20"/>
          <w:szCs w:val="20"/>
        </w:rPr>
      </w:pPr>
      <w:r w:rsidRPr="00EF2265">
        <w:rPr>
          <w:rFonts w:ascii="Times New Roman" w:hAnsi="Times New Roman"/>
          <w:b/>
          <w:iCs/>
          <w:noProof/>
          <w:sz w:val="20"/>
          <w:szCs w:val="20"/>
        </w:rPr>
        <w:t>Stavebná fakulta (SvF)</w:t>
      </w:r>
    </w:p>
    <w:p w:rsidR="005B3F16" w:rsidRPr="00EF2265" w:rsidRDefault="005B3F16" w:rsidP="005B3F16">
      <w:pPr>
        <w:jc w:val="left"/>
        <w:rPr>
          <w:rFonts w:ascii="Times New Roman" w:hAnsi="Times New Roman"/>
          <w:noProof/>
          <w:sz w:val="20"/>
          <w:szCs w:val="20"/>
        </w:rPr>
      </w:pPr>
      <w:r w:rsidRPr="00EF2265">
        <w:rPr>
          <w:rFonts w:ascii="Times New Roman" w:hAnsi="Times New Roman"/>
          <w:noProof/>
          <w:sz w:val="20"/>
          <w:szCs w:val="20"/>
        </w:rPr>
        <w:t xml:space="preserve">Dekan: </w:t>
      </w:r>
      <w:r w:rsidRPr="00EF2265">
        <w:rPr>
          <w:rFonts w:ascii="Times New Roman" w:hAnsi="Times New Roman"/>
          <w:bCs/>
          <w:noProof/>
          <w:sz w:val="20"/>
          <w:szCs w:val="20"/>
        </w:rPr>
        <w:t>prof. Ing. Stanislav UNČÍK, PhD</w:t>
      </w:r>
      <w:r w:rsidRPr="00EF2265">
        <w:rPr>
          <w:rFonts w:ascii="Times New Roman" w:hAnsi="Times New Roman"/>
          <w:b/>
          <w:bCs/>
          <w:noProof/>
          <w:sz w:val="20"/>
          <w:szCs w:val="20"/>
        </w:rPr>
        <w:t>.</w:t>
      </w:r>
      <w:r w:rsidRPr="00EF2265">
        <w:rPr>
          <w:rFonts w:ascii="Times New Roman" w:hAnsi="Times New Roman"/>
          <w:noProof/>
          <w:sz w:val="20"/>
          <w:szCs w:val="20"/>
        </w:rPr>
        <w:t xml:space="preserve"> </w:t>
      </w:r>
      <w:r w:rsidRPr="00EF2265">
        <w:rPr>
          <w:rFonts w:ascii="Times New Roman" w:hAnsi="Times New Roman"/>
          <w:iCs/>
          <w:noProof/>
          <w:sz w:val="20"/>
          <w:szCs w:val="20"/>
        </w:rPr>
        <w:t>(od 1. 2. 2015)</w:t>
      </w:r>
    </w:p>
    <w:p w:rsidR="005B3F16" w:rsidRPr="00EF2265" w:rsidRDefault="005B3F16" w:rsidP="005B3F16">
      <w:pPr>
        <w:jc w:val="left"/>
        <w:rPr>
          <w:rFonts w:ascii="Times New Roman" w:hAnsi="Times New Roman"/>
          <w:b/>
          <w:noProof/>
          <w:sz w:val="20"/>
          <w:szCs w:val="20"/>
        </w:rPr>
      </w:pPr>
      <w:r w:rsidRPr="00EF2265">
        <w:rPr>
          <w:rFonts w:ascii="Times New Roman" w:hAnsi="Times New Roman"/>
          <w:b/>
          <w:noProof/>
          <w:sz w:val="20"/>
          <w:szCs w:val="20"/>
        </w:rPr>
        <w:t>Strojnícka fakulta (SjF)</w:t>
      </w:r>
    </w:p>
    <w:p w:rsidR="005B3F16" w:rsidRPr="00EF2265" w:rsidRDefault="005B3F16" w:rsidP="005B3F16">
      <w:pPr>
        <w:jc w:val="left"/>
        <w:rPr>
          <w:rFonts w:ascii="Times New Roman" w:hAnsi="Times New Roman"/>
          <w:b/>
          <w:noProof/>
          <w:sz w:val="20"/>
          <w:szCs w:val="20"/>
        </w:rPr>
      </w:pPr>
      <w:r w:rsidRPr="00EF2265">
        <w:rPr>
          <w:rFonts w:ascii="Times New Roman" w:hAnsi="Times New Roman"/>
          <w:b/>
          <w:noProof/>
          <w:sz w:val="20"/>
          <w:szCs w:val="20"/>
        </w:rPr>
        <w:t xml:space="preserve">Dekan: </w:t>
      </w:r>
      <w:r w:rsidRPr="00EF2265">
        <w:rPr>
          <w:rStyle w:val="Siln"/>
          <w:rFonts w:ascii="Times New Roman" w:hAnsi="Times New Roman"/>
          <w:b w:val="0"/>
          <w:noProof/>
          <w:sz w:val="20"/>
          <w:szCs w:val="20"/>
        </w:rPr>
        <w:t>prof. Ing. Ľubomír ŠOOŠ, PhD.</w:t>
      </w:r>
      <w:r w:rsidRPr="00EF2265">
        <w:rPr>
          <w:rFonts w:ascii="Times New Roman" w:hAnsi="Times New Roman"/>
          <w:b/>
          <w:noProof/>
          <w:sz w:val="20"/>
          <w:szCs w:val="20"/>
        </w:rPr>
        <w:t xml:space="preserve"> </w:t>
      </w:r>
      <w:r w:rsidRPr="00EF2265">
        <w:rPr>
          <w:rFonts w:ascii="Times New Roman" w:hAnsi="Times New Roman"/>
          <w:noProof/>
          <w:sz w:val="20"/>
          <w:szCs w:val="20"/>
        </w:rPr>
        <w:t>(od 25. 4. 2017</w:t>
      </w:r>
      <w:r w:rsidRPr="00EF2265">
        <w:rPr>
          <w:rFonts w:ascii="Times New Roman" w:hAnsi="Times New Roman"/>
          <w:bCs/>
          <w:noProof/>
          <w:sz w:val="20"/>
          <w:szCs w:val="20"/>
        </w:rPr>
        <w:t>)</w:t>
      </w:r>
    </w:p>
    <w:p w:rsidR="005B3F16" w:rsidRPr="00EF2265" w:rsidRDefault="005B3F16" w:rsidP="005B3F16">
      <w:pPr>
        <w:jc w:val="left"/>
        <w:rPr>
          <w:rFonts w:ascii="Times New Roman" w:hAnsi="Times New Roman"/>
          <w:b/>
          <w:iCs/>
          <w:noProof/>
          <w:sz w:val="20"/>
          <w:szCs w:val="20"/>
        </w:rPr>
      </w:pPr>
      <w:r w:rsidRPr="00EF2265">
        <w:rPr>
          <w:rFonts w:ascii="Times New Roman" w:hAnsi="Times New Roman"/>
          <w:b/>
          <w:iCs/>
          <w:noProof/>
          <w:sz w:val="20"/>
          <w:szCs w:val="20"/>
        </w:rPr>
        <w:t>Fakulta elektrotechniky a informatiky (FEI)</w:t>
      </w:r>
    </w:p>
    <w:p w:rsidR="005B3F16" w:rsidRPr="00EF2265" w:rsidRDefault="005B3F16" w:rsidP="005B3F16">
      <w:pPr>
        <w:jc w:val="left"/>
        <w:rPr>
          <w:rFonts w:ascii="Times New Roman" w:hAnsi="Times New Roman"/>
          <w:noProof/>
          <w:sz w:val="20"/>
          <w:szCs w:val="20"/>
        </w:rPr>
      </w:pPr>
      <w:r w:rsidRPr="00EF2265">
        <w:rPr>
          <w:rFonts w:ascii="Times New Roman" w:hAnsi="Times New Roman"/>
          <w:noProof/>
          <w:sz w:val="20"/>
          <w:szCs w:val="20"/>
        </w:rPr>
        <w:t xml:space="preserve">Dekan: </w:t>
      </w:r>
      <w:r w:rsidRPr="00EF2265">
        <w:rPr>
          <w:rFonts w:ascii="Times New Roman" w:hAnsi="Times New Roman"/>
          <w:bCs/>
          <w:noProof/>
          <w:sz w:val="20"/>
          <w:szCs w:val="20"/>
        </w:rPr>
        <w:t>prof. Dr. Ing. Miloš ORAVEC</w:t>
      </w:r>
      <w:r w:rsidRPr="00EF2265">
        <w:rPr>
          <w:rFonts w:ascii="Times New Roman" w:hAnsi="Times New Roman"/>
          <w:iCs/>
          <w:noProof/>
          <w:sz w:val="20"/>
          <w:szCs w:val="20"/>
        </w:rPr>
        <w:t xml:space="preserve"> (od 1. 2. 2015)</w:t>
      </w:r>
    </w:p>
    <w:p w:rsidR="005B3F16" w:rsidRPr="00EF2265" w:rsidRDefault="005B3F16" w:rsidP="005B3F16">
      <w:pPr>
        <w:jc w:val="left"/>
        <w:rPr>
          <w:rFonts w:ascii="Times New Roman" w:hAnsi="Times New Roman"/>
          <w:b/>
          <w:noProof/>
          <w:sz w:val="20"/>
          <w:szCs w:val="20"/>
        </w:rPr>
      </w:pPr>
      <w:r w:rsidRPr="00EF2265">
        <w:rPr>
          <w:rFonts w:ascii="Times New Roman" w:hAnsi="Times New Roman"/>
          <w:b/>
          <w:noProof/>
          <w:sz w:val="20"/>
          <w:szCs w:val="20"/>
        </w:rPr>
        <w:t>Fakulta chemickej a potravinárskej technológie (FCHPT)</w:t>
      </w:r>
    </w:p>
    <w:p w:rsidR="005B3F16" w:rsidRPr="00EF2265" w:rsidRDefault="005B3F16" w:rsidP="005B3F16">
      <w:pPr>
        <w:jc w:val="left"/>
        <w:rPr>
          <w:rFonts w:ascii="Times New Roman" w:hAnsi="Times New Roman"/>
          <w:noProof/>
          <w:sz w:val="20"/>
          <w:szCs w:val="20"/>
        </w:rPr>
      </w:pPr>
      <w:r w:rsidRPr="00EF2265">
        <w:rPr>
          <w:rFonts w:ascii="Times New Roman" w:hAnsi="Times New Roman"/>
          <w:noProof/>
          <w:sz w:val="20"/>
          <w:szCs w:val="20"/>
        </w:rPr>
        <w:t>Dekan: prof. Ing. Ján ŠAJBIDOR, DrSc. (od 1. 2. 2011)</w:t>
      </w:r>
    </w:p>
    <w:p w:rsidR="005B3F16" w:rsidRPr="00EF2265" w:rsidRDefault="005B3F16" w:rsidP="005B3F16">
      <w:pPr>
        <w:jc w:val="left"/>
        <w:rPr>
          <w:rFonts w:ascii="Times New Roman" w:hAnsi="Times New Roman"/>
          <w:b/>
          <w:noProof/>
          <w:sz w:val="20"/>
          <w:szCs w:val="20"/>
        </w:rPr>
      </w:pPr>
      <w:r w:rsidRPr="00EF2265">
        <w:rPr>
          <w:rFonts w:ascii="Times New Roman" w:hAnsi="Times New Roman"/>
          <w:b/>
          <w:noProof/>
          <w:sz w:val="20"/>
          <w:szCs w:val="20"/>
        </w:rPr>
        <w:t>Fakulta architektúry (FA)</w:t>
      </w:r>
    </w:p>
    <w:p w:rsidR="00E72413" w:rsidRPr="00EF2265" w:rsidRDefault="005B3F16" w:rsidP="00E72413">
      <w:pPr>
        <w:rPr>
          <w:rFonts w:ascii="Times New Roman" w:hAnsi="Times New Roman"/>
          <w:color w:val="auto"/>
          <w:sz w:val="20"/>
          <w:szCs w:val="20"/>
        </w:rPr>
      </w:pPr>
      <w:r w:rsidRPr="00EF2265">
        <w:rPr>
          <w:rFonts w:ascii="Times New Roman" w:hAnsi="Times New Roman"/>
          <w:noProof/>
          <w:sz w:val="20"/>
          <w:szCs w:val="20"/>
        </w:rPr>
        <w:t>Dekanka: doc. Ing. arch. Ľubica VITKOVÁ, PhD. (</w:t>
      </w:r>
      <w:r w:rsidR="00B85521" w:rsidRPr="00EF2265">
        <w:rPr>
          <w:rFonts w:ascii="Times New Roman" w:hAnsi="Times New Roman"/>
          <w:noProof/>
          <w:sz w:val="20"/>
          <w:szCs w:val="20"/>
        </w:rPr>
        <w:t xml:space="preserve">od 16. </w:t>
      </w:r>
      <w:r w:rsidR="005424B7">
        <w:rPr>
          <w:rFonts w:ascii="Times New Roman" w:hAnsi="Times New Roman"/>
          <w:noProof/>
          <w:sz w:val="20"/>
          <w:szCs w:val="20"/>
        </w:rPr>
        <w:t>s</w:t>
      </w:r>
      <w:r w:rsidR="00B85521" w:rsidRPr="00EF2265">
        <w:rPr>
          <w:rFonts w:ascii="Times New Roman" w:hAnsi="Times New Roman"/>
          <w:noProof/>
          <w:sz w:val="20"/>
          <w:szCs w:val="20"/>
        </w:rPr>
        <w:t xml:space="preserve">eptembra 2014 </w:t>
      </w:r>
      <w:r w:rsidR="00E72413" w:rsidRPr="00EF2265">
        <w:rPr>
          <w:rFonts w:ascii="Times New Roman" w:hAnsi="Times New Roman"/>
          <w:noProof/>
          <w:sz w:val="20"/>
          <w:szCs w:val="20"/>
        </w:rPr>
        <w:t>do</w:t>
      </w:r>
      <w:r w:rsidR="00B85521" w:rsidRPr="00EF2265">
        <w:rPr>
          <w:rFonts w:ascii="Times New Roman" w:hAnsi="Times New Roman"/>
          <w:noProof/>
          <w:sz w:val="20"/>
          <w:szCs w:val="20"/>
        </w:rPr>
        <w:t xml:space="preserve"> 17.</w:t>
      </w:r>
      <w:r w:rsidR="00E72413" w:rsidRPr="00EF2265">
        <w:rPr>
          <w:rFonts w:ascii="Times New Roman" w:hAnsi="Times New Roman"/>
          <w:noProof/>
          <w:sz w:val="20"/>
          <w:szCs w:val="20"/>
        </w:rPr>
        <w:t xml:space="preserve"> septembra 2018, odvtedy je dekanom </w:t>
      </w:r>
      <w:r w:rsidR="00E72413" w:rsidRPr="00EF2265">
        <w:rPr>
          <w:rFonts w:ascii="Times New Roman" w:hAnsi="Times New Roman"/>
          <w:color w:val="auto"/>
          <w:sz w:val="20"/>
          <w:szCs w:val="20"/>
        </w:rPr>
        <w:t>prof. Ing. arch. Pavel Gregor, PhD.</w:t>
      </w:r>
    </w:p>
    <w:p w:rsidR="005B3F16" w:rsidRPr="00EF2265" w:rsidRDefault="005B3F16" w:rsidP="005B3F16">
      <w:pPr>
        <w:jc w:val="left"/>
        <w:rPr>
          <w:rFonts w:ascii="Times New Roman" w:hAnsi="Times New Roman"/>
          <w:b/>
          <w:iCs/>
          <w:noProof/>
          <w:sz w:val="20"/>
          <w:szCs w:val="20"/>
        </w:rPr>
      </w:pPr>
      <w:r w:rsidRPr="00EF2265">
        <w:rPr>
          <w:rFonts w:ascii="Times New Roman" w:hAnsi="Times New Roman"/>
          <w:b/>
          <w:iCs/>
          <w:noProof/>
          <w:sz w:val="20"/>
          <w:szCs w:val="20"/>
        </w:rPr>
        <w:t>Materiálovotechnologická fakulta (MTF)</w:t>
      </w:r>
    </w:p>
    <w:p w:rsidR="00BB7022" w:rsidRPr="00EF2265" w:rsidRDefault="005B3F16" w:rsidP="005B3F16">
      <w:pPr>
        <w:jc w:val="left"/>
        <w:rPr>
          <w:rFonts w:ascii="Times New Roman" w:hAnsi="Times New Roman"/>
          <w:noProof/>
          <w:sz w:val="20"/>
          <w:szCs w:val="20"/>
        </w:rPr>
      </w:pPr>
      <w:r w:rsidRPr="00EF2265">
        <w:rPr>
          <w:rFonts w:ascii="Times New Roman" w:hAnsi="Times New Roman"/>
          <w:noProof/>
          <w:sz w:val="20"/>
          <w:szCs w:val="20"/>
        </w:rPr>
        <w:t>Dekan: prof. Dr. Ing. Jozef PETERKA (od 1. 10. 2014</w:t>
      </w:r>
      <w:r w:rsidR="001276C1" w:rsidRPr="00EF2265">
        <w:rPr>
          <w:rFonts w:ascii="Times New Roman" w:hAnsi="Times New Roman"/>
          <w:noProof/>
          <w:sz w:val="20"/>
          <w:szCs w:val="20"/>
        </w:rPr>
        <w:t xml:space="preserve"> do 1.10.2018, kedy bol menovaný </w:t>
      </w:r>
      <w:r w:rsidR="001276C1" w:rsidRPr="00EF2265">
        <w:rPr>
          <w:rFonts w:ascii="Times New Roman" w:hAnsi="Times New Roman"/>
          <w:sz w:val="20"/>
          <w:szCs w:val="20"/>
        </w:rPr>
        <w:t>prof. Ing. Miloša Čambál, CSc.)</w:t>
      </w:r>
    </w:p>
    <w:p w:rsidR="005B3F16" w:rsidRPr="00EF2265" w:rsidRDefault="005B3F16" w:rsidP="005B3F16">
      <w:pPr>
        <w:jc w:val="left"/>
        <w:rPr>
          <w:rFonts w:ascii="Times New Roman" w:hAnsi="Times New Roman"/>
          <w:b/>
          <w:iCs/>
          <w:noProof/>
          <w:sz w:val="20"/>
          <w:szCs w:val="20"/>
        </w:rPr>
      </w:pPr>
      <w:r w:rsidRPr="00EF2265">
        <w:rPr>
          <w:rFonts w:ascii="Times New Roman" w:hAnsi="Times New Roman"/>
          <w:b/>
          <w:iCs/>
          <w:noProof/>
          <w:sz w:val="20"/>
          <w:szCs w:val="20"/>
        </w:rPr>
        <w:t>Fakulta informatiky a informačných technológií (FIIT)</w:t>
      </w:r>
    </w:p>
    <w:p w:rsidR="005B3F16" w:rsidRPr="00EF2265" w:rsidRDefault="005B3F16" w:rsidP="005B3F16">
      <w:pPr>
        <w:jc w:val="left"/>
        <w:rPr>
          <w:rFonts w:ascii="Times New Roman" w:hAnsi="Times New Roman"/>
          <w:noProof/>
          <w:sz w:val="20"/>
          <w:szCs w:val="20"/>
        </w:rPr>
      </w:pPr>
      <w:r w:rsidRPr="00EF2265">
        <w:rPr>
          <w:rFonts w:ascii="Times New Roman" w:hAnsi="Times New Roman"/>
          <w:noProof/>
          <w:sz w:val="20"/>
          <w:szCs w:val="20"/>
        </w:rPr>
        <w:t xml:space="preserve">Dekanka: </w:t>
      </w:r>
      <w:r w:rsidRPr="00EF2265">
        <w:rPr>
          <w:rFonts w:ascii="Times New Roman" w:hAnsi="Times New Roman"/>
          <w:bCs/>
          <w:noProof/>
          <w:sz w:val="20"/>
          <w:szCs w:val="20"/>
        </w:rPr>
        <w:t>prof. Ing. Mária BIELIKOVÁ, PhD.</w:t>
      </w:r>
      <w:r w:rsidRPr="00EF2265">
        <w:rPr>
          <w:rFonts w:ascii="Times New Roman" w:hAnsi="Times New Roman"/>
          <w:noProof/>
          <w:sz w:val="20"/>
          <w:szCs w:val="20"/>
        </w:rPr>
        <w:t xml:space="preserve"> (od 2. 12. 2015)</w:t>
      </w:r>
    </w:p>
    <w:p w:rsidR="004C2DE8" w:rsidRPr="00EF2265" w:rsidRDefault="004C2DE8" w:rsidP="00E86605">
      <w:pPr>
        <w:jc w:val="left"/>
        <w:rPr>
          <w:rFonts w:ascii="Times New Roman" w:hAnsi="Times New Roman"/>
          <w:sz w:val="20"/>
          <w:szCs w:val="20"/>
        </w:rPr>
      </w:pPr>
    </w:p>
    <w:p w:rsidR="00F4181F" w:rsidRPr="00EF2265" w:rsidRDefault="00F4181F" w:rsidP="00E86605">
      <w:pPr>
        <w:jc w:val="left"/>
        <w:rPr>
          <w:rFonts w:ascii="Times New Roman" w:hAnsi="Times New Roman"/>
          <w:sz w:val="20"/>
          <w:szCs w:val="20"/>
        </w:rPr>
      </w:pPr>
    </w:p>
    <w:p w:rsidR="00BF7AE2" w:rsidRPr="00EF2265" w:rsidRDefault="00BF7AE2" w:rsidP="00BF7AE2">
      <w:pPr>
        <w:autoSpaceDE w:val="0"/>
        <w:autoSpaceDN w:val="0"/>
        <w:adjustRightInd w:val="0"/>
        <w:jc w:val="left"/>
        <w:rPr>
          <w:rFonts w:ascii="Times New Roman" w:hAnsi="Times New Roman"/>
          <w:b/>
          <w:noProof/>
          <w:sz w:val="20"/>
          <w:szCs w:val="20"/>
        </w:rPr>
      </w:pPr>
      <w:r w:rsidRPr="00EF2265">
        <w:rPr>
          <w:rFonts w:ascii="Times New Roman" w:hAnsi="Times New Roman"/>
          <w:b/>
          <w:noProof/>
          <w:sz w:val="20"/>
          <w:szCs w:val="20"/>
        </w:rPr>
        <w:t>Ostatné súčasti univerzity:</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Rektorát (R STU)</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Centrum výpočtovej techniky (CVT STU)</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Archív</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Vydavateľstvo Spektrum STU</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Projektové stredisko</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Inštitút celoživotného vzdelávania (ICV STU)</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Know-how centrum:</w:t>
      </w:r>
    </w:p>
    <w:p w:rsidR="00BF7AE2" w:rsidRPr="00EF2265" w:rsidRDefault="00BF7AE2" w:rsidP="00BF7AE2">
      <w:pPr>
        <w:pStyle w:val="Odsekzoznamu"/>
        <w:numPr>
          <w:ilvl w:val="0"/>
          <w:numId w:val="82"/>
        </w:numPr>
        <w:autoSpaceDE w:val="0"/>
        <w:autoSpaceDN w:val="0"/>
        <w:adjustRightInd w:val="0"/>
        <w:spacing w:line="240" w:lineRule="auto"/>
        <w:rPr>
          <w:rFonts w:ascii="Times New Roman" w:hAnsi="Times New Roman"/>
          <w:noProof/>
          <w:sz w:val="20"/>
          <w:szCs w:val="20"/>
        </w:rPr>
      </w:pPr>
      <w:r w:rsidRPr="00EF2265">
        <w:rPr>
          <w:rFonts w:ascii="Times New Roman" w:hAnsi="Times New Roman"/>
          <w:noProof/>
          <w:sz w:val="20"/>
          <w:szCs w:val="20"/>
        </w:rPr>
        <w:t>Kancelária spolupráce s praxou</w:t>
      </w:r>
    </w:p>
    <w:p w:rsidR="00BF7AE2" w:rsidRPr="00EF2265" w:rsidRDefault="00BF7AE2" w:rsidP="00BF7AE2">
      <w:pPr>
        <w:pStyle w:val="Odsekzoznamu"/>
        <w:numPr>
          <w:ilvl w:val="0"/>
          <w:numId w:val="82"/>
        </w:numPr>
        <w:autoSpaceDE w:val="0"/>
        <w:autoSpaceDN w:val="0"/>
        <w:adjustRightInd w:val="0"/>
        <w:spacing w:after="0" w:line="240" w:lineRule="auto"/>
        <w:rPr>
          <w:rFonts w:ascii="Times New Roman" w:hAnsi="Times New Roman"/>
          <w:noProof/>
          <w:sz w:val="20"/>
          <w:szCs w:val="20"/>
        </w:rPr>
      </w:pPr>
      <w:r w:rsidRPr="00EF2265">
        <w:rPr>
          <w:rFonts w:ascii="Times New Roman" w:hAnsi="Times New Roman"/>
          <w:noProof/>
          <w:sz w:val="20"/>
          <w:szCs w:val="20"/>
        </w:rPr>
        <w:t>Univerzitný technologický inkubátor</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Ústav manažmentu (ÚM STU)</w:t>
      </w:r>
    </w:p>
    <w:p w:rsidR="00BF7AE2" w:rsidRPr="00EF2265" w:rsidRDefault="00BF7AE2" w:rsidP="00BF7AE2">
      <w:pPr>
        <w:autoSpaceDE w:val="0"/>
        <w:autoSpaceDN w:val="0"/>
        <w:adjustRightInd w:val="0"/>
        <w:jc w:val="left"/>
        <w:rPr>
          <w:rFonts w:ascii="Times New Roman" w:eastAsia="Times New Roman" w:hAnsi="Times New Roman"/>
          <w:noProof/>
          <w:sz w:val="20"/>
          <w:szCs w:val="20"/>
        </w:rPr>
      </w:pPr>
      <w:r w:rsidRPr="00EF2265">
        <w:rPr>
          <w:rFonts w:ascii="Times New Roman" w:eastAsia="Times New Roman" w:hAnsi="Times New Roman"/>
          <w:noProof/>
          <w:sz w:val="20"/>
          <w:szCs w:val="20"/>
        </w:rPr>
        <w:t>Univerzitné vedecké parky</w:t>
      </w:r>
    </w:p>
    <w:p w:rsidR="00BF7AE2" w:rsidRPr="00EF2265" w:rsidRDefault="00BF7AE2" w:rsidP="00BF7AE2">
      <w:pPr>
        <w:pStyle w:val="Odsekzoznamu"/>
        <w:numPr>
          <w:ilvl w:val="0"/>
          <w:numId w:val="82"/>
        </w:numPr>
        <w:autoSpaceDE w:val="0"/>
        <w:autoSpaceDN w:val="0"/>
        <w:adjustRightInd w:val="0"/>
        <w:spacing w:line="240" w:lineRule="auto"/>
        <w:rPr>
          <w:rFonts w:ascii="Times New Roman" w:hAnsi="Times New Roman"/>
          <w:noProof/>
          <w:sz w:val="20"/>
          <w:szCs w:val="20"/>
        </w:rPr>
      </w:pPr>
      <w:r w:rsidRPr="00EF2265">
        <w:rPr>
          <w:rFonts w:ascii="Times New Roman" w:hAnsi="Times New Roman"/>
          <w:noProof/>
          <w:sz w:val="20"/>
          <w:szCs w:val="20"/>
        </w:rPr>
        <w:t>Centrá excelentnosti</w:t>
      </w:r>
    </w:p>
    <w:p w:rsidR="00BF7AE2" w:rsidRPr="00EF2265" w:rsidRDefault="00BF7AE2" w:rsidP="00BF7AE2">
      <w:pPr>
        <w:autoSpaceDE w:val="0"/>
        <w:autoSpaceDN w:val="0"/>
        <w:adjustRightInd w:val="0"/>
        <w:jc w:val="left"/>
        <w:rPr>
          <w:rFonts w:ascii="Times New Roman" w:hAnsi="Times New Roman"/>
          <w:b/>
          <w:noProof/>
          <w:sz w:val="20"/>
          <w:szCs w:val="20"/>
        </w:rPr>
      </w:pPr>
      <w:r w:rsidRPr="00EF2265">
        <w:rPr>
          <w:rFonts w:ascii="Times New Roman" w:hAnsi="Times New Roman"/>
          <w:b/>
          <w:noProof/>
          <w:sz w:val="20"/>
          <w:szCs w:val="20"/>
        </w:rPr>
        <w:t>Účelové zariadenia STU:</w:t>
      </w:r>
    </w:p>
    <w:p w:rsidR="00BF7AE2" w:rsidRPr="00EF2265" w:rsidRDefault="00BF7AE2" w:rsidP="00BF7AE2">
      <w:pPr>
        <w:autoSpaceDE w:val="0"/>
        <w:autoSpaceDN w:val="0"/>
        <w:adjustRightInd w:val="0"/>
        <w:jc w:val="left"/>
        <w:rPr>
          <w:rFonts w:ascii="Times New Roman" w:hAnsi="Times New Roman"/>
          <w:i/>
          <w:noProof/>
          <w:sz w:val="20"/>
          <w:szCs w:val="20"/>
        </w:rPr>
      </w:pPr>
      <w:r w:rsidRPr="00EF2265">
        <w:rPr>
          <w:rFonts w:ascii="Times New Roman" w:hAnsi="Times New Roman"/>
          <w:noProof/>
          <w:sz w:val="20"/>
          <w:szCs w:val="20"/>
        </w:rPr>
        <w:t>Účelové zariadenie Študentské domovy a jedálne STU</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 xml:space="preserve">Účelové zariadenie STU v Gabčíkove </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Vysokoškolský umelecký súbor Technik STU</w:t>
      </w:r>
    </w:p>
    <w:p w:rsidR="00BF7AE2" w:rsidRPr="00EF2265" w:rsidRDefault="00BF7AE2" w:rsidP="00BF7AE2">
      <w:pPr>
        <w:autoSpaceDE w:val="0"/>
        <w:autoSpaceDN w:val="0"/>
        <w:adjustRightInd w:val="0"/>
        <w:jc w:val="left"/>
        <w:rPr>
          <w:rFonts w:ascii="Times New Roman" w:hAnsi="Times New Roman"/>
          <w:noProof/>
          <w:sz w:val="20"/>
          <w:szCs w:val="20"/>
        </w:rPr>
      </w:pPr>
      <w:r w:rsidRPr="00EF2265">
        <w:rPr>
          <w:rFonts w:ascii="Times New Roman" w:hAnsi="Times New Roman"/>
          <w:noProof/>
          <w:sz w:val="20"/>
          <w:szCs w:val="20"/>
        </w:rPr>
        <w:t>Centrum akademického športu STU</w:t>
      </w:r>
    </w:p>
    <w:p w:rsidR="00CE0083" w:rsidRPr="00EF2265" w:rsidRDefault="00CE0083" w:rsidP="00E86605">
      <w:pPr>
        <w:jc w:val="left"/>
        <w:rPr>
          <w:rFonts w:ascii="Times New Roman" w:hAnsi="Times New Roman"/>
          <w:sz w:val="20"/>
          <w:szCs w:val="20"/>
        </w:rPr>
      </w:pPr>
    </w:p>
    <w:p w:rsidR="00CE0083" w:rsidRPr="00EF2265" w:rsidRDefault="00CE0083" w:rsidP="00E86605">
      <w:pPr>
        <w:jc w:val="left"/>
        <w:rPr>
          <w:rFonts w:ascii="Times New Roman" w:hAnsi="Times New Roman"/>
          <w:sz w:val="20"/>
          <w:szCs w:val="20"/>
        </w:rPr>
      </w:pPr>
    </w:p>
    <w:p w:rsidR="004B2190" w:rsidRPr="00367B40" w:rsidRDefault="004B2190" w:rsidP="004B2190">
      <w:pPr>
        <w:autoSpaceDE w:val="0"/>
        <w:autoSpaceDN w:val="0"/>
        <w:rPr>
          <w:rFonts w:ascii="Times New Roman" w:hAnsi="Times New Roman"/>
          <w:b/>
          <w:bCs/>
          <w:i/>
          <w:iCs/>
        </w:rPr>
      </w:pPr>
      <w:r w:rsidRPr="00367B40">
        <w:rPr>
          <w:rFonts w:ascii="Times New Roman" w:hAnsi="Times New Roman"/>
          <w:b/>
          <w:bCs/>
        </w:rPr>
        <w:t>Správna rada STU</w:t>
      </w:r>
    </w:p>
    <w:p w:rsidR="004B2190" w:rsidRPr="00EF2265" w:rsidRDefault="004B2190" w:rsidP="004B2190">
      <w:pPr>
        <w:pStyle w:val="Bezriadkovania"/>
        <w:rPr>
          <w:rFonts w:ascii="Times New Roman" w:hAnsi="Times New Roman" w:cs="Times New Roman"/>
          <w:sz w:val="20"/>
          <w:szCs w:val="20"/>
          <w:u w:val="single"/>
        </w:rPr>
      </w:pPr>
      <w:r w:rsidRPr="00EF2265">
        <w:rPr>
          <w:rFonts w:ascii="Times New Roman" w:hAnsi="Times New Roman" w:cs="Times New Roman"/>
          <w:sz w:val="20"/>
          <w:szCs w:val="20"/>
          <w:u w:val="single"/>
        </w:rPr>
        <w:t xml:space="preserve">Členovia Správnej rady navrhnutí ministrom školstva: </w:t>
      </w:r>
    </w:p>
    <w:p w:rsidR="004B2190" w:rsidRPr="00EF2265" w:rsidRDefault="004B2190" w:rsidP="004B2190">
      <w:pPr>
        <w:rPr>
          <w:rFonts w:ascii="Times New Roman" w:hAnsi="Times New Roman"/>
          <w:sz w:val="20"/>
          <w:szCs w:val="20"/>
        </w:rPr>
      </w:pPr>
      <w:r w:rsidRPr="00EF2265">
        <w:rPr>
          <w:rFonts w:ascii="Times New Roman" w:hAnsi="Times New Roman"/>
          <w:sz w:val="20"/>
          <w:szCs w:val="20"/>
        </w:rPr>
        <w:t>Ing. Miroslav HAVLÍK, Head of Biotechnology R&amp;D Site Kuensebeck, Evonik Industries AG</w:t>
      </w:r>
    </w:p>
    <w:p w:rsidR="004B2190" w:rsidRPr="00EF2265" w:rsidRDefault="004B2190" w:rsidP="004B2190">
      <w:pPr>
        <w:rPr>
          <w:rFonts w:ascii="Times New Roman" w:hAnsi="Times New Roman"/>
          <w:sz w:val="20"/>
          <w:szCs w:val="20"/>
        </w:rPr>
      </w:pPr>
      <w:r w:rsidRPr="00EF2265">
        <w:rPr>
          <w:rFonts w:ascii="Times New Roman" w:hAnsi="Times New Roman"/>
          <w:sz w:val="20"/>
          <w:szCs w:val="20"/>
        </w:rPr>
        <w:t>(17. 4. 2013 – 17. 4. 2019)</w:t>
      </w:r>
    </w:p>
    <w:p w:rsidR="004B2190" w:rsidRPr="00EF2265" w:rsidRDefault="004B2190" w:rsidP="004B2190">
      <w:pPr>
        <w:rPr>
          <w:rFonts w:ascii="Times New Roman" w:hAnsi="Times New Roman"/>
          <w:color w:val="BB162B"/>
          <w:sz w:val="20"/>
          <w:szCs w:val="20"/>
          <w:lang w:eastAsia="ja-JP"/>
        </w:rPr>
      </w:pPr>
      <w:r w:rsidRPr="00EF2265">
        <w:rPr>
          <w:rFonts w:ascii="Times New Roman" w:hAnsi="Times New Roman"/>
          <w:sz w:val="20"/>
          <w:szCs w:val="20"/>
        </w:rPr>
        <w:t xml:space="preserve">JUDr. Anton ONDREJ, MBA, </w:t>
      </w:r>
      <w:r w:rsidRPr="00EF2265">
        <w:rPr>
          <w:rFonts w:ascii="Times New Roman" w:hAnsi="Times New Roman"/>
          <w:sz w:val="20"/>
          <w:szCs w:val="20"/>
          <w:lang w:eastAsia="ja-JP"/>
        </w:rPr>
        <w:t>Kia Motors Slovakia s.r.o.</w:t>
      </w:r>
    </w:p>
    <w:p w:rsidR="004B2190" w:rsidRPr="00EF2265" w:rsidRDefault="004B2190" w:rsidP="004B2190">
      <w:pPr>
        <w:rPr>
          <w:rFonts w:ascii="Times New Roman" w:hAnsi="Times New Roman"/>
          <w:color w:val="auto"/>
          <w:sz w:val="20"/>
          <w:szCs w:val="20"/>
        </w:rPr>
      </w:pPr>
      <w:r w:rsidRPr="00EF2265">
        <w:rPr>
          <w:rFonts w:ascii="Times New Roman" w:hAnsi="Times New Roman"/>
          <w:sz w:val="20"/>
          <w:szCs w:val="20"/>
        </w:rPr>
        <w:t>(17. 4. 2013 – 17. 4. 2019)</w:t>
      </w:r>
    </w:p>
    <w:p w:rsidR="004B2190" w:rsidRPr="00EF2265" w:rsidRDefault="004B2190" w:rsidP="004B2190">
      <w:pPr>
        <w:pStyle w:val="Bezriadkovania"/>
        <w:rPr>
          <w:rFonts w:ascii="Times New Roman" w:hAnsi="Times New Roman" w:cs="Times New Roman"/>
          <w:b/>
          <w:bCs/>
          <w:sz w:val="20"/>
          <w:szCs w:val="20"/>
        </w:rPr>
      </w:pPr>
      <w:r w:rsidRPr="00EF2265">
        <w:rPr>
          <w:rFonts w:ascii="Times New Roman" w:hAnsi="Times New Roman" w:cs="Times New Roman"/>
          <w:b/>
          <w:bCs/>
          <w:sz w:val="20"/>
          <w:szCs w:val="20"/>
        </w:rPr>
        <w:t xml:space="preserve">PODPREDSEDA </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 xml:space="preserve">doc. RNDr. Milan FTÁČNIK, CSc., externý poradca ministra ŠVVaŠ SR, vysokoškolský pedagóg, docent </w:t>
      </w:r>
      <w:r w:rsidRPr="00EF2265">
        <w:rPr>
          <w:rFonts w:ascii="Times New Roman" w:hAnsi="Times New Roman" w:cs="Times New Roman"/>
          <w:color w:val="000000"/>
          <w:sz w:val="20"/>
          <w:szCs w:val="20"/>
          <w:shd w:val="clear" w:color="auto" w:fill="FFFFFF"/>
        </w:rPr>
        <w:t>na Katedre aplikovanej informatiky, FMFI UK</w:t>
      </w:r>
      <w:r w:rsidRPr="00EF2265">
        <w:rPr>
          <w:rFonts w:ascii="Times New Roman" w:hAnsi="Times New Roman" w:cs="Times New Roman"/>
          <w:sz w:val="20"/>
          <w:szCs w:val="20"/>
        </w:rPr>
        <w:t xml:space="preserve"> </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(6. 6. 2017 - 6. 6. 2023)</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 xml:space="preserve">Ing. Ján KIRÁLY, generálny riaditeľ Frucona, a. s. </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(22. 5. 2015 – 22. 5. 2021)</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 xml:space="preserve">Ing. Richard MARKO, generálny riaditeľ </w:t>
      </w:r>
      <w:r w:rsidRPr="00EF2265">
        <w:rPr>
          <w:rFonts w:ascii="Times New Roman" w:hAnsi="Times New Roman" w:cs="Times New Roman"/>
          <w:sz w:val="20"/>
          <w:szCs w:val="20"/>
          <w:shd w:val="clear" w:color="auto" w:fill="FFFFFF"/>
        </w:rPr>
        <w:t>ESET, spol. s r.o</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(22. 5. 2015 – 22. 5. 2021)</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 xml:space="preserve">Ing. Juraj HIRNER, </w:t>
      </w:r>
      <w:r w:rsidRPr="00EF2265">
        <w:rPr>
          <w:rFonts w:ascii="Times New Roman" w:hAnsi="Times New Roman" w:cs="Times New Roman"/>
          <w:color w:val="000000"/>
          <w:sz w:val="20"/>
          <w:szCs w:val="20"/>
          <w:shd w:val="clear" w:color="auto" w:fill="FFFFFF"/>
        </w:rPr>
        <w:t>konateľ a riaditeľ spoločnosti</w:t>
      </w:r>
      <w:r w:rsidRPr="00EF2265">
        <w:rPr>
          <w:rStyle w:val="apple-converted-space"/>
          <w:rFonts w:ascii="Times New Roman" w:hAnsi="Times New Roman" w:cs="Times New Roman"/>
          <w:color w:val="000000"/>
          <w:sz w:val="20"/>
          <w:szCs w:val="20"/>
          <w:shd w:val="clear" w:color="auto" w:fill="FFFFFF"/>
        </w:rPr>
        <w:t> </w:t>
      </w:r>
      <w:r w:rsidRPr="00EF2265">
        <w:rPr>
          <w:rFonts w:ascii="Times New Roman" w:hAnsi="Times New Roman" w:cs="Times New Roman"/>
          <w:color w:val="000000"/>
          <w:sz w:val="20"/>
          <w:szCs w:val="20"/>
          <w:shd w:val="clear" w:color="auto" w:fill="FFFFFF"/>
        </w:rPr>
        <w:t>STRABAG Pozemné a inžinierske staviteľstvo s.r.o.</w:t>
      </w:r>
      <w:r w:rsidRPr="00EF2265">
        <w:rPr>
          <w:rStyle w:val="apple-converted-space"/>
          <w:rFonts w:ascii="Times New Roman" w:hAnsi="Times New Roman" w:cs="Times New Roman"/>
          <w:color w:val="000000"/>
          <w:sz w:val="20"/>
          <w:szCs w:val="20"/>
          <w:shd w:val="clear" w:color="auto" w:fill="FFFFFF"/>
        </w:rPr>
        <w:t> </w:t>
      </w:r>
      <w:r w:rsidRPr="00EF2265">
        <w:rPr>
          <w:rFonts w:ascii="Times New Roman" w:hAnsi="Times New Roman" w:cs="Times New Roman"/>
          <w:sz w:val="20"/>
          <w:szCs w:val="20"/>
        </w:rPr>
        <w:t xml:space="preserve"> </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(22. 5. 2015 – 22. 5. 2021)</w:t>
      </w:r>
    </w:p>
    <w:p w:rsidR="004B2190" w:rsidRPr="00EF2265" w:rsidRDefault="004B2190" w:rsidP="004B2190">
      <w:pPr>
        <w:pStyle w:val="Bezriadkovania"/>
        <w:rPr>
          <w:rFonts w:ascii="Times New Roman" w:hAnsi="Times New Roman" w:cs="Times New Roman"/>
          <w:sz w:val="20"/>
          <w:szCs w:val="20"/>
        </w:rPr>
      </w:pPr>
    </w:p>
    <w:p w:rsidR="004B2190" w:rsidRPr="00EF2265" w:rsidRDefault="004B2190" w:rsidP="004B2190">
      <w:pPr>
        <w:pStyle w:val="Bezriadkovania"/>
        <w:rPr>
          <w:rFonts w:ascii="Times New Roman" w:hAnsi="Times New Roman" w:cs="Times New Roman"/>
          <w:sz w:val="20"/>
          <w:szCs w:val="20"/>
          <w:u w:val="single"/>
        </w:rPr>
      </w:pPr>
      <w:r w:rsidRPr="00EF2265">
        <w:rPr>
          <w:rFonts w:ascii="Times New Roman" w:hAnsi="Times New Roman" w:cs="Times New Roman"/>
          <w:sz w:val="20"/>
          <w:szCs w:val="20"/>
          <w:u w:val="single"/>
        </w:rPr>
        <w:t>Členovia Správnej rady navrhnutí rektorom vysokej školy:</w:t>
      </w:r>
    </w:p>
    <w:p w:rsidR="004B2190" w:rsidRPr="00EF2265" w:rsidRDefault="004B2190" w:rsidP="004B2190">
      <w:pPr>
        <w:pStyle w:val="Bezriadkovania"/>
        <w:rPr>
          <w:rFonts w:ascii="Times New Roman" w:hAnsi="Times New Roman" w:cs="Times New Roman"/>
          <w:b/>
          <w:bCs/>
          <w:sz w:val="20"/>
          <w:szCs w:val="20"/>
        </w:rPr>
      </w:pPr>
      <w:r w:rsidRPr="00EF2265">
        <w:rPr>
          <w:rFonts w:ascii="Times New Roman" w:hAnsi="Times New Roman" w:cs="Times New Roman"/>
          <w:b/>
          <w:bCs/>
          <w:sz w:val="20"/>
          <w:szCs w:val="20"/>
        </w:rPr>
        <w:t>PREDSEDA</w:t>
      </w:r>
    </w:p>
    <w:p w:rsidR="004B2190" w:rsidRPr="00EF2265" w:rsidRDefault="004B2190" w:rsidP="004B2190">
      <w:pPr>
        <w:rPr>
          <w:rFonts w:ascii="Times New Roman" w:hAnsi="Times New Roman"/>
          <w:sz w:val="20"/>
          <w:szCs w:val="20"/>
        </w:rPr>
      </w:pPr>
      <w:r w:rsidRPr="00EF2265">
        <w:rPr>
          <w:rFonts w:ascii="Times New Roman" w:hAnsi="Times New Roman"/>
          <w:sz w:val="20"/>
          <w:szCs w:val="20"/>
        </w:rPr>
        <w:t xml:space="preserve">Ing. Vladimír SLEZÁK, generálny riaditeľ, Siemens, s. r. o. </w:t>
      </w:r>
    </w:p>
    <w:p w:rsidR="004B2190" w:rsidRPr="00EF2265" w:rsidRDefault="004B2190" w:rsidP="004B2190">
      <w:pPr>
        <w:rPr>
          <w:rFonts w:ascii="Times New Roman" w:hAnsi="Times New Roman"/>
          <w:sz w:val="20"/>
          <w:szCs w:val="20"/>
        </w:rPr>
      </w:pPr>
      <w:r w:rsidRPr="00EF2265">
        <w:rPr>
          <w:rFonts w:ascii="Times New Roman" w:hAnsi="Times New Roman"/>
          <w:sz w:val="20"/>
          <w:szCs w:val="20"/>
        </w:rPr>
        <w:t>(6. 6. 2017 - 6. 6. 2023)</w:t>
      </w:r>
    </w:p>
    <w:p w:rsidR="004B2190" w:rsidRPr="00EF2265" w:rsidRDefault="004B2190" w:rsidP="004B2190">
      <w:pPr>
        <w:rPr>
          <w:rFonts w:ascii="Times New Roman" w:hAnsi="Times New Roman"/>
          <w:sz w:val="20"/>
          <w:szCs w:val="20"/>
        </w:rPr>
      </w:pPr>
      <w:r w:rsidRPr="00EF2265">
        <w:rPr>
          <w:rFonts w:ascii="Times New Roman" w:hAnsi="Times New Roman"/>
          <w:sz w:val="20"/>
          <w:szCs w:val="20"/>
        </w:rPr>
        <w:t xml:space="preserve">doc. Ing. Ľubomír HARACH, CSc., konateľ LHC, s.r.o. </w:t>
      </w:r>
    </w:p>
    <w:p w:rsidR="004B2190" w:rsidRPr="00EF2265" w:rsidRDefault="004B2190" w:rsidP="004B2190">
      <w:pPr>
        <w:rPr>
          <w:rFonts w:ascii="Times New Roman" w:hAnsi="Times New Roman"/>
          <w:sz w:val="20"/>
          <w:szCs w:val="20"/>
          <w:lang w:val="en-US"/>
        </w:rPr>
      </w:pPr>
      <w:r w:rsidRPr="00EF2265">
        <w:rPr>
          <w:rFonts w:ascii="Times New Roman" w:hAnsi="Times New Roman"/>
          <w:sz w:val="20"/>
          <w:szCs w:val="20"/>
        </w:rPr>
        <w:t>(6. 6. 2017 - 19. 12. 2018)</w:t>
      </w:r>
    </w:p>
    <w:p w:rsidR="004B2190" w:rsidRPr="00EF2265" w:rsidRDefault="004B2190" w:rsidP="004B2190">
      <w:pPr>
        <w:pStyle w:val="Obyajntext"/>
        <w:rPr>
          <w:rFonts w:ascii="Times New Roman" w:hAnsi="Times New Roman" w:cs="Times New Roman"/>
          <w:sz w:val="20"/>
          <w:szCs w:val="20"/>
        </w:rPr>
      </w:pPr>
      <w:r w:rsidRPr="00EF2265">
        <w:rPr>
          <w:rFonts w:ascii="Times New Roman" w:hAnsi="Times New Roman" w:cs="Times New Roman"/>
          <w:sz w:val="20"/>
          <w:szCs w:val="20"/>
        </w:rPr>
        <w:t>Ing. Peter KOSTÍK, poradca predstavenstva Envien Group</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(22. 5. 2015 – 22. 5. 2021)</w:t>
      </w:r>
    </w:p>
    <w:p w:rsidR="004B2190" w:rsidRPr="00EF2265" w:rsidRDefault="004B2190" w:rsidP="004B2190">
      <w:pPr>
        <w:rPr>
          <w:rStyle w:val="Siln"/>
          <w:rFonts w:ascii="Times New Roman" w:hAnsi="Times New Roman"/>
          <w:b w:val="0"/>
          <w:bCs w:val="0"/>
          <w:sz w:val="20"/>
          <w:szCs w:val="20"/>
        </w:rPr>
      </w:pPr>
      <w:r w:rsidRPr="00EF2265">
        <w:rPr>
          <w:rFonts w:ascii="Times New Roman" w:hAnsi="Times New Roman"/>
          <w:sz w:val="20"/>
          <w:szCs w:val="20"/>
        </w:rPr>
        <w:t>Ing. Zsolt LUKÁČ, predseda predstavenstva a generálny riaditeľ </w:t>
      </w:r>
      <w:r w:rsidRPr="00EF2265">
        <w:rPr>
          <w:rStyle w:val="Siln"/>
          <w:rFonts w:ascii="Times New Roman" w:hAnsi="Times New Roman"/>
          <w:b w:val="0"/>
          <w:bCs w:val="0"/>
          <w:sz w:val="20"/>
          <w:szCs w:val="20"/>
        </w:rPr>
        <w:t>BVS, a. s.</w:t>
      </w:r>
    </w:p>
    <w:p w:rsidR="004B2190" w:rsidRPr="00EF2265" w:rsidRDefault="004B2190" w:rsidP="004B2190">
      <w:pPr>
        <w:rPr>
          <w:rFonts w:ascii="Times New Roman" w:hAnsi="Times New Roman"/>
          <w:sz w:val="20"/>
          <w:szCs w:val="20"/>
        </w:rPr>
      </w:pPr>
      <w:r w:rsidRPr="00EF2265">
        <w:rPr>
          <w:rFonts w:ascii="Times New Roman" w:hAnsi="Times New Roman"/>
          <w:sz w:val="20"/>
          <w:szCs w:val="20"/>
        </w:rPr>
        <w:t>(6. 6. 2017 – 6. 6. 2023)</w:t>
      </w:r>
    </w:p>
    <w:p w:rsidR="004B2190" w:rsidRPr="00EF2265" w:rsidRDefault="004B2190" w:rsidP="004B2190">
      <w:pPr>
        <w:rPr>
          <w:rFonts w:ascii="Times New Roman" w:hAnsi="Times New Roman"/>
          <w:sz w:val="20"/>
          <w:szCs w:val="20"/>
        </w:rPr>
      </w:pPr>
      <w:r w:rsidRPr="00EF2265">
        <w:rPr>
          <w:rFonts w:ascii="Times New Roman" w:hAnsi="Times New Roman"/>
          <w:sz w:val="20"/>
          <w:szCs w:val="20"/>
        </w:rPr>
        <w:t xml:space="preserve">Ing. Igor VIDA, </w:t>
      </w:r>
      <w:r w:rsidRPr="00EF2265">
        <w:rPr>
          <w:rFonts w:ascii="Times New Roman" w:hAnsi="Times New Roman"/>
          <w:sz w:val="20"/>
          <w:szCs w:val="20"/>
          <w:shd w:val="clear" w:color="auto" w:fill="FFFFFF"/>
        </w:rPr>
        <w:t>generálny riaditeľ a predseda predstavenstva Raiffeisenbank a.s.</w:t>
      </w:r>
    </w:p>
    <w:p w:rsidR="004B2190" w:rsidRPr="00EF2265" w:rsidRDefault="004B2190" w:rsidP="004B2190">
      <w:pPr>
        <w:rPr>
          <w:rFonts w:ascii="Times New Roman" w:hAnsi="Times New Roman"/>
          <w:sz w:val="20"/>
          <w:szCs w:val="20"/>
        </w:rPr>
      </w:pPr>
      <w:r w:rsidRPr="00EF2265">
        <w:rPr>
          <w:rFonts w:ascii="Times New Roman" w:hAnsi="Times New Roman"/>
          <w:sz w:val="20"/>
          <w:szCs w:val="20"/>
        </w:rPr>
        <w:t>(17. 4. 2013 – 17. 4. 2019)</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 xml:space="preserve">Ing. arch. Juraj ŠUJAN, člen predstavenstva, Slovenská komora architektov </w:t>
      </w:r>
    </w:p>
    <w:p w:rsidR="004B2190" w:rsidRPr="00EF2265" w:rsidRDefault="004B2190" w:rsidP="004B2190">
      <w:pPr>
        <w:pStyle w:val="Bezriadkovania"/>
        <w:rPr>
          <w:rFonts w:ascii="Times New Roman" w:hAnsi="Times New Roman" w:cs="Times New Roman"/>
          <w:sz w:val="20"/>
          <w:szCs w:val="20"/>
        </w:rPr>
      </w:pPr>
      <w:r w:rsidRPr="00EF2265">
        <w:rPr>
          <w:rFonts w:ascii="Times New Roman" w:hAnsi="Times New Roman" w:cs="Times New Roman"/>
          <w:sz w:val="20"/>
          <w:szCs w:val="20"/>
        </w:rPr>
        <w:t>(17. 4. 2013 – 17. 4. 2019)</w:t>
      </w:r>
    </w:p>
    <w:p w:rsidR="004B2190" w:rsidRPr="00EF2265" w:rsidRDefault="004B2190" w:rsidP="004B2190">
      <w:pPr>
        <w:rPr>
          <w:rFonts w:ascii="Times New Roman" w:hAnsi="Times New Roman"/>
          <w:sz w:val="20"/>
          <w:szCs w:val="20"/>
        </w:rPr>
      </w:pPr>
      <w:r w:rsidRPr="00EF2265">
        <w:rPr>
          <w:rFonts w:ascii="Times New Roman" w:hAnsi="Times New Roman"/>
          <w:sz w:val="20"/>
          <w:szCs w:val="20"/>
          <w:u w:val="single"/>
        </w:rPr>
        <w:t>Člen Správnej rady vymenovaný na návrh akademického senátu</w:t>
      </w:r>
      <w:r w:rsidRPr="00EF2265">
        <w:rPr>
          <w:rFonts w:ascii="Times New Roman" w:hAnsi="Times New Roman"/>
          <w:sz w:val="20"/>
          <w:szCs w:val="20"/>
        </w:rPr>
        <w:t>:</w:t>
      </w:r>
    </w:p>
    <w:p w:rsidR="004B2190" w:rsidRPr="00EF2265" w:rsidRDefault="004B2190" w:rsidP="004B2190">
      <w:pPr>
        <w:rPr>
          <w:rFonts w:ascii="Times New Roman" w:hAnsi="Times New Roman"/>
          <w:sz w:val="20"/>
          <w:szCs w:val="20"/>
        </w:rPr>
      </w:pPr>
      <w:r w:rsidRPr="00EF2265">
        <w:rPr>
          <w:rFonts w:ascii="Times New Roman" w:hAnsi="Times New Roman"/>
          <w:sz w:val="20"/>
          <w:szCs w:val="20"/>
        </w:rPr>
        <w:t>prof. Ing. Ivan HUDEC, PhD., FCHPT STU</w:t>
      </w:r>
    </w:p>
    <w:p w:rsidR="004B2190" w:rsidRPr="008870FE" w:rsidRDefault="004B2190" w:rsidP="004B2190">
      <w:pPr>
        <w:rPr>
          <w:rFonts w:ascii="Times New Roman" w:hAnsi="Times New Roman"/>
          <w:sz w:val="20"/>
          <w:szCs w:val="20"/>
        </w:rPr>
      </w:pPr>
      <w:r w:rsidRPr="00EF2265">
        <w:rPr>
          <w:rFonts w:ascii="Times New Roman" w:hAnsi="Times New Roman"/>
          <w:sz w:val="20"/>
          <w:szCs w:val="20"/>
        </w:rPr>
        <w:t>(15. 11. 2016 – 15. 11. 2020)</w:t>
      </w:r>
    </w:p>
    <w:p w:rsidR="004B2190" w:rsidRPr="00EF2265" w:rsidRDefault="004B2190" w:rsidP="004B2190">
      <w:pPr>
        <w:rPr>
          <w:rFonts w:ascii="Times New Roman" w:hAnsi="Times New Roman"/>
          <w:sz w:val="20"/>
          <w:szCs w:val="20"/>
          <w:u w:val="single"/>
        </w:rPr>
      </w:pPr>
      <w:r w:rsidRPr="00EF2265">
        <w:rPr>
          <w:rFonts w:ascii="Times New Roman" w:hAnsi="Times New Roman"/>
          <w:sz w:val="20"/>
          <w:szCs w:val="20"/>
          <w:u w:val="single"/>
        </w:rPr>
        <w:t>Člen Správnej rady vymenovaný na návrh študentskej časti akademického senátu:</w:t>
      </w:r>
    </w:p>
    <w:p w:rsidR="004B2190" w:rsidRPr="00EF2265" w:rsidRDefault="004B2190" w:rsidP="004B2190">
      <w:pPr>
        <w:rPr>
          <w:rFonts w:ascii="Times New Roman" w:hAnsi="Times New Roman"/>
          <w:sz w:val="20"/>
          <w:szCs w:val="20"/>
        </w:rPr>
      </w:pPr>
      <w:r w:rsidRPr="00EF2265">
        <w:rPr>
          <w:rFonts w:ascii="Times New Roman" w:hAnsi="Times New Roman"/>
          <w:sz w:val="20"/>
          <w:szCs w:val="20"/>
        </w:rPr>
        <w:t>Bc. Martin ONDRAŠČIN, Strojnícka fakulta STU</w:t>
      </w:r>
    </w:p>
    <w:p w:rsidR="004B2190" w:rsidRPr="00EF2265" w:rsidRDefault="004B2190" w:rsidP="004B2190">
      <w:pPr>
        <w:rPr>
          <w:rFonts w:ascii="Times New Roman" w:hAnsi="Times New Roman"/>
          <w:sz w:val="20"/>
          <w:szCs w:val="20"/>
          <w:lang w:val="en-US"/>
        </w:rPr>
      </w:pPr>
      <w:r w:rsidRPr="00EF2265">
        <w:rPr>
          <w:rFonts w:ascii="Times New Roman" w:hAnsi="Times New Roman"/>
          <w:sz w:val="20"/>
          <w:szCs w:val="20"/>
        </w:rPr>
        <w:t>(22. 11. 2017 – 22. 11. 2019)</w:t>
      </w:r>
    </w:p>
    <w:p w:rsidR="004B2190" w:rsidRPr="00EF2265" w:rsidRDefault="004B2190" w:rsidP="004B2190">
      <w:pPr>
        <w:rPr>
          <w:rFonts w:ascii="Times New Roman" w:hAnsi="Times New Roman"/>
          <w:sz w:val="20"/>
          <w:szCs w:val="20"/>
        </w:rPr>
      </w:pPr>
    </w:p>
    <w:p w:rsidR="004B2190" w:rsidRPr="00EF2265" w:rsidRDefault="004B2190" w:rsidP="00E86605">
      <w:pPr>
        <w:jc w:val="left"/>
        <w:rPr>
          <w:rFonts w:ascii="Times New Roman" w:hAnsi="Times New Roman"/>
          <w:sz w:val="20"/>
          <w:szCs w:val="20"/>
        </w:rPr>
      </w:pPr>
    </w:p>
    <w:p w:rsidR="00CE0083" w:rsidRPr="00EF2265" w:rsidRDefault="00CE0083" w:rsidP="00E86605">
      <w:pPr>
        <w:jc w:val="left"/>
        <w:rPr>
          <w:rFonts w:ascii="Times New Roman" w:hAnsi="Times New Roman"/>
          <w:sz w:val="20"/>
          <w:szCs w:val="20"/>
        </w:rPr>
      </w:pPr>
    </w:p>
    <w:p w:rsidR="00CE0083" w:rsidRPr="00EF2265" w:rsidRDefault="00CE0083" w:rsidP="00E86605">
      <w:pPr>
        <w:jc w:val="left"/>
        <w:rPr>
          <w:rFonts w:ascii="Times New Roman" w:hAnsi="Times New Roman"/>
          <w:sz w:val="20"/>
          <w:szCs w:val="20"/>
        </w:rPr>
      </w:pPr>
    </w:p>
    <w:p w:rsidR="00CE0083" w:rsidRPr="00EF2265" w:rsidRDefault="00CE0083" w:rsidP="00E86605">
      <w:pPr>
        <w:jc w:val="left"/>
        <w:rPr>
          <w:rFonts w:ascii="Times New Roman" w:hAnsi="Times New Roman"/>
          <w:sz w:val="20"/>
          <w:szCs w:val="20"/>
        </w:rPr>
      </w:pPr>
    </w:p>
    <w:p w:rsidR="00CE0083" w:rsidRPr="00EF2265" w:rsidRDefault="00CE0083" w:rsidP="00E86605">
      <w:pPr>
        <w:jc w:val="left"/>
        <w:rPr>
          <w:rFonts w:ascii="Times New Roman" w:hAnsi="Times New Roman"/>
          <w:sz w:val="20"/>
          <w:szCs w:val="20"/>
        </w:rPr>
      </w:pPr>
    </w:p>
    <w:p w:rsidR="00F4181F" w:rsidRPr="00EF2265" w:rsidRDefault="00F4181F" w:rsidP="00E86605">
      <w:pPr>
        <w:jc w:val="left"/>
        <w:rPr>
          <w:rFonts w:ascii="Times New Roman" w:hAnsi="Times New Roman"/>
          <w:sz w:val="20"/>
          <w:szCs w:val="20"/>
        </w:rPr>
      </w:pPr>
    </w:p>
    <w:p w:rsidR="00404F67" w:rsidRPr="00367B40" w:rsidRDefault="00404F67" w:rsidP="00404F67">
      <w:pPr>
        <w:pStyle w:val="Nadpis1"/>
        <w:numPr>
          <w:ilvl w:val="0"/>
          <w:numId w:val="81"/>
        </w:numPr>
        <w:tabs>
          <w:tab w:val="left" w:pos="9356"/>
        </w:tabs>
        <w:spacing w:after="120"/>
        <w:rPr>
          <w:rFonts w:ascii="Times New Roman" w:hAnsi="Times New Roman" w:cs="Times New Roman"/>
          <w:color w:val="auto"/>
        </w:rPr>
      </w:pPr>
      <w:bookmarkStart w:id="1" w:name="_Toc534722874"/>
      <w:r w:rsidRPr="00367B40">
        <w:rPr>
          <w:rFonts w:ascii="Times New Roman" w:eastAsia="MS Mincho" w:hAnsi="Times New Roman" w:cs="Times New Roman"/>
          <w:bCs w:val="0"/>
          <w:color w:val="00000A"/>
        </w:rPr>
        <w:t>Prehľad najdôležitejších udalostí</w:t>
      </w:r>
    </w:p>
    <w:p w:rsidR="00037FBB" w:rsidRPr="00EF2265" w:rsidRDefault="00037FBB" w:rsidP="00037FBB">
      <w:pPr>
        <w:jc w:val="left"/>
        <w:rPr>
          <w:rFonts w:ascii="Times New Roman" w:hAnsi="Times New Roman"/>
          <w:sz w:val="20"/>
          <w:szCs w:val="20"/>
        </w:rPr>
      </w:pPr>
      <w:r w:rsidRPr="00EF2265">
        <w:rPr>
          <w:rFonts w:ascii="Times New Roman" w:hAnsi="Times New Roman"/>
          <w:sz w:val="20"/>
          <w:szCs w:val="20"/>
        </w:rPr>
        <w:t>V roku 2018 oslávila Slovenská technická univerzita v Bratislave 81. výročie založenia. STU bola prvou technickou univerzitou na území Slovenska po vzniku v 1. ČSR, o jej vznik bojovali slovenskí študenti a akademici takmer 20 rokov.</w:t>
      </w:r>
      <w:r w:rsidRPr="00EF2265">
        <w:rPr>
          <w:rFonts w:ascii="Times New Roman" w:hAnsi="Times New Roman"/>
          <w:b/>
          <w:sz w:val="20"/>
          <w:szCs w:val="20"/>
        </w:rPr>
        <w:t xml:space="preserve"> </w:t>
      </w:r>
      <w:r w:rsidRPr="00EF2265">
        <w:rPr>
          <w:rFonts w:ascii="Times New Roman" w:hAnsi="Times New Roman"/>
          <w:sz w:val="20"/>
          <w:szCs w:val="20"/>
        </w:rPr>
        <w:t>Zriadená bola zákonom č. 170/1937 Sb. z 25. júna 1937 pod názvom „Vysoká škola technická Dr. M. R. Štefánika“. O vznik školy sa významne zaslúžil predovšetkým prvý rektor Jur Hronec.</w:t>
      </w:r>
    </w:p>
    <w:p w:rsidR="00037FBB" w:rsidRPr="00EF2265" w:rsidRDefault="00037FBB" w:rsidP="00037FBB">
      <w:pPr>
        <w:jc w:val="left"/>
        <w:rPr>
          <w:rFonts w:ascii="Times New Roman" w:hAnsi="Times New Roman"/>
          <w:sz w:val="20"/>
          <w:szCs w:val="20"/>
        </w:rPr>
      </w:pPr>
    </w:p>
    <w:p w:rsidR="00037FBB" w:rsidRPr="00EF2265" w:rsidRDefault="00037FBB" w:rsidP="00037FBB">
      <w:pPr>
        <w:tabs>
          <w:tab w:val="left" w:pos="9356"/>
        </w:tabs>
        <w:jc w:val="left"/>
        <w:rPr>
          <w:rFonts w:ascii="Times New Roman" w:hAnsi="Times New Roman"/>
          <w:sz w:val="20"/>
          <w:szCs w:val="20"/>
        </w:rPr>
      </w:pPr>
      <w:r w:rsidRPr="00EF2265">
        <w:rPr>
          <w:rFonts w:ascii="Times New Roman" w:hAnsi="Times New Roman"/>
          <w:sz w:val="20"/>
          <w:szCs w:val="20"/>
        </w:rPr>
        <w:t>V akademickom roku 2017/2018 sa uskutočňovala výučba celkovo v </w:t>
      </w:r>
      <w:r w:rsidRPr="00EF2265">
        <w:rPr>
          <w:rFonts w:ascii="Times New Roman" w:hAnsi="Times New Roman"/>
          <w:b/>
          <w:sz w:val="20"/>
          <w:szCs w:val="20"/>
        </w:rPr>
        <w:t>170 študijných programoch v dennej forme štúdia v štátnom jazyku</w:t>
      </w:r>
      <w:r w:rsidRPr="00EF2265">
        <w:rPr>
          <w:rFonts w:ascii="Times New Roman" w:hAnsi="Times New Roman"/>
          <w:sz w:val="20"/>
          <w:szCs w:val="20"/>
        </w:rPr>
        <w:t xml:space="preserve"> v štruktúre: </w:t>
      </w:r>
      <w:r w:rsidRPr="00EF2265">
        <w:rPr>
          <w:rFonts w:ascii="Times New Roman" w:hAnsi="Times New Roman"/>
          <w:b/>
          <w:sz w:val="20"/>
          <w:szCs w:val="20"/>
        </w:rPr>
        <w:t xml:space="preserve">55 </w:t>
      </w:r>
      <w:r w:rsidRPr="00EF2265">
        <w:rPr>
          <w:rFonts w:ascii="Times New Roman" w:hAnsi="Times New Roman"/>
          <w:sz w:val="20"/>
          <w:szCs w:val="20"/>
        </w:rPr>
        <w:t>ŠP na I. stupni</w:t>
      </w:r>
      <w:r w:rsidRPr="00EF2265">
        <w:rPr>
          <w:rFonts w:ascii="Times New Roman" w:hAnsi="Times New Roman"/>
          <w:b/>
          <w:sz w:val="20"/>
          <w:szCs w:val="20"/>
        </w:rPr>
        <w:t xml:space="preserve">, 57 </w:t>
      </w:r>
      <w:r w:rsidRPr="00EF2265">
        <w:rPr>
          <w:rFonts w:ascii="Times New Roman" w:hAnsi="Times New Roman"/>
          <w:sz w:val="20"/>
          <w:szCs w:val="20"/>
        </w:rPr>
        <w:t>ŠP na II. stupni,</w:t>
      </w:r>
      <w:r w:rsidRPr="00EF2265">
        <w:rPr>
          <w:rFonts w:ascii="Times New Roman" w:hAnsi="Times New Roman"/>
          <w:b/>
          <w:sz w:val="20"/>
          <w:szCs w:val="20"/>
        </w:rPr>
        <w:t xml:space="preserve"> 58 </w:t>
      </w:r>
      <w:r w:rsidRPr="00EF2265">
        <w:rPr>
          <w:rFonts w:ascii="Times New Roman" w:hAnsi="Times New Roman"/>
          <w:sz w:val="20"/>
          <w:szCs w:val="20"/>
        </w:rPr>
        <w:t xml:space="preserve">ŠP na III. stupni vysokoškolského vzdelávania. Z uvedenej štruktúry je zrejmá širšia ponuka a orientácia fakúlt na študijné programy druhého a tretieho stupňa štúdia. Väčšina študijných programov na STU bola uskutočňovaná v štátnom jazyku, aj napriek rozšírenej ponuke študijných programov v anglickom jazyku. </w:t>
      </w:r>
    </w:p>
    <w:p w:rsidR="00037FBB" w:rsidRPr="00EF2265" w:rsidRDefault="00037FBB" w:rsidP="00037FBB">
      <w:pPr>
        <w:tabs>
          <w:tab w:val="left" w:pos="9356"/>
        </w:tabs>
        <w:jc w:val="left"/>
        <w:rPr>
          <w:rFonts w:ascii="Times New Roman" w:hAnsi="Times New Roman"/>
          <w:sz w:val="20"/>
          <w:szCs w:val="20"/>
        </w:rPr>
      </w:pPr>
    </w:p>
    <w:p w:rsidR="00037FBB" w:rsidRPr="00EF2265" w:rsidRDefault="00037FBB" w:rsidP="00037FBB">
      <w:pPr>
        <w:tabs>
          <w:tab w:val="left" w:pos="9356"/>
        </w:tabs>
        <w:spacing w:after="120"/>
        <w:ind w:right="68"/>
        <w:jc w:val="left"/>
        <w:rPr>
          <w:rFonts w:ascii="Times New Roman" w:hAnsi="Times New Roman"/>
          <w:b/>
          <w:bCs/>
          <w:sz w:val="20"/>
          <w:szCs w:val="20"/>
        </w:rPr>
      </w:pPr>
      <w:r w:rsidRPr="00EF2265">
        <w:rPr>
          <w:rFonts w:ascii="Times New Roman" w:hAnsi="Times New Roman"/>
          <w:b/>
          <w:bCs/>
          <w:sz w:val="20"/>
          <w:szCs w:val="20"/>
        </w:rPr>
        <w:t>V priebehu akademického roka 2017/2018 bolo podané:</w:t>
      </w:r>
    </w:p>
    <w:p w:rsidR="00037FBB" w:rsidRPr="00EF2265" w:rsidRDefault="00037FBB" w:rsidP="00037FBB">
      <w:pPr>
        <w:pStyle w:val="Odsekzoznamu"/>
        <w:numPr>
          <w:ilvl w:val="0"/>
          <w:numId w:val="83"/>
        </w:numPr>
        <w:tabs>
          <w:tab w:val="left" w:pos="9356"/>
        </w:tabs>
        <w:spacing w:after="120" w:line="240" w:lineRule="auto"/>
        <w:rPr>
          <w:rFonts w:ascii="Times New Roman" w:hAnsi="Times New Roman"/>
          <w:sz w:val="20"/>
          <w:szCs w:val="20"/>
        </w:rPr>
      </w:pPr>
      <w:r w:rsidRPr="00EF2265">
        <w:rPr>
          <w:rFonts w:ascii="Times New Roman" w:hAnsi="Times New Roman"/>
          <w:b/>
          <w:sz w:val="20"/>
          <w:szCs w:val="20"/>
        </w:rPr>
        <w:t xml:space="preserve">11 žiadostí o akreditáciu 19 nových študijných programov, </w:t>
      </w:r>
      <w:r w:rsidRPr="00EF2265">
        <w:rPr>
          <w:rFonts w:ascii="Times New Roman" w:hAnsi="Times New Roman"/>
          <w:sz w:val="20"/>
          <w:szCs w:val="20"/>
        </w:rPr>
        <w:t>ktorým ministerka školstva, vedy, výskumu a športu Slovenskej republiky (ďalej len „ministerka“) po kladnom vyjadrení Akreditačnej komisie priznala práva, pričom 13 študijných programov bolo bakalárskych, z toho jeden profesijne orientovaný uskutočňovaný na SjF, 3 študijné programy boli inžinierske a 3 študijné programy doktorandské, z toho jeden spoločný doktorandský študijný program uskutočňovaný na FCHPT v spolupráci s Univerzitou Tomáše Bati ve Zlíně,</w:t>
      </w:r>
    </w:p>
    <w:p w:rsidR="00037FBB" w:rsidRPr="00EF2265" w:rsidRDefault="00037FBB" w:rsidP="00037FBB">
      <w:pPr>
        <w:pStyle w:val="Odsekzoznamu"/>
        <w:numPr>
          <w:ilvl w:val="0"/>
          <w:numId w:val="83"/>
        </w:numPr>
        <w:tabs>
          <w:tab w:val="left" w:pos="9356"/>
        </w:tabs>
        <w:spacing w:after="120"/>
        <w:rPr>
          <w:rFonts w:ascii="Times New Roman" w:hAnsi="Times New Roman"/>
          <w:sz w:val="20"/>
          <w:szCs w:val="20"/>
        </w:rPr>
      </w:pPr>
      <w:r w:rsidRPr="00EF2265">
        <w:rPr>
          <w:rFonts w:ascii="Times New Roman" w:hAnsi="Times New Roman"/>
          <w:b/>
          <w:sz w:val="20"/>
          <w:szCs w:val="20"/>
        </w:rPr>
        <w:t xml:space="preserve">22 žiadostí o reakreditáciu 34 študijných programov </w:t>
      </w:r>
      <w:r w:rsidRPr="00EF2265">
        <w:rPr>
          <w:rFonts w:ascii="Times New Roman" w:hAnsi="Times New Roman"/>
          <w:sz w:val="20"/>
          <w:szCs w:val="20"/>
        </w:rPr>
        <w:t xml:space="preserve">(32 inžinierskych a 2 bakalárskych), ktorým boli priznané práva s časovým obmedzením na štandardnú dĺžku štúdia z dôvodu, že išlo o nové študijné programy, </w:t>
      </w:r>
    </w:p>
    <w:p w:rsidR="00037FBB" w:rsidRPr="00EF2265" w:rsidRDefault="00037FBB" w:rsidP="00037FBB">
      <w:pPr>
        <w:pStyle w:val="Odsekzoznamu"/>
        <w:numPr>
          <w:ilvl w:val="0"/>
          <w:numId w:val="83"/>
        </w:numPr>
        <w:tabs>
          <w:tab w:val="left" w:pos="9356"/>
        </w:tabs>
        <w:spacing w:after="120"/>
        <w:rPr>
          <w:rFonts w:ascii="Times New Roman" w:hAnsi="Times New Roman"/>
          <w:sz w:val="20"/>
          <w:szCs w:val="20"/>
        </w:rPr>
      </w:pPr>
      <w:r w:rsidRPr="00EF2265">
        <w:rPr>
          <w:rFonts w:ascii="Times New Roman" w:hAnsi="Times New Roman"/>
          <w:b/>
          <w:sz w:val="20"/>
          <w:szCs w:val="20"/>
        </w:rPr>
        <w:t>37 žiadostí o zmenu v poskytovaní 62 študijných programov</w:t>
      </w:r>
      <w:r w:rsidRPr="00EF2265">
        <w:rPr>
          <w:rFonts w:ascii="Times New Roman" w:hAnsi="Times New Roman"/>
          <w:sz w:val="20"/>
          <w:szCs w:val="20"/>
        </w:rPr>
        <w:t>, ktoré sa týkali najmä zmien v garantovaní, v personálnom zabezpečení, v odporúčaných študijných plánoch, resp. pridanie výučbových stredísk, v ktorých sa bude zabezpečovať vybraná časť predmetov študijných programov,</w:t>
      </w:r>
    </w:p>
    <w:p w:rsidR="00037FBB" w:rsidRPr="00EF2265" w:rsidRDefault="00037FBB" w:rsidP="00037FBB">
      <w:pPr>
        <w:pStyle w:val="Odsekzoznamu"/>
        <w:numPr>
          <w:ilvl w:val="0"/>
          <w:numId w:val="83"/>
        </w:numPr>
        <w:tabs>
          <w:tab w:val="left" w:pos="9356"/>
        </w:tabs>
        <w:spacing w:after="120"/>
        <w:rPr>
          <w:rFonts w:ascii="Times New Roman" w:hAnsi="Times New Roman"/>
          <w:sz w:val="20"/>
          <w:szCs w:val="20"/>
        </w:rPr>
      </w:pPr>
      <w:r w:rsidRPr="00EF2265">
        <w:rPr>
          <w:rFonts w:ascii="Times New Roman" w:hAnsi="Times New Roman"/>
          <w:sz w:val="20"/>
          <w:szCs w:val="20"/>
        </w:rPr>
        <w:t xml:space="preserve">podklady k iniciácii </w:t>
      </w:r>
      <w:r w:rsidRPr="00EF2265">
        <w:rPr>
          <w:rFonts w:ascii="Times New Roman" w:hAnsi="Times New Roman"/>
          <w:b/>
          <w:sz w:val="20"/>
          <w:szCs w:val="20"/>
        </w:rPr>
        <w:t>4</w:t>
      </w:r>
      <w:r w:rsidRPr="00EF2265">
        <w:rPr>
          <w:rFonts w:ascii="Times New Roman" w:hAnsi="Times New Roman"/>
          <w:sz w:val="20"/>
          <w:szCs w:val="20"/>
        </w:rPr>
        <w:t xml:space="preserve"> doktorandských študijných programov,</w:t>
      </w:r>
    </w:p>
    <w:p w:rsidR="00037FBB" w:rsidRPr="00EF2265" w:rsidRDefault="00037FBB" w:rsidP="00037FBB">
      <w:pPr>
        <w:pStyle w:val="Odsekzoznamu"/>
        <w:numPr>
          <w:ilvl w:val="0"/>
          <w:numId w:val="83"/>
        </w:numPr>
        <w:tabs>
          <w:tab w:val="left" w:pos="9356"/>
        </w:tabs>
        <w:spacing w:after="120"/>
        <w:rPr>
          <w:rFonts w:ascii="Times New Roman" w:hAnsi="Times New Roman"/>
          <w:sz w:val="20"/>
          <w:szCs w:val="20"/>
        </w:rPr>
      </w:pPr>
      <w:r w:rsidRPr="00EF2265">
        <w:rPr>
          <w:rFonts w:ascii="Times New Roman" w:hAnsi="Times New Roman"/>
          <w:b/>
          <w:sz w:val="20"/>
          <w:szCs w:val="20"/>
        </w:rPr>
        <w:t xml:space="preserve">5 správ </w:t>
      </w:r>
      <w:r w:rsidRPr="00EF2265">
        <w:rPr>
          <w:rFonts w:ascii="Times New Roman" w:hAnsi="Times New Roman"/>
          <w:sz w:val="20"/>
          <w:szCs w:val="20"/>
        </w:rPr>
        <w:t xml:space="preserve">o výsledku prijatých opatrení na odstránenie nedostatkov </w:t>
      </w:r>
      <w:r w:rsidRPr="00EF2265">
        <w:rPr>
          <w:rFonts w:ascii="Times New Roman" w:hAnsi="Times New Roman"/>
          <w:b/>
          <w:sz w:val="20"/>
          <w:szCs w:val="20"/>
        </w:rPr>
        <w:t xml:space="preserve">13 </w:t>
      </w:r>
      <w:r w:rsidRPr="00EF2265">
        <w:rPr>
          <w:rFonts w:ascii="Times New Roman" w:hAnsi="Times New Roman"/>
          <w:sz w:val="20"/>
          <w:szCs w:val="20"/>
        </w:rPr>
        <w:t xml:space="preserve">študijných programov. </w:t>
      </w:r>
    </w:p>
    <w:p w:rsidR="00037FBB" w:rsidRPr="00EF2265" w:rsidRDefault="00037FBB" w:rsidP="00037FBB">
      <w:pPr>
        <w:tabs>
          <w:tab w:val="left" w:pos="9356"/>
        </w:tabs>
        <w:spacing w:after="120"/>
        <w:ind w:right="68"/>
        <w:jc w:val="left"/>
        <w:rPr>
          <w:rFonts w:ascii="Times New Roman" w:hAnsi="Times New Roman"/>
          <w:sz w:val="20"/>
          <w:szCs w:val="20"/>
        </w:rPr>
      </w:pPr>
    </w:p>
    <w:p w:rsidR="00037FBB" w:rsidRPr="00EF2265" w:rsidRDefault="00037FBB" w:rsidP="00037FBB">
      <w:pPr>
        <w:tabs>
          <w:tab w:val="left" w:pos="9356"/>
        </w:tabs>
        <w:spacing w:after="120"/>
        <w:ind w:right="68"/>
        <w:jc w:val="left"/>
        <w:rPr>
          <w:rFonts w:ascii="Times New Roman" w:hAnsi="Times New Roman"/>
          <w:sz w:val="20"/>
          <w:szCs w:val="20"/>
        </w:rPr>
      </w:pPr>
      <w:r w:rsidRPr="00EF2265">
        <w:rPr>
          <w:rFonts w:ascii="Times New Roman" w:hAnsi="Times New Roman"/>
          <w:sz w:val="20"/>
          <w:szCs w:val="20"/>
        </w:rPr>
        <w:t xml:space="preserve">STU v akademickom roku 2017/2018 oznámila MŠVVaŠ SR ku dňu 31. 3. 2018 </w:t>
      </w:r>
      <w:r w:rsidRPr="00EF2265">
        <w:rPr>
          <w:rFonts w:ascii="Times New Roman" w:hAnsi="Times New Roman"/>
          <w:b/>
          <w:sz w:val="20"/>
          <w:szCs w:val="20"/>
        </w:rPr>
        <w:t>zrušenie 17 dobiehajúcich doktorandských študijných programov v externej forme štúdia</w:t>
      </w:r>
      <w:r w:rsidRPr="00EF2265">
        <w:rPr>
          <w:rFonts w:ascii="Times New Roman" w:hAnsi="Times New Roman"/>
          <w:sz w:val="20"/>
          <w:szCs w:val="20"/>
        </w:rPr>
        <w:t xml:space="preserve">, v ktorých prestala poskytovať vysokoškolské vzdelávanie a </w:t>
      </w:r>
      <w:r w:rsidRPr="00EF2265">
        <w:rPr>
          <w:rFonts w:ascii="Times New Roman" w:hAnsi="Times New Roman"/>
          <w:b/>
          <w:sz w:val="20"/>
          <w:szCs w:val="20"/>
        </w:rPr>
        <w:t>skončenie platnosti</w:t>
      </w:r>
      <w:r w:rsidRPr="00EF2265">
        <w:rPr>
          <w:rFonts w:ascii="Times New Roman" w:hAnsi="Times New Roman"/>
          <w:sz w:val="20"/>
          <w:szCs w:val="20"/>
        </w:rPr>
        <w:t xml:space="preserve"> </w:t>
      </w:r>
      <w:r w:rsidRPr="00EF2265">
        <w:rPr>
          <w:rFonts w:ascii="Times New Roman" w:hAnsi="Times New Roman"/>
          <w:b/>
          <w:sz w:val="20"/>
          <w:szCs w:val="20"/>
        </w:rPr>
        <w:t>78 študijných programov</w:t>
      </w:r>
      <w:r w:rsidRPr="00EF2265">
        <w:rPr>
          <w:rFonts w:ascii="Times New Roman" w:hAnsi="Times New Roman"/>
          <w:sz w:val="20"/>
          <w:szCs w:val="20"/>
        </w:rPr>
        <w:t>, ktorým boli v rámci komplexnej akreditácie činností STU práva odňaté.</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STU mala na konci akademického roka 2017/2018 priznané práva celkovo pre </w:t>
      </w:r>
      <w:r w:rsidRPr="00EF2265">
        <w:rPr>
          <w:rFonts w:ascii="Times New Roman" w:hAnsi="Times New Roman"/>
          <w:b/>
          <w:sz w:val="20"/>
          <w:szCs w:val="20"/>
        </w:rPr>
        <w:t xml:space="preserve">241 </w:t>
      </w:r>
      <w:r w:rsidRPr="00EF2265">
        <w:rPr>
          <w:rFonts w:ascii="Times New Roman" w:hAnsi="Times New Roman"/>
          <w:sz w:val="20"/>
          <w:szCs w:val="20"/>
        </w:rPr>
        <w:t>študijných programov v štátnom jazyku uskutočňovania (</w:t>
      </w:r>
      <w:r w:rsidRPr="00EF2265">
        <w:rPr>
          <w:rFonts w:ascii="Times New Roman" w:hAnsi="Times New Roman"/>
          <w:b/>
          <w:sz w:val="20"/>
          <w:szCs w:val="20"/>
        </w:rPr>
        <w:t xml:space="preserve">slovenskom, resp. v kombinácii slovenského a anglického jazyka) </w:t>
      </w:r>
      <w:r w:rsidRPr="00EF2265">
        <w:rPr>
          <w:rFonts w:ascii="Times New Roman" w:hAnsi="Times New Roman"/>
          <w:sz w:val="20"/>
          <w:szCs w:val="20"/>
        </w:rPr>
        <w:t xml:space="preserve">a </w:t>
      </w:r>
      <w:r w:rsidRPr="00EF2265">
        <w:rPr>
          <w:rFonts w:ascii="Times New Roman" w:hAnsi="Times New Roman"/>
          <w:b/>
          <w:sz w:val="20"/>
          <w:szCs w:val="20"/>
        </w:rPr>
        <w:t xml:space="preserve">161 </w:t>
      </w:r>
      <w:r w:rsidRPr="00EF2265">
        <w:rPr>
          <w:rFonts w:ascii="Times New Roman" w:hAnsi="Times New Roman"/>
          <w:sz w:val="20"/>
          <w:szCs w:val="20"/>
        </w:rPr>
        <w:t>študijných programov v jazyku uskutočňovania</w:t>
      </w:r>
      <w:r w:rsidRPr="00EF2265">
        <w:rPr>
          <w:rFonts w:ascii="Times New Roman" w:hAnsi="Times New Roman"/>
          <w:b/>
          <w:sz w:val="20"/>
          <w:szCs w:val="20"/>
        </w:rPr>
        <w:t xml:space="preserve"> anglickom </w:t>
      </w:r>
      <w:r w:rsidRPr="00EF2265">
        <w:rPr>
          <w:rFonts w:ascii="Times New Roman" w:hAnsi="Times New Roman"/>
          <w:sz w:val="20"/>
          <w:szCs w:val="20"/>
        </w:rPr>
        <w:t>vo všetkých troch stupňoch štúdia v dennej aj v externej forme štúdia v </w:t>
      </w:r>
      <w:r w:rsidRPr="00EF2265">
        <w:rPr>
          <w:rFonts w:ascii="Times New Roman" w:hAnsi="Times New Roman"/>
          <w:b/>
          <w:sz w:val="20"/>
          <w:szCs w:val="20"/>
        </w:rPr>
        <w:t>60 študijných odboroch</w:t>
      </w:r>
      <w:r w:rsidRPr="00EF2265">
        <w:rPr>
          <w:rFonts w:ascii="Times New Roman" w:hAnsi="Times New Roman"/>
          <w:sz w:val="20"/>
          <w:szCs w:val="20"/>
        </w:rPr>
        <w:t xml:space="preserve">. Na prvom a druhom stupni štúdia mala priznané práva len pre dennú formu štúdia, na treťom stupni štúdia pre dennú aj externú formu štúdia. </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Z celkového počtu priznaných práv uskutočňovať študijné programy v štátnom jazyku mala STU </w:t>
      </w:r>
      <w:r w:rsidRPr="00EF2265">
        <w:rPr>
          <w:rFonts w:ascii="Times New Roman" w:hAnsi="Times New Roman"/>
          <w:b/>
          <w:sz w:val="20"/>
          <w:szCs w:val="20"/>
        </w:rPr>
        <w:t xml:space="preserve">97 nových </w:t>
      </w:r>
      <w:r w:rsidRPr="00EF2265">
        <w:rPr>
          <w:rFonts w:ascii="Times New Roman" w:hAnsi="Times New Roman"/>
          <w:sz w:val="20"/>
          <w:szCs w:val="20"/>
        </w:rPr>
        <w:t>študijných programov s časovým obmedzením na štandardnú dĺžku štúdia, ktoré boli akreditované v rámci komplexnej akreditácie činností STU alebo po jej začatí</w:t>
      </w:r>
      <w:r w:rsidRPr="00EF2265">
        <w:rPr>
          <w:rFonts w:ascii="Times New Roman" w:hAnsi="Times New Roman"/>
          <w:b/>
          <w:sz w:val="20"/>
          <w:szCs w:val="20"/>
        </w:rPr>
        <w:t xml:space="preserve"> a 144 existujúcich </w:t>
      </w:r>
      <w:r w:rsidRPr="00EF2265">
        <w:rPr>
          <w:rFonts w:ascii="Times New Roman" w:hAnsi="Times New Roman"/>
          <w:sz w:val="20"/>
          <w:szCs w:val="20"/>
        </w:rPr>
        <w:t xml:space="preserve">študijných programov. </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STU v posudzovanom akademickom roku uskutočňovala štúdium aj v </w:t>
      </w:r>
      <w:r w:rsidRPr="00EF2265">
        <w:rPr>
          <w:rFonts w:ascii="Times New Roman" w:hAnsi="Times New Roman"/>
          <w:b/>
          <w:sz w:val="20"/>
          <w:szCs w:val="20"/>
        </w:rPr>
        <w:t>26 dobiehajúcich doktorandských študijných programoch v externej forme štúdia</w:t>
      </w:r>
      <w:r w:rsidRPr="00EF2265">
        <w:rPr>
          <w:rFonts w:ascii="Times New Roman" w:hAnsi="Times New Roman"/>
          <w:sz w:val="20"/>
          <w:szCs w:val="20"/>
        </w:rPr>
        <w:t>, ktoré boli akreditované podľa predpisov platných do 31.12.2012 a ktorým boli práva pozastavené 1. 9. 2016. STU je povinná dobiehajúce študijné programy zrušiť najneskôr do 31. 8. 2021 okrem prípadov, ak zodpovedajúce právo nebude odňaté skôr.</w:t>
      </w:r>
    </w:p>
    <w:p w:rsidR="00037FBB" w:rsidRPr="00EF2265" w:rsidRDefault="00037FBB" w:rsidP="00037FBB">
      <w:pPr>
        <w:tabs>
          <w:tab w:val="left" w:pos="9498"/>
        </w:tabs>
        <w:spacing w:after="120"/>
        <w:jc w:val="left"/>
        <w:rPr>
          <w:rFonts w:ascii="Times New Roman" w:hAnsi="Times New Roman"/>
          <w:sz w:val="20"/>
          <w:szCs w:val="20"/>
        </w:rPr>
      </w:pPr>
      <w:r w:rsidRPr="00EF2265">
        <w:rPr>
          <w:rFonts w:ascii="Times New Roman" w:hAnsi="Times New Roman"/>
          <w:sz w:val="20"/>
          <w:szCs w:val="20"/>
        </w:rPr>
        <w:t xml:space="preserve">STU mala v akademickom roku 2017/2018 celkovo </w:t>
      </w:r>
      <w:r w:rsidRPr="00EF2265">
        <w:rPr>
          <w:rFonts w:ascii="Times New Roman" w:hAnsi="Times New Roman"/>
          <w:b/>
          <w:sz w:val="20"/>
          <w:szCs w:val="20"/>
        </w:rPr>
        <w:t>11 748 študentov</w:t>
      </w:r>
      <w:r w:rsidRPr="00EF2265">
        <w:rPr>
          <w:rFonts w:ascii="Times New Roman" w:hAnsi="Times New Roman"/>
          <w:sz w:val="20"/>
          <w:szCs w:val="20"/>
        </w:rPr>
        <w:t xml:space="preserve">; </w:t>
      </w:r>
      <w:r w:rsidRPr="00EF2265">
        <w:rPr>
          <w:rFonts w:ascii="Times New Roman" w:hAnsi="Times New Roman"/>
          <w:b/>
          <w:sz w:val="20"/>
          <w:szCs w:val="20"/>
        </w:rPr>
        <w:t xml:space="preserve">7 136 na prvom stupni, 3 815 na druhom stupni a 797 na treťom stupni štúdia, z toho 576 v dennej forme a 221 v externej forme </w:t>
      </w:r>
      <w:r w:rsidRPr="00EF2265">
        <w:rPr>
          <w:rFonts w:ascii="Times New Roman" w:hAnsi="Times New Roman"/>
          <w:sz w:val="20"/>
          <w:szCs w:val="20"/>
        </w:rPr>
        <w:t xml:space="preserve">(stav k 31. 10. 2017). </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b/>
          <w:sz w:val="20"/>
          <w:szCs w:val="20"/>
        </w:rPr>
        <w:t>V dennej forme</w:t>
      </w:r>
      <w:r w:rsidRPr="00EF2265">
        <w:rPr>
          <w:rFonts w:ascii="Times New Roman" w:hAnsi="Times New Roman"/>
          <w:sz w:val="20"/>
          <w:szCs w:val="20"/>
        </w:rPr>
        <w:t xml:space="preserve"> sa na všetkých troch stupňoch štúdia zaznamenal v akademickom roku 2017/2018 medziročný pokles študentov </w:t>
      </w:r>
      <w:r w:rsidRPr="00EF2265">
        <w:rPr>
          <w:rFonts w:ascii="Times New Roman" w:hAnsi="Times New Roman"/>
          <w:b/>
          <w:sz w:val="20"/>
          <w:szCs w:val="20"/>
        </w:rPr>
        <w:t xml:space="preserve">11 % na prvom stupni a po 9 % na druhom a treťom stupni </w:t>
      </w:r>
      <w:r w:rsidRPr="00EF2265">
        <w:rPr>
          <w:rFonts w:ascii="Times New Roman" w:hAnsi="Times New Roman"/>
          <w:sz w:val="20"/>
          <w:szCs w:val="20"/>
        </w:rPr>
        <w:t>štúdia.</w:t>
      </w:r>
      <w:r w:rsidRPr="00EF2265">
        <w:rPr>
          <w:rFonts w:ascii="Times New Roman" w:hAnsi="Times New Roman"/>
          <w:b/>
          <w:sz w:val="20"/>
          <w:szCs w:val="20"/>
        </w:rPr>
        <w:t xml:space="preserve"> </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lastRenderedPageBreak/>
        <w:t xml:space="preserve">Celkove je medziročný pokles študentov v akademickom roku 2017/2018 v dennej forme </w:t>
      </w:r>
      <w:r w:rsidRPr="00EF2265">
        <w:rPr>
          <w:rFonts w:ascii="Times New Roman" w:hAnsi="Times New Roman"/>
          <w:b/>
          <w:sz w:val="20"/>
          <w:szCs w:val="20"/>
        </w:rPr>
        <w:t>10 %</w:t>
      </w:r>
      <w:r w:rsidRPr="00EF2265">
        <w:rPr>
          <w:rFonts w:ascii="Times New Roman" w:hAnsi="Times New Roman"/>
          <w:sz w:val="20"/>
          <w:szCs w:val="20"/>
        </w:rPr>
        <w:t xml:space="preserve">. Je to dôsledok celkového poklesu počtu študentov v súvislosti s klesajúcim demografickým vývojom v Slovenskej republike a tiež dlhodobo narastajúci záujem maturantov o štúdium v zahraničí, a to najmä v Českej republike. </w:t>
      </w:r>
    </w:p>
    <w:p w:rsidR="00037FBB" w:rsidRPr="00EF2265" w:rsidRDefault="00037FBB" w:rsidP="00037FBB">
      <w:pPr>
        <w:tabs>
          <w:tab w:val="left" w:pos="9356"/>
        </w:tabs>
        <w:jc w:val="left"/>
        <w:rPr>
          <w:rFonts w:ascii="Times New Roman" w:hAnsi="Times New Roman"/>
          <w:sz w:val="20"/>
          <w:szCs w:val="20"/>
        </w:rPr>
      </w:pPr>
      <w:r w:rsidRPr="00EF2265">
        <w:rPr>
          <w:rFonts w:ascii="Times New Roman" w:hAnsi="Times New Roman"/>
          <w:b/>
          <w:bCs/>
          <w:sz w:val="20"/>
          <w:szCs w:val="20"/>
        </w:rPr>
        <w:t>V  externej forme</w:t>
      </w:r>
      <w:r w:rsidRPr="00EF2265">
        <w:rPr>
          <w:rFonts w:ascii="Times New Roman" w:hAnsi="Times New Roman"/>
          <w:sz w:val="20"/>
          <w:szCs w:val="20"/>
        </w:rPr>
        <w:t xml:space="preserve"> štúdia je zrejmý výrazný pokles počtu študentov na všetkých troch stupňoch štúdia. Celkovo sa znížil počet študentov v externej forme štúdia za sledovaných 7 rokov o 71,2 %, pričom od akademického roku 2015/2016 sa na STU uskutočňuje externá forma štúdia len na treťom stupni štúdia.</w:t>
      </w:r>
    </w:p>
    <w:p w:rsidR="00037FBB" w:rsidRPr="00EF2265" w:rsidRDefault="00037FBB" w:rsidP="00037FBB">
      <w:pPr>
        <w:tabs>
          <w:tab w:val="left" w:pos="9356"/>
        </w:tabs>
        <w:spacing w:after="120"/>
        <w:jc w:val="left"/>
        <w:rPr>
          <w:rFonts w:ascii="Times New Roman" w:hAnsi="Times New Roman"/>
          <w:sz w:val="20"/>
          <w:szCs w:val="20"/>
        </w:rPr>
      </w:pP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br/>
      </w:r>
      <w:r w:rsidRPr="00EF2265">
        <w:rPr>
          <w:rFonts w:ascii="Times New Roman" w:hAnsi="Times New Roman"/>
          <w:b/>
          <w:bCs/>
          <w:sz w:val="20"/>
          <w:szCs w:val="20"/>
        </w:rPr>
        <w:t>Počty zapísaných študentov</w:t>
      </w:r>
      <w:r w:rsidRPr="00EF2265">
        <w:rPr>
          <w:rFonts w:ascii="Times New Roman" w:hAnsi="Times New Roman"/>
          <w:sz w:val="20"/>
          <w:szCs w:val="20"/>
        </w:rPr>
        <w:br/>
        <w:t xml:space="preserve">Celkový </w:t>
      </w:r>
      <w:r w:rsidRPr="00EF2265">
        <w:rPr>
          <w:rFonts w:ascii="Times New Roman" w:hAnsi="Times New Roman"/>
          <w:b/>
          <w:sz w:val="20"/>
          <w:szCs w:val="20"/>
        </w:rPr>
        <w:t>počet zapísaných študentov na prvom stupni</w:t>
      </w:r>
      <w:r w:rsidRPr="00EF2265">
        <w:rPr>
          <w:rFonts w:ascii="Times New Roman" w:hAnsi="Times New Roman"/>
          <w:sz w:val="20"/>
          <w:szCs w:val="20"/>
        </w:rPr>
        <w:t xml:space="preserve"> </w:t>
      </w:r>
      <w:r w:rsidRPr="00EF2265">
        <w:rPr>
          <w:rFonts w:ascii="Times New Roman" w:hAnsi="Times New Roman"/>
          <w:b/>
          <w:sz w:val="20"/>
          <w:szCs w:val="20"/>
        </w:rPr>
        <w:t>štúdia</w:t>
      </w:r>
      <w:r w:rsidRPr="00EF2265">
        <w:rPr>
          <w:rFonts w:ascii="Times New Roman" w:hAnsi="Times New Roman"/>
          <w:sz w:val="20"/>
          <w:szCs w:val="20"/>
        </w:rPr>
        <w:t xml:space="preserve"> v dennej forme v akademickom roku 2017/2018 bol </w:t>
      </w:r>
      <w:r w:rsidRPr="00EF2265">
        <w:rPr>
          <w:rFonts w:ascii="Times New Roman" w:hAnsi="Times New Roman"/>
          <w:b/>
          <w:sz w:val="20"/>
          <w:szCs w:val="20"/>
        </w:rPr>
        <w:t>7 136 študentov</w:t>
      </w:r>
      <w:r w:rsidRPr="00EF2265">
        <w:rPr>
          <w:rFonts w:ascii="Times New Roman" w:hAnsi="Times New Roman"/>
          <w:sz w:val="20"/>
          <w:szCs w:val="20"/>
        </w:rPr>
        <w:t xml:space="preserve">.  Je zrejmé, že prvý rok štúdia je pre študentov kritický z hľadiska ich úspešného zotrvania v štúdiu, pretože </w:t>
      </w:r>
      <w:r w:rsidRPr="00EF2265">
        <w:rPr>
          <w:rFonts w:ascii="Times New Roman" w:hAnsi="Times New Roman"/>
          <w:b/>
          <w:sz w:val="20"/>
          <w:szCs w:val="20"/>
        </w:rPr>
        <w:t>48 %</w:t>
      </w:r>
      <w:r w:rsidRPr="00EF2265">
        <w:rPr>
          <w:rFonts w:ascii="Times New Roman" w:hAnsi="Times New Roman"/>
          <w:sz w:val="20"/>
          <w:szCs w:val="20"/>
        </w:rPr>
        <w:t xml:space="preserve"> študentov v priemere za univerzitu nezvládlo prvý rok štúdia v akademickom roku 2017/2018. </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Úbytok študentov po druhom roku štúdia je podstatne nižší – v priemere </w:t>
      </w:r>
      <w:r w:rsidRPr="00EF2265">
        <w:rPr>
          <w:rFonts w:ascii="Times New Roman" w:hAnsi="Times New Roman"/>
          <w:b/>
          <w:sz w:val="20"/>
          <w:szCs w:val="20"/>
        </w:rPr>
        <w:t>22 %</w:t>
      </w:r>
      <w:r w:rsidRPr="00EF2265">
        <w:rPr>
          <w:rFonts w:ascii="Times New Roman" w:hAnsi="Times New Roman"/>
          <w:sz w:val="20"/>
          <w:szCs w:val="20"/>
        </w:rPr>
        <w:t xml:space="preserve">. Častou príčinou zanechania alebo vylúčenia zo štúdia vo vyššom roku štúdia je práve neúspešné absolvovanie predmetov prenesených z prvého roku štúdia (opakovane zapísaných predmetov), čo len podčiarkuje kritickosť prvého roku štúdia na technickej univerzite. </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porovnaní s akademickým rokom 2016/2017 úbytok študentov zaznamenal medziročný </w:t>
      </w:r>
      <w:r w:rsidRPr="00EF2265">
        <w:rPr>
          <w:rFonts w:ascii="Times New Roman" w:hAnsi="Times New Roman"/>
          <w:b/>
          <w:sz w:val="20"/>
          <w:szCs w:val="20"/>
        </w:rPr>
        <w:t>nárast</w:t>
      </w:r>
      <w:r w:rsidRPr="00EF2265">
        <w:rPr>
          <w:rFonts w:ascii="Times New Roman" w:hAnsi="Times New Roman"/>
          <w:sz w:val="20"/>
          <w:szCs w:val="20"/>
        </w:rPr>
        <w:t xml:space="preserve"> </w:t>
      </w:r>
      <w:r w:rsidRPr="00EF2265">
        <w:rPr>
          <w:rFonts w:ascii="Times New Roman" w:hAnsi="Times New Roman"/>
          <w:b/>
          <w:sz w:val="20"/>
          <w:szCs w:val="20"/>
        </w:rPr>
        <w:t>o 3 %</w:t>
      </w:r>
      <w:r w:rsidRPr="00EF2265">
        <w:rPr>
          <w:rFonts w:ascii="Times New Roman" w:hAnsi="Times New Roman"/>
          <w:sz w:val="20"/>
          <w:szCs w:val="20"/>
        </w:rPr>
        <w:t xml:space="preserve"> po prvom roku štúdia a zároveň </w:t>
      </w:r>
      <w:r w:rsidRPr="00EF2265">
        <w:rPr>
          <w:rFonts w:ascii="Times New Roman" w:hAnsi="Times New Roman"/>
          <w:b/>
          <w:sz w:val="20"/>
          <w:szCs w:val="20"/>
        </w:rPr>
        <w:t>pokles o 3 %</w:t>
      </w:r>
      <w:r w:rsidRPr="00EF2265">
        <w:rPr>
          <w:rFonts w:ascii="Times New Roman" w:hAnsi="Times New Roman"/>
          <w:sz w:val="20"/>
          <w:szCs w:val="20"/>
        </w:rPr>
        <w:t xml:space="preserve"> po druhom roku štúdia.</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Od akademického roku 2015/2016 sa na prvom stupni uskutočňuje len štúdium v dennej forme. Poslední študenti prijatí na externú formu štúdia skončili štúdium v akademickom roku 2014/2015. </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Celkový </w:t>
      </w:r>
      <w:r w:rsidRPr="00EF2265">
        <w:rPr>
          <w:rFonts w:ascii="Times New Roman" w:hAnsi="Times New Roman"/>
          <w:b/>
          <w:sz w:val="20"/>
          <w:szCs w:val="20"/>
        </w:rPr>
        <w:t>počet zapísaných študentov na druhom stupni štúdia</w:t>
      </w:r>
      <w:r w:rsidRPr="00EF2265">
        <w:rPr>
          <w:rFonts w:ascii="Times New Roman" w:hAnsi="Times New Roman"/>
          <w:sz w:val="20"/>
          <w:szCs w:val="20"/>
        </w:rPr>
        <w:t xml:space="preserve"> v dennej forme v akademickom roku 2017/2018 bol </w:t>
      </w:r>
      <w:r w:rsidRPr="00EF2265">
        <w:rPr>
          <w:rFonts w:ascii="Times New Roman" w:hAnsi="Times New Roman"/>
          <w:b/>
          <w:sz w:val="20"/>
          <w:szCs w:val="20"/>
        </w:rPr>
        <w:t>3 815 študentov, čo predstavuje pokles oproti akad. roku 2015/2016 o 9 %</w:t>
      </w:r>
      <w:r w:rsidRPr="00EF2265">
        <w:rPr>
          <w:rFonts w:ascii="Times New Roman" w:hAnsi="Times New Roman"/>
          <w:sz w:val="20"/>
          <w:szCs w:val="20"/>
        </w:rPr>
        <w:t xml:space="preserve">. úbytok študentov nie je až taký výrazný ako na prvom stupni štúdia, po prvom aj po druhom roku štúdia predstavuje v priemere </w:t>
      </w:r>
      <w:r w:rsidRPr="00EF2265">
        <w:rPr>
          <w:rFonts w:ascii="Times New Roman" w:hAnsi="Times New Roman"/>
          <w:b/>
          <w:sz w:val="20"/>
          <w:szCs w:val="20"/>
        </w:rPr>
        <w:t>7 %</w:t>
      </w:r>
      <w:r w:rsidRPr="00EF2265">
        <w:rPr>
          <w:rFonts w:ascii="Times New Roman" w:hAnsi="Times New Roman"/>
          <w:sz w:val="20"/>
          <w:szCs w:val="20"/>
        </w:rPr>
        <w:t>.</w:t>
      </w:r>
    </w:p>
    <w:p w:rsidR="00037FBB" w:rsidRPr="00EF2265" w:rsidRDefault="00037FBB" w:rsidP="00037FBB">
      <w:pPr>
        <w:tabs>
          <w:tab w:val="left" w:pos="9356"/>
        </w:tabs>
        <w:jc w:val="left"/>
        <w:rPr>
          <w:rFonts w:ascii="Times New Roman" w:hAnsi="Times New Roman"/>
          <w:sz w:val="20"/>
          <w:szCs w:val="20"/>
        </w:rPr>
      </w:pPr>
      <w:r w:rsidRPr="00EF2265">
        <w:rPr>
          <w:rFonts w:ascii="Times New Roman" w:hAnsi="Times New Roman"/>
          <w:sz w:val="20"/>
          <w:szCs w:val="20"/>
        </w:rPr>
        <w:t xml:space="preserve">V porovnaní s akademickým rokom 2016/2017 úbytok študentov zaznamenal medziročný </w:t>
      </w:r>
      <w:r w:rsidRPr="00EF2265">
        <w:rPr>
          <w:rFonts w:ascii="Times New Roman" w:hAnsi="Times New Roman"/>
          <w:b/>
          <w:sz w:val="20"/>
          <w:szCs w:val="20"/>
        </w:rPr>
        <w:t>pokles o 1 %</w:t>
      </w:r>
      <w:r w:rsidRPr="00EF2265">
        <w:rPr>
          <w:rFonts w:ascii="Times New Roman" w:hAnsi="Times New Roman"/>
          <w:sz w:val="20"/>
          <w:szCs w:val="20"/>
        </w:rPr>
        <w:t xml:space="preserve"> po prvom roku štúdia </w:t>
      </w:r>
      <w:r w:rsidRPr="00EF2265">
        <w:rPr>
          <w:rFonts w:ascii="Times New Roman" w:hAnsi="Times New Roman"/>
          <w:b/>
          <w:sz w:val="20"/>
          <w:szCs w:val="20"/>
        </w:rPr>
        <w:t>a nárast o 2 %</w:t>
      </w:r>
      <w:r w:rsidRPr="00EF2265">
        <w:rPr>
          <w:rFonts w:ascii="Times New Roman" w:hAnsi="Times New Roman"/>
          <w:sz w:val="20"/>
          <w:szCs w:val="20"/>
        </w:rPr>
        <w:t xml:space="preserve"> po druhom roku štúdia.</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t>Od akademického roku 2012/2013 sa na druhom stupni uskutočňuje len štúdium v dennej forme. Poslední študenti prijatí na externú formu štúdia skončili štúdium v akademickom roku 2011/2012.</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Celkový </w:t>
      </w:r>
      <w:r w:rsidRPr="00EF2265">
        <w:rPr>
          <w:rFonts w:ascii="Times New Roman" w:hAnsi="Times New Roman"/>
          <w:b/>
          <w:sz w:val="20"/>
          <w:szCs w:val="20"/>
        </w:rPr>
        <w:t>počet zapísaných študentov na treťom stupni štúdia</w:t>
      </w:r>
      <w:r w:rsidRPr="00EF2265">
        <w:rPr>
          <w:rFonts w:ascii="Times New Roman" w:hAnsi="Times New Roman"/>
          <w:sz w:val="20"/>
          <w:szCs w:val="20"/>
        </w:rPr>
        <w:t xml:space="preserve"> v dennej forme a externej forme v akademickom roku 2017/2018 bol </w:t>
      </w:r>
      <w:r w:rsidRPr="00EF2265">
        <w:rPr>
          <w:rFonts w:ascii="Times New Roman" w:hAnsi="Times New Roman"/>
          <w:b/>
          <w:sz w:val="20"/>
          <w:szCs w:val="20"/>
        </w:rPr>
        <w:t xml:space="preserve">797 študentov </w:t>
      </w:r>
      <w:r w:rsidRPr="00EF2265">
        <w:rPr>
          <w:rFonts w:ascii="Times New Roman" w:hAnsi="Times New Roman"/>
          <w:sz w:val="20"/>
          <w:szCs w:val="20"/>
        </w:rPr>
        <w:t xml:space="preserve">vrátane študentov prihlásených na tému dizertačnej práce vypísanú externou vzdelávacou inštitúciou. </w:t>
      </w:r>
    </w:p>
    <w:p w:rsidR="00037FBB" w:rsidRPr="00EF2265" w:rsidRDefault="00037FBB" w:rsidP="00037FBB">
      <w:pPr>
        <w:tabs>
          <w:tab w:val="left" w:pos="9356"/>
        </w:tabs>
        <w:spacing w:after="120"/>
        <w:jc w:val="left"/>
        <w:rPr>
          <w:rFonts w:ascii="Times New Roman" w:hAnsi="Times New Roman"/>
          <w:sz w:val="20"/>
          <w:szCs w:val="20"/>
        </w:rPr>
      </w:pP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b/>
          <w:bCs/>
          <w:sz w:val="20"/>
          <w:szCs w:val="20"/>
        </w:rPr>
        <w:t>Študijné pobyty v zahraničí a zahraniční študenti na STU</w:t>
      </w:r>
      <w:r w:rsidRPr="00EF2265">
        <w:rPr>
          <w:rFonts w:ascii="Times New Roman" w:hAnsi="Times New Roman"/>
          <w:sz w:val="20"/>
          <w:szCs w:val="20"/>
        </w:rPr>
        <w:br/>
        <w:t xml:space="preserve">Študenti dennej formy štúdia často počas svojho štúdia realizujú študijné pobyty v zahraničí, kde dostávajú ponuky na predĺženie pobytu, ktoré využívajú a štúdium si prerušujú. Aj z uvedeného dôvodu si štúdium predlžujú, resp. menia formu štúdia z dennej na externú. Z celkového počtu denných doktorandov v akademickom roku 2017/2018 prekročilo štandardnú dĺžku štúdia 16 % študentov. Zároveň 2 % denných doktorandov zmenili študijný program uskutočňovaný v dennej forme na externú formu štúdia. </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b/>
          <w:sz w:val="20"/>
          <w:szCs w:val="20"/>
        </w:rPr>
        <w:t>Zahraniční študenti</w:t>
      </w:r>
      <w:r w:rsidRPr="00EF2265">
        <w:rPr>
          <w:rFonts w:ascii="Times New Roman" w:hAnsi="Times New Roman"/>
          <w:sz w:val="20"/>
          <w:szCs w:val="20"/>
        </w:rPr>
        <w:t xml:space="preserve"> študujú na STU vo všetkých troch stupňoch vysokoškolského vzdelávania. V porovnaní s akademickým rokom 2016/2017 bol zaznamenaný </w:t>
      </w:r>
      <w:r w:rsidRPr="00EF2265">
        <w:rPr>
          <w:rFonts w:ascii="Times New Roman" w:hAnsi="Times New Roman"/>
          <w:b/>
          <w:sz w:val="20"/>
          <w:szCs w:val="20"/>
        </w:rPr>
        <w:t>nárast</w:t>
      </w:r>
      <w:r w:rsidRPr="00EF2265">
        <w:rPr>
          <w:rFonts w:ascii="Times New Roman" w:hAnsi="Times New Roman"/>
          <w:sz w:val="20"/>
          <w:szCs w:val="20"/>
        </w:rPr>
        <w:t xml:space="preserve"> </w:t>
      </w:r>
      <w:r w:rsidRPr="00EF2265">
        <w:rPr>
          <w:rFonts w:ascii="Times New Roman" w:hAnsi="Times New Roman"/>
          <w:b/>
          <w:sz w:val="20"/>
          <w:szCs w:val="20"/>
        </w:rPr>
        <w:t xml:space="preserve">celkového počtu zahraničných študentov - v priemere o 4 %, </w:t>
      </w:r>
      <w:r w:rsidRPr="00EF2265">
        <w:rPr>
          <w:rFonts w:ascii="Times New Roman" w:hAnsi="Times New Roman"/>
          <w:sz w:val="20"/>
          <w:szCs w:val="20"/>
        </w:rPr>
        <w:t xml:space="preserve">čo v absolútnych číslach predstavuje </w:t>
      </w:r>
      <w:r w:rsidRPr="00EF2265">
        <w:rPr>
          <w:rFonts w:ascii="Times New Roman" w:hAnsi="Times New Roman"/>
          <w:b/>
          <w:sz w:val="20"/>
          <w:szCs w:val="20"/>
        </w:rPr>
        <w:t>zvýšenie o 14 študentov (nárast o 9 % na prvom stupni, pokles na druhom stupni o 5 % a na treťom stupni tiež pokles o 7 %)</w:t>
      </w:r>
      <w:r w:rsidRPr="00EF2265">
        <w:rPr>
          <w:rFonts w:ascii="Times New Roman" w:hAnsi="Times New Roman"/>
          <w:sz w:val="20"/>
          <w:szCs w:val="20"/>
        </w:rPr>
        <w:t xml:space="preserve">. </w:t>
      </w:r>
    </w:p>
    <w:p w:rsidR="00037FBB" w:rsidRPr="00EF2265" w:rsidRDefault="00037FBB" w:rsidP="00037FBB">
      <w:pPr>
        <w:tabs>
          <w:tab w:val="left" w:pos="9356"/>
        </w:tabs>
        <w:spacing w:after="120"/>
        <w:jc w:val="left"/>
        <w:rPr>
          <w:rFonts w:ascii="Times New Roman" w:hAnsi="Times New Roman"/>
          <w:sz w:val="20"/>
          <w:szCs w:val="20"/>
        </w:rPr>
      </w:pP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b/>
          <w:bCs/>
          <w:sz w:val="20"/>
          <w:szCs w:val="20"/>
        </w:rPr>
        <w:t>STU vo svetových rebríčkoch a medzinárodné úspechy</w:t>
      </w:r>
      <w:r w:rsidRPr="00EF2265">
        <w:rPr>
          <w:rFonts w:ascii="Times New Roman" w:hAnsi="Times New Roman"/>
          <w:sz w:val="20"/>
          <w:szCs w:val="20"/>
        </w:rPr>
        <w:br/>
        <w:t>Slovenská technická univerzita dlhoročne patrí medzi popredné výskumné univerzity na Slovensku. Potvrdzujú to aj svetové rebríčky univerzít. Iba 3 univerzity zo Slovenska sa umiestili v troch najprestížnejších rebríčkoch (</w:t>
      </w:r>
      <w:r w:rsidRPr="00EF2265">
        <w:rPr>
          <w:rFonts w:ascii="Times New Roman" w:hAnsi="Times New Roman"/>
          <w:sz w:val="20"/>
          <w:szCs w:val="20"/>
          <w:lang w:eastAsia="sk-SK"/>
        </w:rPr>
        <w:t xml:space="preserve">QS World University Rankings®, </w:t>
      </w:r>
      <w:r w:rsidRPr="00EF2265">
        <w:rPr>
          <w:rFonts w:ascii="Times New Roman" w:eastAsia="Times New Roman" w:hAnsi="Times New Roman"/>
          <w:sz w:val="20"/>
          <w:szCs w:val="20"/>
          <w:lang w:eastAsia="sk-SK"/>
        </w:rPr>
        <w:t xml:space="preserve">Times Higher Education World University Rankings a </w:t>
      </w:r>
      <w:r w:rsidRPr="00EF2265">
        <w:rPr>
          <w:rFonts w:ascii="Times New Roman" w:hAnsi="Times New Roman"/>
          <w:sz w:val="20"/>
          <w:szCs w:val="20"/>
        </w:rPr>
        <w:t>Academic Ranking of World Universities a STU je medzi nimi.</w:t>
      </w:r>
    </w:p>
    <w:p w:rsidR="00037FBB" w:rsidRPr="00EF2265" w:rsidRDefault="00037FBB" w:rsidP="00037FBB">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STU aj v tomto roku zaznamenala úspech v medzinárodnom výskumnom priestore. Európska komisia podporila vznik ďalšieho Európskeho inštitútu pre inovácie a technológie (EIT). Ide o EIT Manufacturing, ktorého je </w:t>
      </w:r>
      <w:r w:rsidRPr="00EF2265">
        <w:rPr>
          <w:rFonts w:ascii="Times New Roman" w:hAnsi="Times New Roman"/>
          <w:bCs/>
          <w:sz w:val="20"/>
          <w:szCs w:val="20"/>
        </w:rPr>
        <w:t>STU zakladajúcim členom</w:t>
      </w:r>
      <w:r w:rsidRPr="00EF2265">
        <w:rPr>
          <w:rFonts w:ascii="Times New Roman" w:hAnsi="Times New Roman"/>
          <w:sz w:val="20"/>
          <w:szCs w:val="20"/>
        </w:rPr>
        <w:t xml:space="preserve">. Je to už druhý EIT, kde je STU členom, v roku 2017 sa STU stalo členom EIT v oblasti surovín a materiálov </w:t>
      </w:r>
      <w:r w:rsidRPr="00EF2265">
        <w:rPr>
          <w:rFonts w:ascii="Times New Roman" w:hAnsi="Times New Roman"/>
          <w:color w:val="000000"/>
          <w:sz w:val="20"/>
          <w:szCs w:val="20"/>
        </w:rPr>
        <w:t>(</w:t>
      </w:r>
      <w:hyperlink r:id="rId9">
        <w:r w:rsidRPr="00EF2265">
          <w:rPr>
            <w:rStyle w:val="Internetovodkaz"/>
            <w:rFonts w:ascii="Times New Roman" w:hAnsi="Times New Roman"/>
            <w:color w:val="000000"/>
            <w:sz w:val="20"/>
            <w:szCs w:val="20"/>
          </w:rPr>
          <w:t>EIT Raw Materials</w:t>
        </w:r>
      </w:hyperlink>
      <w:r w:rsidRPr="00EF2265">
        <w:rPr>
          <w:rFonts w:ascii="Times New Roman" w:hAnsi="Times New Roman"/>
          <w:sz w:val="20"/>
          <w:szCs w:val="20"/>
        </w:rPr>
        <w:t>). EIT kladie dôraz na spojenie výskumu, vzdelávania a praxe. Členmi sú elitné vedecké inštitúcie, univerzity a podniky. Členstvo v EIT dáva možnosť STU k získavaniu ďalších kontaktov a grantov v Európskom výskumnom priestore.</w:t>
      </w:r>
    </w:p>
    <w:p w:rsidR="00037FBB" w:rsidRPr="008870FE" w:rsidRDefault="00037FBB" w:rsidP="00037FBB">
      <w:pPr>
        <w:pStyle w:val="Default"/>
        <w:widowControl/>
        <w:tabs>
          <w:tab w:val="left" w:pos="9356"/>
        </w:tabs>
        <w:rPr>
          <w:rFonts w:ascii="Times New Roman" w:hAnsi="Times New Roman" w:cs="Times New Roman"/>
          <w:sz w:val="20"/>
          <w:szCs w:val="20"/>
          <w:lang w:val="sk-SK"/>
        </w:rPr>
      </w:pPr>
      <w:r w:rsidRPr="00EF2265">
        <w:rPr>
          <w:rFonts w:ascii="Times New Roman" w:hAnsi="Times New Roman" w:cs="Times New Roman"/>
          <w:color w:val="00000A"/>
          <w:sz w:val="20"/>
          <w:szCs w:val="20"/>
          <w:lang w:val="sk-SK"/>
        </w:rPr>
        <w:br/>
        <w:t xml:space="preserve">STU sa dlhoročne zapája do medzinárodných programov a od začiatku roku 2014 sa začala aktívne zapájať do výziev </w:t>
      </w:r>
      <w:r w:rsidRPr="00EF2265">
        <w:rPr>
          <w:rFonts w:ascii="Times New Roman" w:hAnsi="Times New Roman" w:cs="Times New Roman"/>
          <w:color w:val="00000A"/>
          <w:sz w:val="20"/>
          <w:szCs w:val="20"/>
          <w:lang w:val="sk-SK"/>
        </w:rPr>
        <w:lastRenderedPageBreak/>
        <w:t xml:space="preserve">v rámci európskeho rámcového programu pre výskum a inovácie HORIZONT 2020. </w:t>
      </w:r>
      <w:r w:rsidRPr="00EF2265">
        <w:rPr>
          <w:rFonts w:ascii="Times New Roman" w:hAnsi="Times New Roman" w:cs="Times New Roman"/>
          <w:b/>
          <w:color w:val="00000A"/>
          <w:sz w:val="20"/>
          <w:szCs w:val="20"/>
          <w:lang w:val="sk-SK"/>
        </w:rPr>
        <w:t xml:space="preserve">Pracovníci STU podali k 31. 12. 2018 spolu 215 žiadostí v rámci výziev tohto programu, z toho 24 návrhov bolo schválených a určených na financovanie a 67 projektov sa po procese hodnotenia dostalo nad bodový prah. </w:t>
      </w:r>
      <w:r w:rsidRPr="00EF2265">
        <w:rPr>
          <w:rFonts w:ascii="Times New Roman" w:eastAsia="Times New Roman" w:hAnsi="Times New Roman" w:cs="Times New Roman"/>
          <w:color w:val="00000A"/>
          <w:sz w:val="20"/>
          <w:szCs w:val="20"/>
          <w:lang w:val="sk-SK" w:eastAsia="sk-SK"/>
        </w:rPr>
        <w:t xml:space="preserve">Na Slovensku patrí STU medzi najlepšie univerzity v počte financovaných projektov a aj v objeme získaného príspevku z EK. </w:t>
      </w:r>
    </w:p>
    <w:p w:rsidR="00037FBB" w:rsidRPr="00EF2265" w:rsidRDefault="00037FBB" w:rsidP="00037FBB">
      <w:pPr>
        <w:pStyle w:val="Default"/>
        <w:widowControl/>
        <w:tabs>
          <w:tab w:val="left" w:pos="9356"/>
        </w:tabs>
        <w:rPr>
          <w:rFonts w:ascii="Times New Roman" w:hAnsi="Times New Roman" w:cs="Times New Roman"/>
          <w:color w:val="00000A"/>
          <w:sz w:val="20"/>
          <w:szCs w:val="20"/>
          <w:lang w:val="sk-SK"/>
        </w:rPr>
      </w:pPr>
    </w:p>
    <w:p w:rsidR="00037FBB" w:rsidRPr="00EF2265" w:rsidRDefault="00037FBB" w:rsidP="00037FBB">
      <w:pPr>
        <w:pStyle w:val="Odsekzoznamu"/>
        <w:tabs>
          <w:tab w:val="left" w:pos="9356"/>
        </w:tabs>
        <w:spacing w:after="0" w:line="240" w:lineRule="auto"/>
        <w:ind w:left="0"/>
        <w:rPr>
          <w:rFonts w:ascii="Times New Roman" w:hAnsi="Times New Roman"/>
          <w:sz w:val="20"/>
          <w:szCs w:val="20"/>
        </w:rPr>
      </w:pPr>
      <w:r w:rsidRPr="00EF2265">
        <w:rPr>
          <w:rFonts w:ascii="Times New Roman" w:hAnsi="Times New Roman"/>
          <w:sz w:val="20"/>
          <w:szCs w:val="20"/>
        </w:rPr>
        <w:t xml:space="preserve">Univerzita nechýba ani v jednom z najlepších troch rebríčkov na svete: </w:t>
      </w:r>
      <w:r w:rsidRPr="00EF2265">
        <w:rPr>
          <w:rFonts w:ascii="Times New Roman" w:hAnsi="Times New Roman"/>
          <w:b/>
          <w:bCs/>
          <w:sz w:val="20"/>
          <w:szCs w:val="20"/>
        </w:rPr>
        <w:t xml:space="preserve">v QS World University Rankings®, THE (Times Higher Education World University Rankings) a Šanghajskom rebríčku. </w:t>
      </w:r>
      <w:r w:rsidRPr="00EF2265">
        <w:rPr>
          <w:rFonts w:ascii="Times New Roman" w:hAnsi="Times New Roman"/>
          <w:sz w:val="20"/>
          <w:szCs w:val="20"/>
        </w:rPr>
        <w:t>Najlepšie sa STU umiestnila v rebríčku QS World University Rankings® 2019 na 751-800. Slovensko má v rebríčku okrem STU iba dve univerzity.</w:t>
      </w:r>
    </w:p>
    <w:p w:rsidR="00037FBB" w:rsidRPr="005424B7" w:rsidRDefault="00037FBB" w:rsidP="005424B7">
      <w:pPr>
        <w:rPr>
          <w:rFonts w:ascii="Times New Roman" w:hAnsi="Times New Roman"/>
          <w:sz w:val="20"/>
          <w:szCs w:val="20"/>
        </w:rPr>
      </w:pPr>
    </w:p>
    <w:p w:rsidR="00037FBB" w:rsidRPr="00EF2265" w:rsidRDefault="00037FBB" w:rsidP="00720316">
      <w:pPr>
        <w:rPr>
          <w:rFonts w:ascii="Times New Roman" w:hAnsi="Times New Roman"/>
          <w:sz w:val="20"/>
          <w:szCs w:val="20"/>
        </w:rPr>
      </w:pPr>
      <w:r w:rsidRPr="00EF2265">
        <w:rPr>
          <w:rFonts w:ascii="Times New Roman" w:hAnsi="Times New Roman"/>
          <w:sz w:val="20"/>
          <w:szCs w:val="20"/>
        </w:rPr>
        <w:t xml:space="preserve">V Academic Ranking of World Universities je STU na </w:t>
      </w:r>
      <w:r w:rsidRPr="00EF2265">
        <w:rPr>
          <w:rFonts w:ascii="Times New Roman" w:hAnsi="Times New Roman"/>
          <w:b/>
          <w:bCs/>
          <w:sz w:val="20"/>
          <w:szCs w:val="20"/>
        </w:rPr>
        <w:t>801-900 mieste</w:t>
      </w:r>
      <w:r w:rsidRPr="00EF2265">
        <w:rPr>
          <w:rFonts w:ascii="Times New Roman" w:hAnsi="Times New Roman"/>
          <w:sz w:val="20"/>
          <w:szCs w:val="20"/>
        </w:rPr>
        <w:t xml:space="preserve"> a medzi najlepšími univerzitami figurujú okrem STU ešte dve univerzity zo Slovenska. Podobne je to aj v rebríčku  Times Higher Education World University Rankings, kde sú uvedené tri slovenské univerzity a STU je jedna z nich.</w:t>
      </w:r>
    </w:p>
    <w:p w:rsidR="00A62193" w:rsidRPr="00EF2265" w:rsidRDefault="00A62193" w:rsidP="00720316">
      <w:pPr>
        <w:tabs>
          <w:tab w:val="left" w:pos="9356"/>
        </w:tabs>
        <w:rPr>
          <w:rFonts w:ascii="Times New Roman" w:hAnsi="Times New Roman"/>
          <w:sz w:val="20"/>
          <w:szCs w:val="20"/>
        </w:rPr>
      </w:pPr>
    </w:p>
    <w:p w:rsidR="00037FBB" w:rsidRPr="00EF2265" w:rsidRDefault="00037FBB" w:rsidP="00720316">
      <w:pPr>
        <w:tabs>
          <w:tab w:val="left" w:pos="9356"/>
        </w:tabs>
        <w:rPr>
          <w:rFonts w:ascii="Times New Roman" w:hAnsi="Times New Roman"/>
          <w:sz w:val="20"/>
          <w:szCs w:val="20"/>
        </w:rPr>
      </w:pPr>
      <w:r w:rsidRPr="00EF2265">
        <w:rPr>
          <w:rFonts w:ascii="Times New Roman" w:hAnsi="Times New Roman"/>
          <w:sz w:val="20"/>
          <w:szCs w:val="20"/>
        </w:rPr>
        <w:t>V piatom ročníku The </w:t>
      </w:r>
      <w:hyperlink r:id="rId10">
        <w:r w:rsidRPr="00EF2265">
          <w:rPr>
            <w:rStyle w:val="Internetovodkaz"/>
            <w:rFonts w:ascii="Times New Roman" w:eastAsiaTheme="majorEastAsia" w:hAnsi="Times New Roman"/>
            <w:color w:val="00000A"/>
            <w:sz w:val="20"/>
            <w:szCs w:val="20"/>
          </w:rPr>
          <w:t>Best Global Universities</w:t>
        </w:r>
      </w:hyperlink>
      <w:r w:rsidRPr="00EF2265">
        <w:rPr>
          <w:rFonts w:ascii="Times New Roman" w:hAnsi="Times New Roman"/>
          <w:sz w:val="20"/>
          <w:szCs w:val="20"/>
        </w:rPr>
        <w:t xml:space="preserve"> rankingu sa medzi 1250 univerzitami umiestnili aj 3 univerzity zo Slovenska a jednou z nich je aj Slovenská technická univerzita v Bratislave. U.S. News </w:t>
      </w:r>
      <w:hyperlink r:id="rId11">
        <w:r w:rsidRPr="00EF2265">
          <w:rPr>
            <w:rStyle w:val="Internetovodkaz"/>
            <w:rFonts w:ascii="Times New Roman" w:eastAsiaTheme="majorEastAsia" w:hAnsi="Times New Roman"/>
            <w:color w:val="00000A"/>
            <w:sz w:val="20"/>
            <w:szCs w:val="20"/>
          </w:rPr>
          <w:t>Best Global Universities</w:t>
        </w:r>
      </w:hyperlink>
      <w:r w:rsidRPr="00EF2265">
        <w:rPr>
          <w:rFonts w:ascii="Times New Roman" w:hAnsi="Times New Roman"/>
          <w:sz w:val="20"/>
          <w:szCs w:val="20"/>
        </w:rPr>
        <w:t xml:space="preserve"> už 30 rokov porovnáva americké univerzity so svetom. </w:t>
      </w:r>
    </w:p>
    <w:p w:rsidR="00037FBB" w:rsidRPr="00EF2265" w:rsidRDefault="00037FBB" w:rsidP="00037FBB">
      <w:pPr>
        <w:pStyle w:val="Odsekzoznamu"/>
        <w:tabs>
          <w:tab w:val="left" w:pos="9356"/>
        </w:tabs>
        <w:spacing w:after="0" w:line="240" w:lineRule="auto"/>
        <w:rPr>
          <w:rFonts w:ascii="Times New Roman" w:hAnsi="Times New Roman"/>
          <w:sz w:val="20"/>
          <w:szCs w:val="20"/>
        </w:rPr>
      </w:pPr>
    </w:p>
    <w:p w:rsidR="00037FBB" w:rsidRPr="00EF2265" w:rsidRDefault="00037FBB" w:rsidP="00720316">
      <w:pPr>
        <w:tabs>
          <w:tab w:val="left" w:pos="9356"/>
        </w:tabs>
        <w:rPr>
          <w:rFonts w:ascii="Times New Roman" w:hAnsi="Times New Roman"/>
          <w:sz w:val="20"/>
          <w:szCs w:val="20"/>
        </w:rPr>
      </w:pPr>
      <w:r w:rsidRPr="00EF2265">
        <w:rPr>
          <w:rFonts w:ascii="Times New Roman" w:hAnsi="Times New Roman"/>
          <w:sz w:val="20"/>
          <w:szCs w:val="20"/>
        </w:rPr>
        <w:t xml:space="preserve">Európska komisia vytvorila </w:t>
      </w:r>
      <w:r w:rsidRPr="00EF2265">
        <w:rPr>
          <w:rFonts w:ascii="Times New Roman" w:hAnsi="Times New Roman"/>
          <w:b/>
          <w:bCs/>
          <w:sz w:val="20"/>
          <w:szCs w:val="20"/>
        </w:rPr>
        <w:t>expertnú skupinu pre umelú inteligenciu</w:t>
      </w:r>
      <w:r w:rsidRPr="00EF2265">
        <w:rPr>
          <w:rFonts w:ascii="Times New Roman" w:hAnsi="Times New Roman"/>
          <w:sz w:val="20"/>
          <w:szCs w:val="20"/>
        </w:rPr>
        <w:t>. V expertnej skupine je aj dekanka FIIT STU prof. Ing. Mária Bieliková, PhD. EK vybrala  52 členov do novej expertnej skupiny (High-Level Group on Artificial Intelligence) z viac ako 500 prihlášok. Členmi skupiny sú vedci a odborníci z akademického prostredia, z IT firiem, zástupcovia tretieho sektora a aj experti na etiku.  </w:t>
      </w:r>
    </w:p>
    <w:p w:rsidR="00037FBB" w:rsidRPr="00EF2265" w:rsidRDefault="00037FBB" w:rsidP="00037FBB">
      <w:pPr>
        <w:pStyle w:val="Odsekzoznamu"/>
        <w:tabs>
          <w:tab w:val="left" w:pos="9356"/>
        </w:tabs>
        <w:spacing w:after="0" w:line="240" w:lineRule="auto"/>
        <w:rPr>
          <w:rFonts w:ascii="Times New Roman" w:hAnsi="Times New Roman"/>
          <w:sz w:val="20"/>
          <w:szCs w:val="20"/>
        </w:rPr>
      </w:pPr>
    </w:p>
    <w:p w:rsidR="00037FBB" w:rsidRPr="00EF2265" w:rsidRDefault="00037FBB" w:rsidP="00720316">
      <w:pPr>
        <w:tabs>
          <w:tab w:val="left" w:pos="9356"/>
        </w:tabs>
        <w:rPr>
          <w:rFonts w:ascii="Times New Roman" w:hAnsi="Times New Roman"/>
          <w:sz w:val="20"/>
          <w:szCs w:val="20"/>
        </w:rPr>
      </w:pPr>
      <w:r w:rsidRPr="00EF2265">
        <w:rPr>
          <w:rFonts w:ascii="Times New Roman" w:hAnsi="Times New Roman"/>
          <w:sz w:val="20"/>
          <w:szCs w:val="20"/>
        </w:rPr>
        <w:t xml:space="preserve">Cenu NATO vedeckého programu Science for Peace and Security – SPS získal projekt so slovenskou účasťou s názvom </w:t>
      </w:r>
      <w:r w:rsidRPr="00EF2265">
        <w:rPr>
          <w:rFonts w:ascii="Times New Roman" w:hAnsi="Times New Roman"/>
          <w:b/>
          <w:bCs/>
          <w:sz w:val="20"/>
          <w:szCs w:val="20"/>
        </w:rPr>
        <w:t>"Secure Implementation of Post-Quantum Cryptography"</w:t>
      </w:r>
      <w:r w:rsidRPr="00EF2265">
        <w:rPr>
          <w:rFonts w:ascii="Times New Roman" w:hAnsi="Times New Roman"/>
          <w:sz w:val="20"/>
          <w:szCs w:val="20"/>
        </w:rPr>
        <w:t>, ktorý bol označený aj ako projekt desaťročia v oblasti Kybernetickej obrany. STU reprezentuje v projekte prof. RNDr. Otokar Grošek, PhD., z FEI STU.</w:t>
      </w:r>
    </w:p>
    <w:p w:rsidR="00037FBB" w:rsidRPr="00EF2265" w:rsidRDefault="00037FBB" w:rsidP="00037FBB">
      <w:pPr>
        <w:ind w:left="720"/>
        <w:jc w:val="left"/>
        <w:rPr>
          <w:rFonts w:ascii="Times New Roman" w:hAnsi="Times New Roman"/>
          <w:sz w:val="20"/>
          <w:szCs w:val="20"/>
        </w:rPr>
      </w:pPr>
    </w:p>
    <w:p w:rsidR="00037FBB" w:rsidRPr="00EF2265" w:rsidRDefault="00037FBB" w:rsidP="00037FBB">
      <w:pPr>
        <w:pStyle w:val="Odsekzoznamu"/>
        <w:spacing w:after="0" w:line="240" w:lineRule="auto"/>
        <w:ind w:left="0"/>
        <w:rPr>
          <w:rFonts w:ascii="Times New Roman" w:hAnsi="Times New Roman"/>
          <w:sz w:val="20"/>
          <w:szCs w:val="20"/>
        </w:rPr>
      </w:pPr>
      <w:r w:rsidRPr="00EF2265">
        <w:rPr>
          <w:rFonts w:ascii="Times New Roman" w:hAnsi="Times New Roman"/>
          <w:sz w:val="20"/>
          <w:szCs w:val="20"/>
        </w:rPr>
        <w:t xml:space="preserve">V </w:t>
      </w:r>
      <w:r w:rsidRPr="00EF2265">
        <w:rPr>
          <w:rFonts w:ascii="Times New Roman" w:hAnsi="Times New Roman"/>
          <w:bCs/>
          <w:sz w:val="20"/>
          <w:szCs w:val="20"/>
        </w:rPr>
        <w:t xml:space="preserve">Šanghaji otvorili  spoločné vedeckovýskumné a plánovacie centrum Čínsko-európskej aliancie pre udržateľný rozvoj a inovácie </w:t>
      </w:r>
      <w:r w:rsidRPr="00EF2265">
        <w:rPr>
          <w:rFonts w:ascii="Times New Roman" w:hAnsi="Times New Roman"/>
          <w:sz w:val="20"/>
          <w:szCs w:val="20"/>
        </w:rPr>
        <w:t xml:space="preserve">pod vedením </w:t>
      </w:r>
      <w:r w:rsidRPr="00EF2265">
        <w:rPr>
          <w:rFonts w:ascii="Times New Roman" w:hAnsi="Times New Roman"/>
          <w:b/>
          <w:bCs/>
          <w:sz w:val="20"/>
          <w:szCs w:val="20"/>
        </w:rPr>
        <w:t>East China Normal University a STU.</w:t>
      </w:r>
      <w:r w:rsidRPr="00EF2265">
        <w:rPr>
          <w:rFonts w:ascii="Times New Roman" w:hAnsi="Times New Roman"/>
          <w:bCs/>
          <w:sz w:val="20"/>
          <w:szCs w:val="20"/>
        </w:rPr>
        <w:t xml:space="preserve"> Spoločné centrum sa bude podieľať na plánovaní novej mestskej časti Šanghaja. STU v tomto projekte reprezentujú odborníci na urbánnu ekológiu a priestorové plánovanie, ktorých vedie prof. Ing. arch. Maroš Finka, PhD.</w:t>
      </w:r>
    </w:p>
    <w:p w:rsidR="00037FBB" w:rsidRPr="00EF2265" w:rsidRDefault="00037FBB" w:rsidP="00037FBB">
      <w:pPr>
        <w:pStyle w:val="Odsekzoznamu"/>
        <w:spacing w:after="0" w:line="240" w:lineRule="auto"/>
        <w:rPr>
          <w:rFonts w:ascii="Times New Roman" w:hAnsi="Times New Roman"/>
          <w:bCs/>
          <w:sz w:val="20"/>
          <w:szCs w:val="20"/>
        </w:rPr>
      </w:pPr>
    </w:p>
    <w:p w:rsidR="00037FBB" w:rsidRPr="00EF2265" w:rsidRDefault="00037FBB" w:rsidP="00037FBB">
      <w:pPr>
        <w:pStyle w:val="Odsekzoznamu"/>
        <w:spacing w:after="0" w:line="240" w:lineRule="auto"/>
        <w:ind w:left="0"/>
        <w:rPr>
          <w:rFonts w:ascii="Times New Roman" w:hAnsi="Times New Roman"/>
          <w:b/>
          <w:bCs/>
          <w:sz w:val="20"/>
          <w:szCs w:val="20"/>
        </w:rPr>
      </w:pPr>
    </w:p>
    <w:p w:rsidR="00037FBB" w:rsidRPr="00EF2265" w:rsidRDefault="00037FBB" w:rsidP="00037FBB">
      <w:pPr>
        <w:pStyle w:val="Odsekzoznamu"/>
        <w:spacing w:after="0" w:line="240" w:lineRule="auto"/>
        <w:ind w:left="0"/>
        <w:rPr>
          <w:rFonts w:ascii="Times New Roman" w:hAnsi="Times New Roman"/>
          <w:sz w:val="20"/>
          <w:szCs w:val="20"/>
        </w:rPr>
      </w:pPr>
      <w:r w:rsidRPr="00EF2265">
        <w:rPr>
          <w:rFonts w:ascii="Times New Roman" w:hAnsi="Times New Roman"/>
          <w:b/>
          <w:bCs/>
          <w:sz w:val="20"/>
          <w:szCs w:val="20"/>
        </w:rPr>
        <w:t>Ocenenia</w:t>
      </w:r>
      <w:r w:rsidRPr="00EF2265">
        <w:rPr>
          <w:rFonts w:ascii="Times New Roman" w:hAnsi="Times New Roman"/>
          <w:sz w:val="20"/>
          <w:szCs w:val="20"/>
        </w:rPr>
        <w:br/>
        <w:t>Od roku 2007 rektor Slovenskej technickej univerzity v Bratislave udeľuje významným osobnostiam ocenenia</w:t>
      </w:r>
      <w:r w:rsidRPr="00EF2265">
        <w:rPr>
          <w:rFonts w:ascii="Times New Roman" w:hAnsi="Times New Roman"/>
          <w:b/>
          <w:bCs/>
          <w:sz w:val="20"/>
          <w:szCs w:val="20"/>
        </w:rPr>
        <w:t xml:space="preserve"> Vedec roka STU. </w:t>
      </w:r>
      <w:r w:rsidRPr="00EF2265">
        <w:rPr>
          <w:rFonts w:ascii="Times New Roman" w:hAnsi="Times New Roman"/>
          <w:sz w:val="20"/>
          <w:szCs w:val="20"/>
        </w:rPr>
        <w:t>Cenu „Vedec roka STU 2018“</w:t>
      </w:r>
      <w:r w:rsidRPr="00EF2265">
        <w:rPr>
          <w:rFonts w:ascii="Times New Roman" w:hAnsi="Times New Roman"/>
          <w:b/>
          <w:bCs/>
          <w:sz w:val="20"/>
          <w:szCs w:val="20"/>
        </w:rPr>
        <w:t xml:space="preserve"> v kategórii </w:t>
      </w:r>
      <w:r w:rsidRPr="00EF2265">
        <w:rPr>
          <w:rFonts w:ascii="Times New Roman" w:hAnsi="Times New Roman"/>
          <w:sz w:val="20"/>
          <w:szCs w:val="20"/>
        </w:rPr>
        <w:t>Významný vedecký prínos získal</w:t>
      </w:r>
      <w:r w:rsidRPr="00EF2265">
        <w:rPr>
          <w:rFonts w:ascii="Times New Roman" w:hAnsi="Times New Roman"/>
          <w:b/>
          <w:bCs/>
          <w:sz w:val="20"/>
          <w:szCs w:val="20"/>
        </w:rPr>
        <w:t xml:space="preserve"> prof. Ing. Ján Labuda, DrSc. </w:t>
      </w:r>
      <w:r w:rsidRPr="00EF2265">
        <w:rPr>
          <w:rFonts w:ascii="Times New Roman" w:hAnsi="Times New Roman"/>
          <w:sz w:val="20"/>
          <w:szCs w:val="20"/>
        </w:rPr>
        <w:t>z Fakulty chemickej a potravinárskej technológie.</w:t>
      </w:r>
      <w:r w:rsidRPr="00EF2265">
        <w:rPr>
          <w:rFonts w:ascii="Times New Roman" w:hAnsi="Times New Roman"/>
          <w:b/>
          <w:bCs/>
          <w:sz w:val="20"/>
          <w:szCs w:val="20"/>
        </w:rPr>
        <w:t xml:space="preserve"> </w:t>
      </w:r>
      <w:r w:rsidRPr="00EF2265">
        <w:rPr>
          <w:rFonts w:ascii="Times New Roman" w:hAnsi="Times New Roman"/>
          <w:sz w:val="20"/>
          <w:szCs w:val="20"/>
        </w:rPr>
        <w:t xml:space="preserve">Cenu Vedec roka STU 2018 v kategórii Mladý vedecký pracovník získal </w:t>
      </w:r>
      <w:r w:rsidRPr="005424B7">
        <w:rPr>
          <w:rFonts w:ascii="Times New Roman" w:hAnsi="Times New Roman"/>
          <w:b/>
          <w:sz w:val="20"/>
          <w:szCs w:val="20"/>
        </w:rPr>
        <w:t>Ing</w:t>
      </w:r>
      <w:r w:rsidRPr="005424B7">
        <w:rPr>
          <w:rFonts w:ascii="Times New Roman" w:hAnsi="Times New Roman"/>
          <w:sz w:val="20"/>
          <w:szCs w:val="20"/>
        </w:rPr>
        <w:t>.</w:t>
      </w:r>
      <w:r w:rsidRPr="005424B7">
        <w:rPr>
          <w:rFonts w:ascii="Times New Roman" w:hAnsi="Times New Roman"/>
          <w:bCs/>
          <w:sz w:val="20"/>
          <w:szCs w:val="20"/>
        </w:rPr>
        <w:t> </w:t>
      </w:r>
      <w:r w:rsidRPr="005424B7">
        <w:rPr>
          <w:rStyle w:val="Siln"/>
          <w:rFonts w:ascii="Times New Roman" w:hAnsi="Times New Roman"/>
          <w:sz w:val="20"/>
          <w:szCs w:val="20"/>
        </w:rPr>
        <w:t>František</w:t>
      </w:r>
      <w:r w:rsidRPr="005424B7">
        <w:rPr>
          <w:rFonts w:ascii="Times New Roman" w:hAnsi="Times New Roman"/>
          <w:bCs/>
          <w:sz w:val="20"/>
          <w:szCs w:val="20"/>
        </w:rPr>
        <w:t> </w:t>
      </w:r>
      <w:r w:rsidRPr="005424B7">
        <w:rPr>
          <w:rStyle w:val="Siln"/>
          <w:rFonts w:ascii="Times New Roman" w:hAnsi="Times New Roman"/>
          <w:sz w:val="20"/>
          <w:szCs w:val="20"/>
        </w:rPr>
        <w:t>Kreps</w:t>
      </w:r>
      <w:r w:rsidRPr="005424B7">
        <w:rPr>
          <w:rFonts w:ascii="Times New Roman" w:hAnsi="Times New Roman"/>
          <w:sz w:val="20"/>
          <w:szCs w:val="20"/>
        </w:rPr>
        <w:t>,</w:t>
      </w:r>
      <w:r w:rsidRPr="005424B7">
        <w:rPr>
          <w:rFonts w:ascii="Times New Roman" w:hAnsi="Times New Roman"/>
          <w:b/>
          <w:bCs/>
          <w:sz w:val="20"/>
          <w:szCs w:val="20"/>
        </w:rPr>
        <w:t> </w:t>
      </w:r>
      <w:r w:rsidRPr="005424B7">
        <w:rPr>
          <w:rFonts w:ascii="Times New Roman" w:hAnsi="Times New Roman"/>
          <w:b/>
          <w:sz w:val="20"/>
          <w:szCs w:val="20"/>
        </w:rPr>
        <w:t>PhD</w:t>
      </w:r>
      <w:r w:rsidRPr="00EF2265">
        <w:rPr>
          <w:rFonts w:ascii="Times New Roman" w:hAnsi="Times New Roman"/>
          <w:sz w:val="20"/>
          <w:szCs w:val="20"/>
        </w:rPr>
        <w:t>.,</w:t>
      </w:r>
      <w:r w:rsidRPr="00EF2265">
        <w:rPr>
          <w:rFonts w:ascii="Times New Roman" w:hAnsi="Times New Roman"/>
          <w:b/>
          <w:bCs/>
          <w:sz w:val="20"/>
          <w:szCs w:val="20"/>
        </w:rPr>
        <w:t xml:space="preserve"> </w:t>
      </w:r>
      <w:r w:rsidRPr="00EF2265">
        <w:rPr>
          <w:rFonts w:ascii="Times New Roman" w:hAnsi="Times New Roman"/>
          <w:bCs/>
          <w:sz w:val="20"/>
          <w:szCs w:val="20"/>
        </w:rPr>
        <w:t xml:space="preserve">pracovník </w:t>
      </w:r>
      <w:r w:rsidRPr="00EF2265">
        <w:rPr>
          <w:rFonts w:ascii="Times New Roman" w:hAnsi="Times New Roman"/>
          <w:sz w:val="20"/>
          <w:szCs w:val="20"/>
        </w:rPr>
        <w:t xml:space="preserve">Ústavu potravinárstva a výživy </w:t>
      </w:r>
      <w:r w:rsidRPr="00EF2265">
        <w:rPr>
          <w:rFonts w:ascii="Times New Roman" w:hAnsi="Times New Roman"/>
          <w:bCs/>
          <w:sz w:val="20"/>
          <w:szCs w:val="20"/>
        </w:rPr>
        <w:t>Fakulty chemickej a potravinárskej technológie STU</w:t>
      </w:r>
      <w:r w:rsidRPr="00EF2265">
        <w:rPr>
          <w:rFonts w:ascii="Times New Roman" w:hAnsi="Times New Roman"/>
          <w:sz w:val="20"/>
          <w:szCs w:val="20"/>
        </w:rPr>
        <w:t>.</w:t>
      </w:r>
    </w:p>
    <w:p w:rsidR="00037FBB" w:rsidRPr="00EF2265" w:rsidRDefault="00037FBB" w:rsidP="00037FBB">
      <w:pPr>
        <w:pStyle w:val="Default"/>
        <w:widowControl/>
        <w:rPr>
          <w:rFonts w:ascii="Times New Roman" w:hAnsi="Times New Roman" w:cs="Times New Roman"/>
          <w:color w:val="00000A"/>
          <w:sz w:val="20"/>
          <w:szCs w:val="20"/>
          <w:lang w:val="sk-SK"/>
        </w:rPr>
      </w:pPr>
    </w:p>
    <w:p w:rsidR="00037FBB" w:rsidRPr="008870FE" w:rsidRDefault="00037FBB" w:rsidP="00037FBB">
      <w:pPr>
        <w:pStyle w:val="Default"/>
        <w:widowControl/>
        <w:rPr>
          <w:rFonts w:ascii="Times New Roman" w:hAnsi="Times New Roman" w:cs="Times New Roman"/>
          <w:sz w:val="20"/>
          <w:szCs w:val="20"/>
          <w:lang w:val="sk-SK"/>
        </w:rPr>
      </w:pPr>
      <w:r w:rsidRPr="00EF2265">
        <w:rPr>
          <w:rFonts w:ascii="Times New Roman" w:hAnsi="Times New Roman" w:cs="Times New Roman"/>
          <w:color w:val="00000A"/>
          <w:sz w:val="20"/>
          <w:szCs w:val="20"/>
          <w:lang w:val="sk-SK"/>
        </w:rPr>
        <w:t xml:space="preserve">V máji 2018 si prevzal ocenenie Vedec roka 2017 </w:t>
      </w:r>
      <w:r w:rsidRPr="00EF2265">
        <w:rPr>
          <w:rFonts w:ascii="Times New Roman" w:hAnsi="Times New Roman" w:cs="Times New Roman"/>
          <w:bCs/>
          <w:color w:val="00000A"/>
          <w:sz w:val="20"/>
          <w:szCs w:val="20"/>
          <w:lang w:val="sk-SK"/>
        </w:rPr>
        <w:t xml:space="preserve">v </w:t>
      </w:r>
      <w:r w:rsidRPr="00EF2265">
        <w:rPr>
          <w:rStyle w:val="Siln"/>
          <w:rFonts w:ascii="Times New Roman" w:hAnsi="Times New Roman" w:cs="Times New Roman"/>
          <w:color w:val="00000A"/>
          <w:sz w:val="20"/>
          <w:szCs w:val="20"/>
          <w:lang w:val="sk-SK"/>
        </w:rPr>
        <w:t>kategórii </w:t>
      </w:r>
      <w:r w:rsidRPr="00EF2265">
        <w:rPr>
          <w:rStyle w:val="Siln"/>
          <w:rFonts w:ascii="Times New Roman" w:hAnsi="Times New Roman" w:cs="Times New Roman"/>
          <w:b w:val="0"/>
          <w:bCs w:val="0"/>
          <w:color w:val="00000A"/>
          <w:sz w:val="20"/>
          <w:szCs w:val="20"/>
          <w:lang w:val="sk-SK"/>
        </w:rPr>
        <w:t>Inovátor roka</w:t>
      </w:r>
      <w:r w:rsidRPr="00EF2265">
        <w:rPr>
          <w:rFonts w:ascii="Times New Roman" w:hAnsi="Times New Roman" w:cs="Times New Roman"/>
          <w:b/>
          <w:bCs/>
          <w:color w:val="00000A"/>
          <w:sz w:val="20"/>
          <w:szCs w:val="20"/>
          <w:lang w:val="sk-SK"/>
        </w:rPr>
        <w:t xml:space="preserve"> </w:t>
      </w:r>
      <w:r w:rsidRPr="00EF2265">
        <w:rPr>
          <w:rStyle w:val="Siln"/>
          <w:rFonts w:ascii="Times New Roman" w:hAnsi="Times New Roman" w:cs="Times New Roman"/>
          <w:color w:val="00000A"/>
          <w:sz w:val="20"/>
          <w:szCs w:val="20"/>
          <w:lang w:val="sk-SK"/>
        </w:rPr>
        <w:t>prof.</w:t>
      </w:r>
      <w:r w:rsidRPr="00EF2265">
        <w:rPr>
          <w:rFonts w:ascii="Times New Roman" w:hAnsi="Times New Roman" w:cs="Times New Roman"/>
          <w:sz w:val="20"/>
          <w:szCs w:val="20"/>
          <w:lang w:val="sk-SK"/>
        </w:rPr>
        <w:t> </w:t>
      </w:r>
      <w:r w:rsidRPr="00EF2265">
        <w:rPr>
          <w:rStyle w:val="Siln"/>
          <w:rFonts w:ascii="Times New Roman" w:hAnsi="Times New Roman" w:cs="Times New Roman"/>
          <w:color w:val="00000A"/>
          <w:sz w:val="20"/>
          <w:szCs w:val="20"/>
          <w:lang w:val="sk-SK"/>
        </w:rPr>
        <w:t>Ing.</w:t>
      </w:r>
      <w:r w:rsidRPr="00EF2265">
        <w:rPr>
          <w:rFonts w:ascii="Times New Roman" w:hAnsi="Times New Roman" w:cs="Times New Roman"/>
          <w:sz w:val="20"/>
          <w:szCs w:val="20"/>
          <w:lang w:val="sk-SK"/>
        </w:rPr>
        <w:t> </w:t>
      </w:r>
      <w:r w:rsidRPr="00EF2265">
        <w:rPr>
          <w:rStyle w:val="Siln"/>
          <w:rFonts w:ascii="Times New Roman" w:hAnsi="Times New Roman" w:cs="Times New Roman"/>
          <w:color w:val="00000A"/>
          <w:sz w:val="20"/>
          <w:szCs w:val="20"/>
          <w:lang w:val="sk-SK"/>
        </w:rPr>
        <w:t>Ľubomír</w:t>
      </w:r>
      <w:r w:rsidRPr="00EF2265">
        <w:rPr>
          <w:rFonts w:ascii="Times New Roman" w:hAnsi="Times New Roman" w:cs="Times New Roman"/>
          <w:sz w:val="20"/>
          <w:szCs w:val="20"/>
          <w:lang w:val="sk-SK"/>
        </w:rPr>
        <w:t> </w:t>
      </w:r>
      <w:r w:rsidRPr="00EF2265">
        <w:rPr>
          <w:rStyle w:val="Siln"/>
          <w:rFonts w:ascii="Times New Roman" w:hAnsi="Times New Roman" w:cs="Times New Roman"/>
          <w:color w:val="00000A"/>
          <w:sz w:val="20"/>
          <w:szCs w:val="20"/>
          <w:lang w:val="sk-SK"/>
        </w:rPr>
        <w:t>Šooš,</w:t>
      </w:r>
      <w:r w:rsidRPr="00EF2265">
        <w:rPr>
          <w:rFonts w:ascii="Times New Roman" w:hAnsi="Times New Roman" w:cs="Times New Roman"/>
          <w:sz w:val="20"/>
          <w:szCs w:val="20"/>
          <w:lang w:val="sk-SK"/>
        </w:rPr>
        <w:t> </w:t>
      </w:r>
      <w:r w:rsidRPr="00EF2265">
        <w:rPr>
          <w:rStyle w:val="Siln"/>
          <w:rFonts w:ascii="Times New Roman" w:hAnsi="Times New Roman" w:cs="Times New Roman"/>
          <w:color w:val="00000A"/>
          <w:sz w:val="20"/>
          <w:szCs w:val="20"/>
          <w:lang w:val="sk-SK"/>
        </w:rPr>
        <w:t>PhD., dekan Strojníckej fakulty</w:t>
      </w:r>
      <w:r w:rsidRPr="00EF2265">
        <w:rPr>
          <w:rFonts w:ascii="Times New Roman" w:hAnsi="Times New Roman" w:cs="Times New Roman"/>
          <w:color w:val="00000A"/>
          <w:sz w:val="20"/>
          <w:szCs w:val="20"/>
          <w:lang w:val="sk-SK"/>
        </w:rPr>
        <w:t> </w:t>
      </w:r>
      <w:r w:rsidRPr="00EF2265">
        <w:rPr>
          <w:rStyle w:val="Siln"/>
          <w:rFonts w:ascii="Times New Roman" w:hAnsi="Times New Roman" w:cs="Times New Roman"/>
          <w:color w:val="00000A"/>
          <w:sz w:val="20"/>
          <w:szCs w:val="20"/>
          <w:lang w:val="sk-SK"/>
        </w:rPr>
        <w:t>STU v Bratislave. </w:t>
      </w:r>
      <w:r w:rsidRPr="00EF2265">
        <w:rPr>
          <w:rFonts w:ascii="Times New Roman" w:hAnsi="Times New Roman" w:cs="Times New Roman"/>
          <w:color w:val="00000A"/>
          <w:sz w:val="20"/>
          <w:szCs w:val="20"/>
          <w:lang w:val="sk-SK"/>
        </w:rPr>
        <w:t>Ocenenie si prevzal  za vynikajúce výsledky a prínosy vo výskume, vývoji a návrhu nových progresívnych riešení konštrukčných uzlov, strojov, zariadení a technologických liniek vo výrobnej technike a pri zhodnocovaní odpadov.</w:t>
      </w:r>
    </w:p>
    <w:p w:rsidR="00037FBB" w:rsidRPr="008870FE" w:rsidRDefault="00037FBB" w:rsidP="00037FBB">
      <w:pPr>
        <w:pStyle w:val="Default"/>
        <w:widowControl/>
        <w:rPr>
          <w:rFonts w:ascii="Times New Roman" w:hAnsi="Times New Roman" w:cs="Times New Roman"/>
          <w:sz w:val="20"/>
          <w:szCs w:val="20"/>
          <w:lang w:val="sk-SK"/>
        </w:rPr>
      </w:pPr>
    </w:p>
    <w:p w:rsidR="00037FBB" w:rsidRPr="008870FE" w:rsidRDefault="00037FBB" w:rsidP="00037FBB">
      <w:pPr>
        <w:pStyle w:val="Default"/>
        <w:widowControl/>
        <w:rPr>
          <w:rFonts w:ascii="Times New Roman" w:hAnsi="Times New Roman" w:cs="Times New Roman"/>
          <w:sz w:val="20"/>
          <w:szCs w:val="20"/>
          <w:lang w:val="sk-SK"/>
        </w:rPr>
      </w:pPr>
      <w:r w:rsidRPr="00EF2265">
        <w:rPr>
          <w:rFonts w:ascii="Times New Roman" w:hAnsi="Times New Roman" w:cs="Times New Roman"/>
          <w:b/>
          <w:bCs/>
          <w:sz w:val="20"/>
          <w:szCs w:val="20"/>
          <w:lang w:val="sk-SK"/>
        </w:rPr>
        <w:t>Cenu Aurela Stodolu</w:t>
      </w:r>
      <w:r w:rsidRPr="00EF2265">
        <w:rPr>
          <w:rFonts w:ascii="Times New Roman" w:hAnsi="Times New Roman" w:cs="Times New Roman"/>
          <w:sz w:val="20"/>
          <w:szCs w:val="20"/>
          <w:lang w:val="sk-SK"/>
        </w:rPr>
        <w:t xml:space="preserve"> za vynikajúcu dizertačnú prácu v roku 2018 získal </w:t>
      </w:r>
      <w:r w:rsidRPr="00EF2265">
        <w:rPr>
          <w:rStyle w:val="Siln"/>
          <w:rFonts w:ascii="Times New Roman" w:hAnsi="Times New Roman" w:cs="Times New Roman"/>
          <w:sz w:val="20"/>
          <w:szCs w:val="20"/>
          <w:lang w:val="sk-SK"/>
        </w:rPr>
        <w:t>Ing.</w:t>
      </w:r>
      <w:r w:rsidRPr="00EF2265">
        <w:rPr>
          <w:rFonts w:ascii="Times New Roman" w:hAnsi="Times New Roman" w:cs="Times New Roman"/>
          <w:b/>
          <w:color w:val="00000A"/>
          <w:sz w:val="20"/>
          <w:szCs w:val="20"/>
          <w:lang w:val="sk-SK"/>
        </w:rPr>
        <w:t> </w:t>
      </w:r>
      <w:r w:rsidRPr="00EF2265">
        <w:rPr>
          <w:rStyle w:val="Siln"/>
          <w:rFonts w:ascii="Times New Roman" w:hAnsi="Times New Roman" w:cs="Times New Roman"/>
          <w:sz w:val="20"/>
          <w:szCs w:val="20"/>
          <w:lang w:val="sk-SK"/>
        </w:rPr>
        <w:t>Jozef</w:t>
      </w:r>
      <w:r w:rsidRPr="00EF2265">
        <w:rPr>
          <w:rFonts w:ascii="Times New Roman" w:hAnsi="Times New Roman" w:cs="Times New Roman"/>
          <w:b/>
          <w:color w:val="00000A"/>
          <w:sz w:val="20"/>
          <w:szCs w:val="20"/>
          <w:lang w:val="sk-SK"/>
        </w:rPr>
        <w:t> </w:t>
      </w:r>
      <w:r w:rsidRPr="00EF2265">
        <w:rPr>
          <w:rStyle w:val="Siln"/>
          <w:rFonts w:ascii="Times New Roman" w:hAnsi="Times New Roman" w:cs="Times New Roman"/>
          <w:sz w:val="20"/>
          <w:szCs w:val="20"/>
          <w:lang w:val="sk-SK"/>
        </w:rPr>
        <w:t>Bendík,</w:t>
      </w:r>
      <w:r w:rsidRPr="00EF2265">
        <w:rPr>
          <w:rFonts w:ascii="Times New Roman" w:hAnsi="Times New Roman" w:cs="Times New Roman"/>
          <w:b/>
          <w:color w:val="00000A"/>
          <w:sz w:val="20"/>
          <w:szCs w:val="20"/>
          <w:lang w:val="sk-SK"/>
        </w:rPr>
        <w:t> </w:t>
      </w:r>
      <w:r w:rsidRPr="00EF2265">
        <w:rPr>
          <w:rStyle w:val="Siln"/>
          <w:rFonts w:ascii="Times New Roman" w:hAnsi="Times New Roman" w:cs="Times New Roman"/>
          <w:sz w:val="20"/>
          <w:szCs w:val="20"/>
          <w:lang w:val="sk-SK"/>
        </w:rPr>
        <w:t>PhD.,</w:t>
      </w:r>
      <w:r w:rsidRPr="00EF2265">
        <w:rPr>
          <w:rFonts w:ascii="Times New Roman" w:hAnsi="Times New Roman" w:cs="Times New Roman"/>
          <w:sz w:val="20"/>
          <w:szCs w:val="20"/>
          <w:lang w:val="sk-SK"/>
        </w:rPr>
        <w:t xml:space="preserve"> z FEI STU za prácu Elektromagnetické polia v okolí vonkajších silových vedení. STU získalo v súťaži aj ďalšie dve ceny.</w:t>
      </w:r>
    </w:p>
    <w:p w:rsidR="00037FBB" w:rsidRPr="00EF2265" w:rsidRDefault="00037FBB" w:rsidP="00037FBB">
      <w:pPr>
        <w:pStyle w:val="Default"/>
        <w:widowControl/>
        <w:ind w:left="720"/>
        <w:rPr>
          <w:rFonts w:ascii="Times New Roman" w:hAnsi="Times New Roman" w:cs="Times New Roman"/>
          <w:color w:val="00000A"/>
          <w:sz w:val="20"/>
          <w:szCs w:val="20"/>
          <w:lang w:val="sk-SK"/>
        </w:rPr>
      </w:pPr>
    </w:p>
    <w:p w:rsidR="00037FBB" w:rsidRPr="008870FE" w:rsidRDefault="00037FBB" w:rsidP="00037FBB">
      <w:pPr>
        <w:pStyle w:val="Default"/>
        <w:widowControl/>
        <w:rPr>
          <w:rFonts w:ascii="Times New Roman" w:hAnsi="Times New Roman" w:cs="Times New Roman"/>
          <w:sz w:val="20"/>
          <w:szCs w:val="20"/>
          <w:lang w:val="sk-SK"/>
        </w:rPr>
      </w:pPr>
      <w:r w:rsidRPr="00EF2265">
        <w:rPr>
          <w:rFonts w:ascii="Times New Roman" w:hAnsi="Times New Roman" w:cs="Times New Roman"/>
          <w:color w:val="00000A"/>
          <w:sz w:val="20"/>
          <w:szCs w:val="20"/>
          <w:lang w:val="sk-SK"/>
        </w:rPr>
        <w:t xml:space="preserve">Úrad pre normalizáciu, metrológiu a skúšobníctvo Slovenskej republiky udelil </w:t>
      </w:r>
      <w:r w:rsidRPr="00EF2265">
        <w:rPr>
          <w:rFonts w:ascii="Times New Roman" w:hAnsi="Times New Roman" w:cs="Times New Roman"/>
          <w:b/>
          <w:bCs/>
          <w:color w:val="00000A"/>
          <w:sz w:val="20"/>
          <w:szCs w:val="20"/>
          <w:lang w:val="sk-SK"/>
        </w:rPr>
        <w:t>cenu za najlepší vedecký kolektív</w:t>
      </w:r>
      <w:r w:rsidRPr="00EF2265">
        <w:rPr>
          <w:rFonts w:ascii="Times New Roman" w:hAnsi="Times New Roman" w:cs="Times New Roman"/>
          <w:color w:val="00000A"/>
          <w:sz w:val="20"/>
          <w:szCs w:val="20"/>
          <w:lang w:val="sk-SK"/>
        </w:rPr>
        <w:t xml:space="preserve"> v oblasti metrológie </w:t>
      </w:r>
      <w:r w:rsidRPr="00EF2265">
        <w:rPr>
          <w:rFonts w:ascii="Times New Roman" w:hAnsi="Times New Roman" w:cs="Times New Roman"/>
          <w:b/>
          <w:bCs/>
          <w:color w:val="00000A"/>
          <w:sz w:val="20"/>
          <w:szCs w:val="20"/>
          <w:lang w:val="sk-SK"/>
        </w:rPr>
        <w:t>kolektívu prof.</w:t>
      </w:r>
      <w:r w:rsidRPr="00EF2265">
        <w:rPr>
          <w:rFonts w:ascii="Times New Roman" w:hAnsi="Times New Roman" w:cs="Times New Roman"/>
          <w:b/>
          <w:bCs/>
          <w:sz w:val="20"/>
          <w:szCs w:val="20"/>
          <w:lang w:val="sk-SK"/>
        </w:rPr>
        <w:t> </w:t>
      </w:r>
      <w:r w:rsidRPr="00EF2265">
        <w:rPr>
          <w:rFonts w:ascii="Times New Roman" w:hAnsi="Times New Roman" w:cs="Times New Roman"/>
          <w:b/>
          <w:bCs/>
          <w:color w:val="00000A"/>
          <w:sz w:val="20"/>
          <w:szCs w:val="20"/>
          <w:lang w:val="sk-SK"/>
        </w:rPr>
        <w:t>Ing. Rudolfa Palenčára, CSc.</w:t>
      </w:r>
      <w:r w:rsidRPr="00EF2265">
        <w:rPr>
          <w:rFonts w:ascii="Times New Roman" w:hAnsi="Times New Roman" w:cs="Times New Roman"/>
          <w:color w:val="00000A"/>
          <w:sz w:val="20"/>
          <w:szCs w:val="20"/>
          <w:lang w:val="sk-SK"/>
        </w:rPr>
        <w:t xml:space="preserve"> z Ústavu automatizácie, merania a aplikovanej informatiky Strojníckej fakulty STU v Bratislave.</w:t>
      </w:r>
    </w:p>
    <w:p w:rsidR="00037FBB" w:rsidRPr="00EF2265" w:rsidRDefault="00037FBB" w:rsidP="00037FBB">
      <w:pPr>
        <w:pStyle w:val="Default"/>
        <w:widowControl/>
        <w:rPr>
          <w:rFonts w:ascii="Times New Roman" w:hAnsi="Times New Roman" w:cs="Times New Roman"/>
          <w:color w:val="00000A"/>
          <w:sz w:val="20"/>
          <w:szCs w:val="20"/>
          <w:lang w:val="sk-SK"/>
        </w:rPr>
      </w:pPr>
    </w:p>
    <w:p w:rsidR="00037FBB" w:rsidRPr="008870FE" w:rsidRDefault="00037FBB" w:rsidP="00037FBB">
      <w:pPr>
        <w:pStyle w:val="Default"/>
        <w:widowControl/>
        <w:rPr>
          <w:rFonts w:ascii="Times New Roman" w:hAnsi="Times New Roman" w:cs="Times New Roman"/>
          <w:sz w:val="20"/>
          <w:szCs w:val="20"/>
          <w:lang w:val="it-IT"/>
        </w:rPr>
      </w:pPr>
      <w:r w:rsidRPr="00EF2265">
        <w:rPr>
          <w:rFonts w:ascii="Times New Roman" w:hAnsi="Times New Roman" w:cs="Times New Roman"/>
          <w:color w:val="00000A"/>
          <w:sz w:val="20"/>
          <w:szCs w:val="20"/>
          <w:lang w:val="sk-SK"/>
        </w:rPr>
        <w:t xml:space="preserve">Na 25. medzinárodnom strojárskom veľtrhu v Nitre získal exponát "Volant 4. generácie" 1. miesto v súťaži </w:t>
      </w:r>
      <w:r w:rsidRPr="00EF2265">
        <w:rPr>
          <w:rFonts w:ascii="Times New Roman" w:hAnsi="Times New Roman" w:cs="Times New Roman"/>
          <w:b/>
          <w:bCs/>
          <w:color w:val="00000A"/>
          <w:sz w:val="20"/>
          <w:szCs w:val="20"/>
          <w:lang w:val="sk-SK"/>
        </w:rPr>
        <w:t>kategória Techfórum 2018</w:t>
      </w:r>
      <w:r w:rsidRPr="00EF2265">
        <w:rPr>
          <w:rFonts w:ascii="Times New Roman" w:hAnsi="Times New Roman" w:cs="Times New Roman"/>
          <w:color w:val="00000A"/>
          <w:sz w:val="20"/>
          <w:szCs w:val="20"/>
          <w:lang w:val="sk-SK"/>
        </w:rPr>
        <w:t xml:space="preserve">. Autorom tohto integrovaného riadiaceho systému s využitím prvkov umelej inteligencie, určeného na vyobrazovanie a nastavenie parametrov monopostu je </w:t>
      </w:r>
      <w:r w:rsidRPr="00EF2265">
        <w:rPr>
          <w:rFonts w:ascii="Times New Roman" w:hAnsi="Times New Roman" w:cs="Times New Roman"/>
          <w:b/>
          <w:bCs/>
          <w:color w:val="00000A"/>
          <w:sz w:val="20"/>
          <w:szCs w:val="20"/>
          <w:lang w:val="sk-SK"/>
        </w:rPr>
        <w:t xml:space="preserve">Bc. Stanislav Zeman </w:t>
      </w:r>
      <w:r w:rsidRPr="00EF2265">
        <w:rPr>
          <w:rFonts w:ascii="Times New Roman" w:hAnsi="Times New Roman" w:cs="Times New Roman"/>
          <w:color w:val="00000A"/>
          <w:sz w:val="20"/>
          <w:szCs w:val="20"/>
          <w:lang w:val="sk-SK"/>
        </w:rPr>
        <w:t xml:space="preserve">z Ústavu automatizácie, merania a aplikovanej informatiky SjF STU. </w:t>
      </w:r>
    </w:p>
    <w:p w:rsidR="00037FBB" w:rsidRPr="00EF2265" w:rsidRDefault="00037FBB" w:rsidP="00037FBB">
      <w:pPr>
        <w:rPr>
          <w:rFonts w:ascii="Times New Roman" w:hAnsi="Times New Roman"/>
          <w:sz w:val="20"/>
          <w:szCs w:val="20"/>
        </w:rPr>
      </w:pPr>
    </w:p>
    <w:p w:rsidR="00037FBB" w:rsidRPr="00EF2265" w:rsidRDefault="00037FBB" w:rsidP="00037FBB">
      <w:pPr>
        <w:rPr>
          <w:rFonts w:ascii="Times New Roman" w:hAnsi="Times New Roman"/>
          <w:sz w:val="20"/>
          <w:szCs w:val="20"/>
        </w:rPr>
      </w:pPr>
      <w:r w:rsidRPr="00EF2265">
        <w:rPr>
          <w:rFonts w:ascii="Times New Roman" w:hAnsi="Times New Roman"/>
          <w:sz w:val="20"/>
          <w:szCs w:val="20"/>
        </w:rPr>
        <w:t xml:space="preserve">Najvyššie ocenenie v rezorte Ministerstva školstva vedy, výskumu a športu SR Malú medailu sv. Gorazda získal </w:t>
      </w:r>
      <w:r w:rsidRPr="00EF2265">
        <w:rPr>
          <w:rFonts w:ascii="Times New Roman" w:hAnsi="Times New Roman"/>
          <w:b/>
          <w:bCs/>
          <w:sz w:val="20"/>
          <w:szCs w:val="20"/>
        </w:rPr>
        <w:t>prof. Ing. Koloman Ulrich, PhD</w:t>
      </w:r>
      <w:r w:rsidRPr="00EF2265">
        <w:rPr>
          <w:rFonts w:ascii="Times New Roman" w:hAnsi="Times New Roman"/>
          <w:sz w:val="20"/>
          <w:szCs w:val="20"/>
        </w:rPr>
        <w:t>. za prácu venovanú výchove technickej inteligencie na Slovensku a rozvoju Materiálovotechnologickej fakulty STU.</w:t>
      </w:r>
    </w:p>
    <w:p w:rsidR="00037FBB" w:rsidRPr="00EF2265" w:rsidRDefault="00037FBB" w:rsidP="00037FBB">
      <w:pPr>
        <w:pStyle w:val="Odsekzoznamu"/>
        <w:spacing w:after="0" w:line="240" w:lineRule="auto"/>
        <w:rPr>
          <w:rFonts w:ascii="Times New Roman" w:hAnsi="Times New Roman"/>
          <w:sz w:val="20"/>
          <w:szCs w:val="20"/>
        </w:rPr>
      </w:pPr>
    </w:p>
    <w:p w:rsidR="00037FBB" w:rsidRPr="00EF2265" w:rsidRDefault="00037FBB" w:rsidP="00037FBB">
      <w:pPr>
        <w:pStyle w:val="Odsekzoznamu"/>
        <w:spacing w:after="0" w:line="240" w:lineRule="auto"/>
        <w:ind w:left="0"/>
        <w:rPr>
          <w:rFonts w:ascii="Times New Roman" w:hAnsi="Times New Roman"/>
          <w:sz w:val="20"/>
          <w:szCs w:val="20"/>
        </w:rPr>
      </w:pPr>
      <w:r w:rsidRPr="00EF2265">
        <w:rPr>
          <w:rFonts w:ascii="Times New Roman" w:hAnsi="Times New Roman"/>
          <w:sz w:val="20"/>
          <w:szCs w:val="20"/>
        </w:rPr>
        <w:lastRenderedPageBreak/>
        <w:t xml:space="preserve">Literárny fond ocenil dvoch vedcov z FCHPT. Prémiu za trojročný vedecký ohlas za roky 2015 – 2017 udelil </w:t>
      </w:r>
      <w:r w:rsidRPr="00EF2265">
        <w:rPr>
          <w:rFonts w:ascii="Times New Roman" w:hAnsi="Times New Roman"/>
          <w:b/>
          <w:bCs/>
          <w:sz w:val="20"/>
          <w:szCs w:val="20"/>
        </w:rPr>
        <w:t>doc. Ing. Ľubomírovi Švorcovi, PhD.</w:t>
      </w:r>
      <w:r w:rsidRPr="00EF2265">
        <w:rPr>
          <w:rFonts w:ascii="Times New Roman" w:hAnsi="Times New Roman"/>
          <w:sz w:val="20"/>
          <w:szCs w:val="20"/>
        </w:rPr>
        <w:t xml:space="preserve"> a v kategórii technické vedy a geovedy Prémiu za výnimočný vedecký ohlas na jedno dielo </w:t>
      </w:r>
      <w:r w:rsidRPr="00EF2265">
        <w:rPr>
          <w:rStyle w:val="Siln"/>
          <w:rFonts w:ascii="Times New Roman" w:eastAsiaTheme="majorEastAsia" w:hAnsi="Times New Roman"/>
          <w:iCs/>
          <w:sz w:val="20"/>
          <w:szCs w:val="20"/>
        </w:rPr>
        <w:t>doc.</w:t>
      </w:r>
      <w:r w:rsidRPr="00EF2265">
        <w:rPr>
          <w:rFonts w:ascii="Times New Roman" w:hAnsi="Times New Roman"/>
          <w:sz w:val="20"/>
          <w:szCs w:val="20"/>
        </w:rPr>
        <w:t> </w:t>
      </w:r>
      <w:r w:rsidRPr="00EF2265">
        <w:rPr>
          <w:rStyle w:val="Siln"/>
          <w:rFonts w:ascii="Times New Roman" w:eastAsiaTheme="majorEastAsia" w:hAnsi="Times New Roman"/>
          <w:iCs/>
          <w:sz w:val="20"/>
          <w:szCs w:val="20"/>
        </w:rPr>
        <w:t>Ing.</w:t>
      </w:r>
      <w:r w:rsidRPr="00EF2265">
        <w:rPr>
          <w:rFonts w:ascii="Times New Roman" w:hAnsi="Times New Roman"/>
          <w:sz w:val="20"/>
          <w:szCs w:val="20"/>
        </w:rPr>
        <w:t> </w:t>
      </w:r>
      <w:r w:rsidRPr="00EF2265">
        <w:rPr>
          <w:rStyle w:val="Siln"/>
          <w:rFonts w:ascii="Times New Roman" w:eastAsiaTheme="majorEastAsia" w:hAnsi="Times New Roman"/>
          <w:iCs/>
          <w:sz w:val="20"/>
          <w:szCs w:val="20"/>
        </w:rPr>
        <w:t>Michalovi</w:t>
      </w:r>
      <w:r w:rsidRPr="00EF2265">
        <w:rPr>
          <w:rFonts w:ascii="Times New Roman" w:hAnsi="Times New Roman"/>
          <w:sz w:val="20"/>
          <w:szCs w:val="20"/>
        </w:rPr>
        <w:t> </w:t>
      </w:r>
      <w:r w:rsidRPr="00EF2265">
        <w:rPr>
          <w:rStyle w:val="Siln"/>
          <w:rFonts w:ascii="Times New Roman" w:eastAsiaTheme="majorEastAsia" w:hAnsi="Times New Roman"/>
          <w:iCs/>
          <w:sz w:val="20"/>
          <w:szCs w:val="20"/>
        </w:rPr>
        <w:t>Kvasnicovi,</w:t>
      </w:r>
      <w:r w:rsidRPr="00EF2265">
        <w:rPr>
          <w:rFonts w:ascii="Times New Roman" w:hAnsi="Times New Roman"/>
          <w:sz w:val="20"/>
          <w:szCs w:val="20"/>
        </w:rPr>
        <w:t> </w:t>
      </w:r>
      <w:r w:rsidRPr="00EF2265">
        <w:rPr>
          <w:rStyle w:val="Siln"/>
          <w:rFonts w:ascii="Times New Roman" w:eastAsiaTheme="majorEastAsia" w:hAnsi="Times New Roman"/>
          <w:iCs/>
          <w:sz w:val="20"/>
          <w:szCs w:val="20"/>
        </w:rPr>
        <w:t>PhD.</w:t>
      </w:r>
    </w:p>
    <w:p w:rsidR="00037FBB" w:rsidRPr="00EF2265" w:rsidRDefault="00037FBB" w:rsidP="00037FBB">
      <w:pPr>
        <w:pStyle w:val="Odsekzoznamu"/>
        <w:spacing w:after="0" w:line="240" w:lineRule="auto"/>
        <w:rPr>
          <w:rStyle w:val="Siln"/>
          <w:rFonts w:ascii="Times New Roman" w:eastAsiaTheme="majorEastAsia" w:hAnsi="Times New Roman"/>
          <w:sz w:val="20"/>
          <w:szCs w:val="20"/>
        </w:rPr>
      </w:pPr>
    </w:p>
    <w:p w:rsidR="00037FBB" w:rsidRPr="00EF2265" w:rsidRDefault="00037FBB" w:rsidP="00037FBB">
      <w:pPr>
        <w:pStyle w:val="Odsekzoznamu"/>
        <w:spacing w:after="0" w:line="240" w:lineRule="auto"/>
        <w:ind w:left="0"/>
        <w:rPr>
          <w:rFonts w:ascii="Times New Roman" w:hAnsi="Times New Roman"/>
          <w:sz w:val="20"/>
          <w:szCs w:val="20"/>
        </w:rPr>
      </w:pPr>
      <w:r w:rsidRPr="00EF2265">
        <w:rPr>
          <w:rFonts w:ascii="Times New Roman" w:hAnsi="Times New Roman"/>
          <w:sz w:val="20"/>
          <w:szCs w:val="20"/>
        </w:rPr>
        <w:t xml:space="preserve">V oboch doterajších ročníkoch získala STU ocenenie v súťaži </w:t>
      </w:r>
      <w:r w:rsidRPr="00EF2265">
        <w:rPr>
          <w:rFonts w:ascii="Times New Roman" w:hAnsi="Times New Roman"/>
          <w:b/>
          <w:bCs/>
          <w:sz w:val="20"/>
          <w:szCs w:val="20"/>
        </w:rPr>
        <w:t>Pre ženy vo vede</w:t>
      </w:r>
      <w:r w:rsidRPr="00EF2265">
        <w:rPr>
          <w:rFonts w:ascii="Times New Roman" w:hAnsi="Times New Roman"/>
          <w:sz w:val="20"/>
          <w:szCs w:val="20"/>
        </w:rPr>
        <w:t xml:space="preserve"> pod záštitou UNESCO. V roku 2017 </w:t>
      </w:r>
      <w:r w:rsidRPr="00EF2265">
        <w:rPr>
          <w:rFonts w:ascii="Times New Roman" w:hAnsi="Times New Roman"/>
          <w:b/>
          <w:bCs/>
          <w:sz w:val="20"/>
          <w:szCs w:val="20"/>
        </w:rPr>
        <w:t>Ing. Zuzana Barbieriková, PhD.</w:t>
      </w:r>
      <w:r w:rsidRPr="00EF2265">
        <w:rPr>
          <w:rFonts w:ascii="Times New Roman" w:hAnsi="Times New Roman"/>
          <w:sz w:val="20"/>
          <w:szCs w:val="20"/>
        </w:rPr>
        <w:t xml:space="preserve"> a v roku 2018 </w:t>
      </w:r>
      <w:r w:rsidRPr="00EF2265">
        <w:rPr>
          <w:rFonts w:ascii="Times New Roman" w:hAnsi="Times New Roman"/>
          <w:b/>
          <w:bCs/>
          <w:sz w:val="20"/>
          <w:szCs w:val="20"/>
        </w:rPr>
        <w:t>doc. Mgr. Mariana Derzsi, PhD.</w:t>
      </w:r>
      <w:r w:rsidRPr="00EF2265">
        <w:rPr>
          <w:rFonts w:ascii="Times New Roman" w:hAnsi="Times New Roman"/>
          <w:sz w:val="20"/>
          <w:szCs w:val="20"/>
        </w:rPr>
        <w:t xml:space="preserve"> z Ústavu výskumu progresívnych technológií MTF STU za výskum nových materiálov s výnimočnými magnetickými a elektrickými vlastnosťami na báze striebra a chlóru pomocou metód počítačom asistovaného materiálového designu na atómovej úrovni.</w:t>
      </w:r>
    </w:p>
    <w:p w:rsidR="00037FBB" w:rsidRPr="00EF2265" w:rsidRDefault="00037FBB" w:rsidP="00037FBB">
      <w:pPr>
        <w:pStyle w:val="Odsekzoznamu"/>
        <w:spacing w:after="0" w:line="240" w:lineRule="auto"/>
        <w:ind w:left="0"/>
        <w:rPr>
          <w:rFonts w:ascii="Times New Roman" w:hAnsi="Times New Roman"/>
          <w:sz w:val="20"/>
          <w:szCs w:val="20"/>
        </w:rPr>
      </w:pPr>
    </w:p>
    <w:p w:rsidR="00037FBB" w:rsidRPr="00EF2265" w:rsidRDefault="00037FBB" w:rsidP="00037FBB">
      <w:pPr>
        <w:pStyle w:val="Odsekzoznamu"/>
        <w:spacing w:after="0" w:line="240" w:lineRule="auto"/>
        <w:ind w:left="0"/>
        <w:rPr>
          <w:rFonts w:ascii="Times New Roman" w:hAnsi="Times New Roman"/>
          <w:sz w:val="20"/>
          <w:szCs w:val="20"/>
        </w:rPr>
      </w:pPr>
    </w:p>
    <w:p w:rsidR="00037FBB" w:rsidRPr="00EF2265" w:rsidRDefault="00037FBB" w:rsidP="00037FBB">
      <w:pPr>
        <w:pStyle w:val="Odsekzoznamu"/>
        <w:spacing w:after="0" w:line="240" w:lineRule="auto"/>
        <w:ind w:left="0"/>
        <w:rPr>
          <w:rFonts w:ascii="Times New Roman" w:hAnsi="Times New Roman"/>
          <w:sz w:val="20"/>
          <w:szCs w:val="20"/>
        </w:rPr>
      </w:pPr>
      <w:r w:rsidRPr="00EF2265">
        <w:rPr>
          <w:rFonts w:ascii="Times New Roman" w:hAnsi="Times New Roman"/>
          <w:b/>
          <w:bCs/>
          <w:sz w:val="20"/>
          <w:szCs w:val="20"/>
        </w:rPr>
        <w:t>Prezentovanie výskumu v prestížnych vedeckých periodikách</w:t>
      </w:r>
      <w:r w:rsidRPr="00EF2265">
        <w:rPr>
          <w:rFonts w:ascii="Times New Roman" w:hAnsi="Times New Roman"/>
          <w:sz w:val="20"/>
          <w:szCs w:val="20"/>
        </w:rPr>
        <w:br/>
        <w:t xml:space="preserve">Časopisy NATURE a SCIENCE sú najprestížnejšie vedecké periodiká a prezentovať výsledky výskumu v týchto časopisoch sa slovenským vedcom podarí zriedka. Vedci z STU sa presadili aj v týchto časopisoch. V roku 2016 to bolo v časopise NATURE a v 2017 v časopise SCIENCE. V roku 2018 znovu v časopise SCIENCE, v rámci autorského kolektívu publikoval článok výskumník zo SvF </w:t>
      </w:r>
      <w:r w:rsidRPr="00EF2265">
        <w:rPr>
          <w:rFonts w:ascii="Times New Roman" w:hAnsi="Times New Roman"/>
          <w:b/>
          <w:bCs/>
          <w:sz w:val="20"/>
          <w:szCs w:val="20"/>
        </w:rPr>
        <w:t xml:space="preserve">Ing. Tibor Lieskovský, PhD. </w:t>
      </w:r>
      <w:r w:rsidRPr="00EF2265">
        <w:rPr>
          <w:rFonts w:ascii="Times New Roman" w:hAnsi="Times New Roman"/>
          <w:sz w:val="20"/>
          <w:szCs w:val="20"/>
        </w:rPr>
        <w:t>Článok prezentuje výsledky prelomového výskumu mayskej civilizácie založené na výsledkoch laserového scanovania pralesa. Slovenský tím zohrával pri tomto  medzinárodnom výskume podstatnú úlohu. Z územia, ktoré samostatne spracoval (160 km</w:t>
      </w:r>
      <w:r w:rsidRPr="00EF2265">
        <w:rPr>
          <w:rFonts w:ascii="Times New Roman" w:hAnsi="Times New Roman"/>
          <w:sz w:val="20"/>
          <w:szCs w:val="20"/>
          <w:vertAlign w:val="superscript"/>
        </w:rPr>
        <w:t>2</w:t>
      </w:r>
      <w:r w:rsidRPr="00EF2265">
        <w:rPr>
          <w:rFonts w:ascii="Times New Roman" w:hAnsi="Times New Roman"/>
          <w:sz w:val="20"/>
          <w:szCs w:val="20"/>
        </w:rPr>
        <w:t xml:space="preserve">), </w:t>
      </w:r>
      <w:r w:rsidRPr="00EF2265">
        <w:rPr>
          <w:rFonts w:ascii="Times New Roman" w:hAnsi="Times New Roman"/>
          <w:bCs/>
          <w:sz w:val="20"/>
          <w:szCs w:val="20"/>
        </w:rPr>
        <w:t>dokázal identifikovať až 5 112 nových mayských stavieb a okrem nich až 6 080 poľnohospodárskych terás. O úspešnom výskume informovali aj viaceré slovenské médiá.</w:t>
      </w:r>
    </w:p>
    <w:p w:rsidR="00037FBB" w:rsidRPr="00EF2265" w:rsidRDefault="00037FBB" w:rsidP="00037FBB">
      <w:pPr>
        <w:pStyle w:val="Default"/>
        <w:widowControl/>
        <w:rPr>
          <w:rFonts w:ascii="Times New Roman" w:hAnsi="Times New Roman" w:cs="Times New Roman"/>
          <w:color w:val="00000A"/>
          <w:sz w:val="20"/>
          <w:szCs w:val="20"/>
          <w:lang w:val="sk-SK"/>
        </w:rPr>
      </w:pPr>
    </w:p>
    <w:p w:rsidR="00037FBB" w:rsidRPr="00EF2265" w:rsidRDefault="00037FBB" w:rsidP="00037FBB">
      <w:pPr>
        <w:pStyle w:val="Default"/>
        <w:widowControl/>
        <w:rPr>
          <w:rFonts w:ascii="Times New Roman" w:hAnsi="Times New Roman" w:cs="Times New Roman"/>
          <w:color w:val="00000A"/>
          <w:sz w:val="20"/>
          <w:szCs w:val="20"/>
          <w:lang w:val="sk-SK"/>
        </w:rPr>
      </w:pPr>
    </w:p>
    <w:p w:rsidR="00037FBB" w:rsidRPr="00EF2265" w:rsidRDefault="00037FBB" w:rsidP="00037FBB">
      <w:pPr>
        <w:jc w:val="left"/>
        <w:rPr>
          <w:rFonts w:ascii="Times New Roman" w:hAnsi="Times New Roman"/>
          <w:b/>
          <w:bCs/>
          <w:sz w:val="20"/>
          <w:szCs w:val="20"/>
        </w:rPr>
      </w:pPr>
      <w:r w:rsidRPr="00EF2265">
        <w:rPr>
          <w:rFonts w:ascii="Times New Roman" w:hAnsi="Times New Roman"/>
          <w:b/>
          <w:bCs/>
          <w:sz w:val="20"/>
          <w:szCs w:val="20"/>
        </w:rPr>
        <w:t>Motivačné nástroje a podpora výskumníkov</w:t>
      </w:r>
    </w:p>
    <w:p w:rsidR="00037FBB" w:rsidRPr="00EF2265" w:rsidRDefault="00037FBB" w:rsidP="00037FBB">
      <w:pPr>
        <w:jc w:val="left"/>
        <w:rPr>
          <w:rFonts w:ascii="Times New Roman" w:hAnsi="Times New Roman"/>
          <w:sz w:val="20"/>
          <w:szCs w:val="20"/>
        </w:rPr>
      </w:pPr>
      <w:r w:rsidRPr="00EF2265">
        <w:rPr>
          <w:rFonts w:ascii="Times New Roman" w:eastAsia="Times New Roman" w:hAnsi="Times New Roman"/>
          <w:sz w:val="20"/>
          <w:szCs w:val="20"/>
          <w:lang w:eastAsia="sk-SK"/>
        </w:rPr>
        <w:t xml:space="preserve">Program na podporu mladých výskumníkov je jedným z viacerých motivačných nástrojov STU. V roku 2018 už deviaty rok mladí vedci so svojimi projektmi uspeli v súťaži v rámci schémy Programu na podporu mladých výskumníkov a dostali od STU granty na riešenie vedecko-výskumných projektov. V súlade s platnou smernicou mladí zamestnanci (PhD. študenti a zamestnanci do 30 rokov) podali spolu 141 projektov, z čoho 113 projektov bolo financovaných. STU na tento účel vyčlenila 112 190,- eur. Úspešnosť fakúlt a ÚM v uvedenom programe je nasledovná: SvF 32 projektov, SjF 6 projektov, FEI 9, FCHPT 31 projektov, FA 5, MTF 15, FIIT 14 a ÚM 1 projekt. </w:t>
      </w:r>
      <w:r w:rsidRPr="00EF2265">
        <w:rPr>
          <w:rFonts w:ascii="Times New Roman" w:eastAsia="Times New Roman" w:hAnsi="Times New Roman"/>
          <w:bCs/>
          <w:sz w:val="20"/>
          <w:szCs w:val="20"/>
          <w:lang w:eastAsia="sk-SK"/>
        </w:rPr>
        <w:t xml:space="preserve">Ďalšou podporou mladých výskumníkov je nadstavba programu mladých, </w:t>
      </w:r>
      <w:r w:rsidRPr="00EF2265">
        <w:rPr>
          <w:rFonts w:ascii="Times New Roman" w:eastAsia="Times New Roman" w:hAnsi="Times New Roman"/>
          <w:b/>
          <w:bCs/>
          <w:sz w:val="20"/>
          <w:szCs w:val="20"/>
          <w:lang w:eastAsia="sk-SK"/>
        </w:rPr>
        <w:t>Grantová schéma na podporu</w:t>
      </w:r>
      <w:r w:rsidRPr="00EF2265">
        <w:rPr>
          <w:rFonts w:ascii="Times New Roman" w:eastAsia="Times New Roman" w:hAnsi="Times New Roman"/>
          <w:bCs/>
          <w:sz w:val="20"/>
          <w:szCs w:val="20"/>
          <w:lang w:eastAsia="sk-SK"/>
        </w:rPr>
        <w:t xml:space="preserve"> </w:t>
      </w:r>
      <w:r w:rsidRPr="00EF2265">
        <w:rPr>
          <w:rFonts w:ascii="Times New Roman" w:eastAsia="Times New Roman" w:hAnsi="Times New Roman"/>
          <w:b/>
          <w:sz w:val="20"/>
          <w:szCs w:val="20"/>
          <w:lang w:eastAsia="sk-SK"/>
        </w:rPr>
        <w:t>excelentných tímov mladých výskumníkov</w:t>
      </w:r>
      <w:r w:rsidRPr="00EF2265">
        <w:rPr>
          <w:rFonts w:ascii="Times New Roman" w:eastAsia="Times New Roman" w:hAnsi="Times New Roman"/>
          <w:sz w:val="20"/>
          <w:szCs w:val="20"/>
          <w:lang w:eastAsia="sk-SK"/>
        </w:rPr>
        <w:t xml:space="preserve"> v podmienkach Slovenskej technickej univerzity v Bratislave. V roku 2018 pokračoval program štvrtým ročníkom. Celkovo bolo podaných 27 projektov zo všetkých fakúlt (okrem FA) a z Ústavu manažmentu. Najviac žiadostí o grant podala FCHPT (10), MTF (6) a SjF (5). Po dva návrhy pripravili SvF, FEI a po jednom FIIT a ÚM. Financovaných bolo 7 projektov v celkovej hodnote 41 000 EUR. </w:t>
      </w:r>
    </w:p>
    <w:p w:rsidR="00037FBB" w:rsidRPr="00EF2265" w:rsidRDefault="00037FBB" w:rsidP="00037FBB">
      <w:pPr>
        <w:jc w:val="left"/>
        <w:rPr>
          <w:rFonts w:ascii="Times New Roman" w:eastAsia="Times New Roman" w:hAnsi="Times New Roman"/>
          <w:sz w:val="20"/>
          <w:szCs w:val="20"/>
          <w:lang w:eastAsia="sk-SK"/>
        </w:rPr>
      </w:pPr>
    </w:p>
    <w:p w:rsidR="00037FBB" w:rsidRPr="008870FE" w:rsidRDefault="00037FBB" w:rsidP="00037FBB">
      <w:pPr>
        <w:pStyle w:val="Default"/>
        <w:rPr>
          <w:rFonts w:ascii="Times New Roman" w:hAnsi="Times New Roman" w:cs="Times New Roman"/>
          <w:b/>
          <w:sz w:val="20"/>
          <w:szCs w:val="20"/>
          <w:lang w:val="sk-SK"/>
        </w:rPr>
      </w:pPr>
      <w:r w:rsidRPr="00EF2265">
        <w:rPr>
          <w:rStyle w:val="Siln"/>
          <w:rFonts w:ascii="Times New Roman" w:hAnsi="Times New Roman" w:cs="Times New Roman"/>
          <w:iCs/>
          <w:color w:val="00000A"/>
          <w:sz w:val="20"/>
          <w:szCs w:val="20"/>
          <w:lang w:val="sk-SK"/>
        </w:rPr>
        <w:t xml:space="preserve">Ďalšou významnou podporou mladých vedeckých pracovníkov STU je program začatý v roku 2014, </w:t>
      </w:r>
      <w:r w:rsidRPr="00EF2265">
        <w:rPr>
          <w:rStyle w:val="Siln"/>
          <w:rFonts w:ascii="Times New Roman" w:hAnsi="Times New Roman" w:cs="Times New Roman"/>
          <w:b w:val="0"/>
          <w:bCs w:val="0"/>
          <w:iCs/>
          <w:color w:val="00000A"/>
          <w:sz w:val="20"/>
          <w:szCs w:val="20"/>
          <w:lang w:val="sk-SK"/>
        </w:rPr>
        <w:t>Postdoktorandské pracovné pobyty pre mladých pracovníkov do 35 rokov.</w:t>
      </w:r>
      <w:r w:rsidRPr="00EF2265">
        <w:rPr>
          <w:rStyle w:val="Siln"/>
          <w:rFonts w:ascii="Times New Roman" w:hAnsi="Times New Roman" w:cs="Times New Roman"/>
          <w:iCs/>
          <w:color w:val="00000A"/>
          <w:sz w:val="20"/>
          <w:szCs w:val="20"/>
          <w:lang w:val="sk-SK"/>
        </w:rPr>
        <w:t> </w:t>
      </w:r>
      <w:r w:rsidRPr="00EF2265">
        <w:rPr>
          <w:rStyle w:val="Siln"/>
          <w:rFonts w:ascii="Times New Roman" w:hAnsi="Times New Roman" w:cs="Times New Roman"/>
          <w:b w:val="0"/>
          <w:iCs/>
          <w:color w:val="00000A"/>
          <w:sz w:val="20"/>
          <w:szCs w:val="20"/>
          <w:lang w:val="sk-SK"/>
        </w:rPr>
        <w:t xml:space="preserve">V roku 2016 prví piati postdoktorandi úspešne ukončili svoje dvojročné pobyty. Doteraz absolvovalo program 15 postdoktorandov. </w:t>
      </w:r>
      <w:r w:rsidRPr="00EF2265">
        <w:rPr>
          <w:rStyle w:val="Siln"/>
          <w:rFonts w:ascii="Times New Roman" w:eastAsia="Times New Roman" w:hAnsi="Times New Roman" w:cs="Times New Roman"/>
          <w:b w:val="0"/>
          <w:iCs/>
          <w:color w:val="00000A"/>
          <w:sz w:val="20"/>
          <w:szCs w:val="20"/>
          <w:lang w:val="sk-SK" w:eastAsia="sk-SK"/>
        </w:rPr>
        <w:t>V roku 2018 bola vyhlásená piata výzva na štyri aktuálne témy postdoktorandských pracovných pobytov. Z jedenástich návrhov bolo vybraných 5 návrhov.</w:t>
      </w:r>
    </w:p>
    <w:p w:rsidR="00037FBB" w:rsidRPr="008870FE" w:rsidRDefault="00037FBB" w:rsidP="00037FBB">
      <w:pPr>
        <w:pStyle w:val="Default"/>
        <w:rPr>
          <w:rStyle w:val="Siln"/>
          <w:rFonts w:ascii="Times New Roman" w:hAnsi="Times New Roman" w:cs="Times New Roman"/>
          <w:sz w:val="20"/>
          <w:szCs w:val="20"/>
          <w:lang w:val="sk-SK"/>
        </w:rPr>
      </w:pPr>
    </w:p>
    <w:p w:rsidR="00037FBB" w:rsidRPr="00EF2265" w:rsidRDefault="00037FBB" w:rsidP="00037FBB">
      <w:pPr>
        <w:pStyle w:val="Odsekzoznamu"/>
        <w:ind w:left="0"/>
        <w:rPr>
          <w:rStyle w:val="Siln"/>
          <w:rFonts w:ascii="Times New Roman" w:eastAsiaTheme="majorEastAsia" w:hAnsi="Times New Roman"/>
          <w:iCs/>
          <w:color w:val="000000"/>
          <w:sz w:val="20"/>
          <w:szCs w:val="20"/>
        </w:rPr>
      </w:pPr>
    </w:p>
    <w:p w:rsidR="00037FBB" w:rsidRPr="00EF2265" w:rsidRDefault="00037FBB" w:rsidP="00037FBB">
      <w:pPr>
        <w:pStyle w:val="Odsekzoznamu"/>
        <w:ind w:left="0"/>
        <w:rPr>
          <w:rFonts w:ascii="Times New Roman" w:hAnsi="Times New Roman"/>
          <w:b/>
          <w:sz w:val="20"/>
          <w:szCs w:val="20"/>
        </w:rPr>
      </w:pPr>
      <w:r w:rsidRPr="00EF2265">
        <w:rPr>
          <w:rStyle w:val="Siln"/>
          <w:rFonts w:ascii="Times New Roman" w:hAnsi="Times New Roman"/>
          <w:bCs w:val="0"/>
          <w:iCs/>
          <w:color w:val="000000"/>
          <w:sz w:val="20"/>
          <w:szCs w:val="20"/>
        </w:rPr>
        <w:t>Univerzitný technologický inkubátor STU</w:t>
      </w:r>
      <w:r w:rsidRPr="00EF2265">
        <w:rPr>
          <w:rStyle w:val="Siln"/>
          <w:rFonts w:ascii="Times New Roman" w:hAnsi="Times New Roman"/>
          <w:iCs/>
          <w:color w:val="000000"/>
          <w:sz w:val="20"/>
          <w:szCs w:val="20"/>
        </w:rPr>
        <w:t xml:space="preserve"> </w:t>
      </w:r>
      <w:r w:rsidRPr="00EF2265">
        <w:rPr>
          <w:rStyle w:val="Siln"/>
          <w:rFonts w:ascii="Times New Roman" w:hAnsi="Times New Roman"/>
          <w:iCs/>
          <w:color w:val="000000"/>
          <w:sz w:val="20"/>
          <w:szCs w:val="20"/>
        </w:rPr>
        <w:br/>
      </w:r>
      <w:r w:rsidRPr="00EF2265">
        <w:rPr>
          <w:rStyle w:val="Siln"/>
          <w:rFonts w:ascii="Times New Roman" w:hAnsi="Times New Roman"/>
          <w:b w:val="0"/>
          <w:iCs/>
          <w:color w:val="000000"/>
          <w:sz w:val="20"/>
          <w:szCs w:val="20"/>
        </w:rPr>
        <w:t xml:space="preserve">Za vyše 13 rokov svojho fungovania podporil k 31.12.2018 v programe InQb 58 inkubovaných firiem. 55 z týchto firiem je i naďalej hospodársky činná. Inkubátor prispel k vytvoreniu 207 pracovných miest. V programe Start-up kancelárie inkubátor od svojho založenia podporil 35 projektov (58 frekventantov). </w:t>
      </w:r>
    </w:p>
    <w:p w:rsidR="00037FBB" w:rsidRPr="00EF2265" w:rsidRDefault="00037FBB" w:rsidP="00037FBB">
      <w:pPr>
        <w:jc w:val="left"/>
        <w:rPr>
          <w:rFonts w:ascii="Times New Roman" w:hAnsi="Times New Roman"/>
          <w:sz w:val="20"/>
          <w:szCs w:val="20"/>
        </w:rPr>
      </w:pPr>
      <w:r w:rsidRPr="00EF2265">
        <w:rPr>
          <w:rFonts w:ascii="Times New Roman" w:hAnsi="Times New Roman"/>
          <w:b/>
          <w:bCs/>
          <w:sz w:val="20"/>
          <w:szCs w:val="20"/>
        </w:rPr>
        <w:t>STU Scientific, s. r. o.</w:t>
      </w:r>
      <w:r w:rsidRPr="00EF2265">
        <w:rPr>
          <w:rFonts w:ascii="Times New Roman" w:hAnsi="Times New Roman"/>
          <w:b/>
          <w:bCs/>
          <w:sz w:val="20"/>
          <w:szCs w:val="20"/>
        </w:rPr>
        <w:br/>
      </w:r>
      <w:r w:rsidRPr="00EF2265">
        <w:rPr>
          <w:rFonts w:ascii="Times New Roman" w:hAnsi="Times New Roman"/>
          <w:sz w:val="20"/>
          <w:szCs w:val="20"/>
        </w:rPr>
        <w:t xml:space="preserve">Transfer poznatkov z akademickej pôdy do hospodárskej praxe prostredníctvom spin-off spoločností s majetkovou účasťou univerzity je jedným zo spôsobov ekonomického zhodnocovania duševného vlastníctva. V prípade STU podporu pri zakladaní a rozvoji spin-off spoločností poskytuje špecializované pracovisko univerzity – </w:t>
      </w:r>
      <w:r w:rsidRPr="00EF2265">
        <w:rPr>
          <w:rFonts w:ascii="Times New Roman" w:hAnsi="Times New Roman"/>
          <w:b/>
          <w:bCs/>
          <w:sz w:val="20"/>
          <w:szCs w:val="20"/>
        </w:rPr>
        <w:t>STU Scientific, s. r. o.</w:t>
      </w:r>
    </w:p>
    <w:p w:rsidR="00037FBB" w:rsidRPr="00EF2265" w:rsidRDefault="00037FBB" w:rsidP="00037FBB">
      <w:pPr>
        <w:jc w:val="left"/>
        <w:rPr>
          <w:rFonts w:ascii="Times New Roman" w:hAnsi="Times New Roman"/>
          <w:b/>
          <w:sz w:val="20"/>
          <w:szCs w:val="20"/>
        </w:rPr>
      </w:pPr>
      <w:r w:rsidRPr="00EF2265">
        <w:rPr>
          <w:rStyle w:val="Siln"/>
          <w:rFonts w:ascii="Times New Roman" w:eastAsia="Times New Roman" w:hAnsi="Times New Roman"/>
          <w:b w:val="0"/>
          <w:iCs/>
          <w:color w:val="000000"/>
          <w:sz w:val="20"/>
          <w:szCs w:val="20"/>
          <w:lang w:eastAsia="sk-SK"/>
        </w:rPr>
        <w:t xml:space="preserve">V priebehu roka 2018 pracovalo v prostredí STU 5 inovatívnych spin-off spoločností </w:t>
      </w:r>
      <w:r w:rsidRPr="00EF2265">
        <w:rPr>
          <w:rStyle w:val="Siln"/>
          <w:rFonts w:ascii="Times New Roman" w:eastAsia="Times New Roman" w:hAnsi="Times New Roman"/>
          <w:iCs/>
          <w:color w:val="000000"/>
          <w:sz w:val="20"/>
          <w:szCs w:val="20"/>
          <w:lang w:eastAsia="sk-SK"/>
        </w:rPr>
        <w:t xml:space="preserve">s </w:t>
      </w:r>
      <w:r w:rsidRPr="00EF2265">
        <w:rPr>
          <w:rStyle w:val="Siln"/>
          <w:rFonts w:ascii="Times New Roman" w:eastAsia="Times New Roman" w:hAnsi="Times New Roman"/>
          <w:b w:val="0"/>
          <w:iCs/>
          <w:color w:val="000000"/>
          <w:sz w:val="20"/>
          <w:szCs w:val="20"/>
          <w:lang w:eastAsia="sk-SK"/>
        </w:rPr>
        <w:t xml:space="preserve">majetkovou účasťou STU, ktoré založili pracovníci STU na základe výsledkov vlastného výskumu. </w:t>
      </w:r>
    </w:p>
    <w:p w:rsidR="00037FBB" w:rsidRPr="00EF2265" w:rsidRDefault="00037FBB" w:rsidP="00037FBB">
      <w:pPr>
        <w:jc w:val="left"/>
        <w:rPr>
          <w:rStyle w:val="Siln"/>
          <w:rFonts w:ascii="Times New Roman" w:hAnsi="Times New Roman"/>
          <w:b w:val="0"/>
          <w:sz w:val="20"/>
          <w:szCs w:val="20"/>
        </w:rPr>
      </w:pPr>
    </w:p>
    <w:p w:rsidR="00037FBB" w:rsidRPr="00EF2265" w:rsidRDefault="00037FBB" w:rsidP="00037FBB">
      <w:pPr>
        <w:jc w:val="left"/>
        <w:rPr>
          <w:rFonts w:ascii="Times New Roman" w:hAnsi="Times New Roman"/>
          <w:sz w:val="20"/>
          <w:szCs w:val="20"/>
        </w:rPr>
      </w:pPr>
      <w:r w:rsidRPr="00EF2265">
        <w:rPr>
          <w:rFonts w:ascii="Times New Roman" w:hAnsi="Times New Roman"/>
          <w:b/>
          <w:bCs/>
          <w:sz w:val="20"/>
          <w:szCs w:val="20"/>
        </w:rPr>
        <w:br/>
        <w:t>Udelenie titulov</w:t>
      </w:r>
      <w:r w:rsidRPr="00EF2265">
        <w:rPr>
          <w:rFonts w:ascii="Times New Roman" w:hAnsi="Times New Roman"/>
          <w:sz w:val="20"/>
          <w:szCs w:val="20"/>
        </w:rPr>
        <w:br/>
        <w:t xml:space="preserve">Na zasadnutiach Vedeckej rady STU (VR STU) boli prerokované návrhy na vymenovanie za profesora, ktoré predkladali dekani fakúlt. Spolu bolo prerokovaných </w:t>
      </w:r>
      <w:r w:rsidRPr="00EF2265">
        <w:rPr>
          <w:rFonts w:ascii="Times New Roman" w:hAnsi="Times New Roman"/>
          <w:b/>
          <w:bCs/>
          <w:sz w:val="20"/>
          <w:szCs w:val="20"/>
        </w:rPr>
        <w:t>8 návrhov</w:t>
      </w:r>
      <w:r w:rsidRPr="00EF2265">
        <w:rPr>
          <w:rFonts w:ascii="Times New Roman" w:hAnsi="Times New Roman"/>
          <w:sz w:val="20"/>
          <w:szCs w:val="20"/>
        </w:rPr>
        <w:t xml:space="preserve"> (tab. č. 6.1). Schválené návrhy boli predsedom VR STU postúpené na MŠVVaŠ SR. V roku 2018 rektor STU vymenoval </w:t>
      </w:r>
      <w:r w:rsidRPr="00EF2265">
        <w:rPr>
          <w:rFonts w:ascii="Times New Roman" w:hAnsi="Times New Roman"/>
          <w:b/>
          <w:bCs/>
          <w:sz w:val="20"/>
          <w:szCs w:val="20"/>
        </w:rPr>
        <w:t>20 docentov</w:t>
      </w:r>
      <w:r w:rsidRPr="00EF2265">
        <w:rPr>
          <w:rFonts w:ascii="Times New Roman" w:hAnsi="Times New Roman"/>
          <w:sz w:val="20"/>
          <w:szCs w:val="20"/>
        </w:rPr>
        <w:t>, z toho 2 docenti boli z iných organizácií.</w:t>
      </w:r>
    </w:p>
    <w:p w:rsidR="00037FBB" w:rsidRPr="00EF2265" w:rsidRDefault="00037FBB" w:rsidP="00037FBB">
      <w:pPr>
        <w:jc w:val="left"/>
        <w:rPr>
          <w:rFonts w:ascii="Times New Roman" w:hAnsi="Times New Roman"/>
          <w:sz w:val="20"/>
          <w:szCs w:val="20"/>
        </w:rPr>
      </w:pPr>
    </w:p>
    <w:p w:rsidR="00037FBB" w:rsidRPr="00EF2265" w:rsidRDefault="00037FBB" w:rsidP="00037FBB">
      <w:pPr>
        <w:jc w:val="left"/>
        <w:rPr>
          <w:rFonts w:ascii="Times New Roman" w:hAnsi="Times New Roman"/>
          <w:sz w:val="20"/>
          <w:szCs w:val="20"/>
        </w:rPr>
      </w:pPr>
      <w:r w:rsidRPr="00EF2265">
        <w:rPr>
          <w:rFonts w:ascii="Times New Roman" w:hAnsi="Times New Roman"/>
          <w:sz w:val="20"/>
          <w:szCs w:val="20"/>
        </w:rPr>
        <w:lastRenderedPageBreak/>
        <w:t>Na zasadnutí Vedeckej rady STU dňa 14.3.2018 bol prerokovaný a schválený návrh na udelenie titulu „doctor honoris causa“</w:t>
      </w:r>
      <w:r w:rsidR="003D0A9C" w:rsidRPr="00EF2265">
        <w:rPr>
          <w:rFonts w:ascii="Times New Roman" w:hAnsi="Times New Roman"/>
          <w:sz w:val="20"/>
          <w:szCs w:val="20"/>
        </w:rPr>
        <w:t xml:space="preserve"> </w:t>
      </w:r>
      <w:r w:rsidRPr="00EF2265">
        <w:rPr>
          <w:rFonts w:ascii="Times New Roman" w:hAnsi="Times New Roman"/>
          <w:b/>
          <w:bCs/>
          <w:sz w:val="20"/>
          <w:szCs w:val="20"/>
        </w:rPr>
        <w:t>prof. Bebo</w:t>
      </w:r>
      <w:r w:rsidR="003D0A9C" w:rsidRPr="00EF2265">
        <w:rPr>
          <w:rFonts w:ascii="Times New Roman" w:hAnsi="Times New Roman"/>
          <w:b/>
          <w:bCs/>
          <w:sz w:val="20"/>
          <w:szCs w:val="20"/>
        </w:rPr>
        <w:t>vi</w:t>
      </w:r>
      <w:r w:rsidRPr="00EF2265">
        <w:rPr>
          <w:rFonts w:ascii="Times New Roman" w:hAnsi="Times New Roman"/>
          <w:b/>
          <w:bCs/>
          <w:sz w:val="20"/>
          <w:szCs w:val="20"/>
        </w:rPr>
        <w:t xml:space="preserve"> Whiteovi</w:t>
      </w:r>
      <w:r w:rsidRPr="00EF2265">
        <w:rPr>
          <w:rFonts w:ascii="Times New Roman" w:hAnsi="Times New Roman"/>
          <w:sz w:val="20"/>
          <w:szCs w:val="20"/>
        </w:rPr>
        <w:t xml:space="preserve">. Na zasadnutí Vedeckej rady STU dňa 13.6.2018 bol prerokovaný a schválený návrh na udelenie titulu „doctor honoris causa“ </w:t>
      </w:r>
      <w:r w:rsidRPr="00EF2265">
        <w:rPr>
          <w:rFonts w:ascii="Times New Roman" w:hAnsi="Times New Roman"/>
          <w:b/>
          <w:bCs/>
          <w:sz w:val="20"/>
          <w:szCs w:val="20"/>
        </w:rPr>
        <w:t xml:space="preserve">prof. Dr. Danielovi Wayne Armstrongovi. </w:t>
      </w:r>
    </w:p>
    <w:p w:rsidR="00037FBB" w:rsidRPr="00EF2265" w:rsidRDefault="00037FBB" w:rsidP="00037FBB">
      <w:pPr>
        <w:jc w:val="left"/>
        <w:rPr>
          <w:rFonts w:ascii="Times New Roman" w:hAnsi="Times New Roman"/>
          <w:sz w:val="20"/>
          <w:szCs w:val="20"/>
        </w:rPr>
      </w:pPr>
    </w:p>
    <w:p w:rsidR="00037FBB" w:rsidRPr="00EF2265" w:rsidRDefault="00037FBB" w:rsidP="00037FBB">
      <w:pPr>
        <w:jc w:val="left"/>
        <w:rPr>
          <w:rFonts w:ascii="Times New Roman" w:hAnsi="Times New Roman"/>
          <w:sz w:val="20"/>
          <w:szCs w:val="20"/>
        </w:rPr>
      </w:pPr>
      <w:r w:rsidRPr="00EF2265">
        <w:rPr>
          <w:rFonts w:ascii="Times New Roman" w:hAnsi="Times New Roman"/>
          <w:sz w:val="20"/>
          <w:szCs w:val="20"/>
        </w:rPr>
        <w:t xml:space="preserve">Vedecká rada STU prerokovala a schválila 1 návrh na uzatvorenie pracovného pomeru na miesto vysokoškolského učiteľa vo funkcii </w:t>
      </w:r>
      <w:r w:rsidRPr="00EF2265">
        <w:rPr>
          <w:rFonts w:ascii="Times New Roman" w:hAnsi="Times New Roman"/>
          <w:b/>
          <w:sz w:val="20"/>
          <w:szCs w:val="20"/>
        </w:rPr>
        <w:t>„hosťujúci profesor“</w:t>
      </w:r>
      <w:r w:rsidRPr="00EF2265">
        <w:rPr>
          <w:rFonts w:ascii="Times New Roman" w:hAnsi="Times New Roman"/>
          <w:sz w:val="20"/>
          <w:szCs w:val="20"/>
        </w:rPr>
        <w:t xml:space="preserve"> a to: 13.  6.  2018 </w:t>
      </w:r>
      <w:r w:rsidRPr="00B125A9">
        <w:rPr>
          <w:rFonts w:ascii="Times New Roman" w:hAnsi="Times New Roman"/>
          <w:b/>
          <w:sz w:val="20"/>
          <w:szCs w:val="20"/>
        </w:rPr>
        <w:t>prof. Dipl. Ing. Martinovi Wollensakovi</w:t>
      </w:r>
      <w:r w:rsidRPr="00EF2265">
        <w:rPr>
          <w:rFonts w:ascii="Times New Roman" w:hAnsi="Times New Roman"/>
          <w:sz w:val="20"/>
          <w:szCs w:val="20"/>
        </w:rPr>
        <w:t xml:space="preserve"> z</w:t>
      </w:r>
      <w:r w:rsidRPr="00EF2265">
        <w:rPr>
          <w:rFonts w:ascii="Times New Roman" w:hAnsi="Times New Roman"/>
          <w:bCs/>
          <w:sz w:val="20"/>
          <w:szCs w:val="20"/>
        </w:rPr>
        <w:t xml:space="preserve"> FA STU.</w:t>
      </w:r>
    </w:p>
    <w:p w:rsidR="00037FBB" w:rsidRPr="00EF2265" w:rsidRDefault="00037FBB" w:rsidP="00037FBB">
      <w:pPr>
        <w:jc w:val="left"/>
        <w:rPr>
          <w:rFonts w:ascii="Times New Roman" w:hAnsi="Times New Roman"/>
          <w:sz w:val="20"/>
          <w:szCs w:val="20"/>
        </w:rPr>
      </w:pPr>
    </w:p>
    <w:p w:rsidR="00037FBB" w:rsidRPr="00B125A9" w:rsidRDefault="00037FBB" w:rsidP="00037FBB">
      <w:pPr>
        <w:jc w:val="left"/>
        <w:rPr>
          <w:rFonts w:ascii="Times New Roman" w:hAnsi="Times New Roman"/>
          <w:b/>
          <w:sz w:val="20"/>
          <w:szCs w:val="20"/>
        </w:rPr>
      </w:pPr>
      <w:r w:rsidRPr="00EF2265">
        <w:rPr>
          <w:rFonts w:ascii="Times New Roman" w:hAnsi="Times New Roman"/>
          <w:sz w:val="20"/>
          <w:szCs w:val="20"/>
        </w:rPr>
        <w:t xml:space="preserve">Rektor STU udelil v roku 2018 tri </w:t>
      </w:r>
      <w:r w:rsidRPr="00EF2265">
        <w:rPr>
          <w:rFonts w:ascii="Times New Roman" w:hAnsi="Times New Roman"/>
          <w:b/>
          <w:sz w:val="20"/>
          <w:szCs w:val="20"/>
        </w:rPr>
        <w:t>Plakety STU</w:t>
      </w:r>
      <w:r w:rsidRPr="00B125A9">
        <w:rPr>
          <w:rFonts w:ascii="Times New Roman" w:hAnsi="Times New Roman"/>
          <w:sz w:val="20"/>
          <w:szCs w:val="20"/>
        </w:rPr>
        <w:t>, a to</w:t>
      </w:r>
      <w:r w:rsidRPr="00EF2265">
        <w:rPr>
          <w:rFonts w:ascii="Times New Roman" w:hAnsi="Times New Roman"/>
          <w:b/>
          <w:sz w:val="20"/>
          <w:szCs w:val="20"/>
        </w:rPr>
        <w:t xml:space="preserve"> </w:t>
      </w:r>
      <w:r w:rsidRPr="00B125A9">
        <w:rPr>
          <w:rFonts w:ascii="Times New Roman" w:hAnsi="Times New Roman"/>
          <w:b/>
          <w:bCs/>
          <w:sz w:val="20"/>
          <w:szCs w:val="20"/>
        </w:rPr>
        <w:t>prof. Ing. Martinovi Bajusovi, PhD.</w:t>
      </w:r>
      <w:r w:rsidRPr="00EF2265">
        <w:rPr>
          <w:rFonts w:ascii="Times New Roman" w:hAnsi="Times New Roman"/>
          <w:bCs/>
          <w:sz w:val="20"/>
          <w:szCs w:val="20"/>
        </w:rPr>
        <w:t>,</w:t>
      </w:r>
      <w:r w:rsidR="00B125A9">
        <w:rPr>
          <w:rFonts w:ascii="Times New Roman" w:hAnsi="Times New Roman"/>
          <w:bCs/>
          <w:sz w:val="20"/>
          <w:szCs w:val="20"/>
        </w:rPr>
        <w:t xml:space="preserve"> </w:t>
      </w:r>
      <w:r w:rsidRPr="00B125A9">
        <w:rPr>
          <w:rFonts w:ascii="Times New Roman" w:hAnsi="Times New Roman"/>
          <w:b/>
          <w:bCs/>
          <w:sz w:val="20"/>
          <w:szCs w:val="20"/>
        </w:rPr>
        <w:t>prof. Ing. Alojzovi</w:t>
      </w:r>
      <w:r w:rsidR="00B125A9" w:rsidRPr="00B125A9">
        <w:rPr>
          <w:rFonts w:ascii="Times New Roman" w:hAnsi="Times New Roman"/>
          <w:b/>
          <w:bCs/>
          <w:sz w:val="20"/>
          <w:szCs w:val="20"/>
        </w:rPr>
        <w:t xml:space="preserve"> </w:t>
      </w:r>
      <w:r w:rsidRPr="00B125A9">
        <w:rPr>
          <w:rFonts w:ascii="Times New Roman" w:hAnsi="Times New Roman"/>
          <w:b/>
          <w:bCs/>
          <w:sz w:val="20"/>
          <w:szCs w:val="20"/>
        </w:rPr>
        <w:t>Kopáčikovi, PhD a prof. Ing. Antonovi Puškárovi, PhD.</w:t>
      </w:r>
    </w:p>
    <w:p w:rsidR="00037FBB" w:rsidRPr="00EF2265" w:rsidRDefault="00037FBB" w:rsidP="00037FBB">
      <w:pPr>
        <w:jc w:val="left"/>
        <w:rPr>
          <w:rFonts w:ascii="Times New Roman" w:hAnsi="Times New Roman"/>
          <w:bCs/>
          <w:sz w:val="20"/>
          <w:szCs w:val="20"/>
        </w:rPr>
      </w:pPr>
    </w:p>
    <w:p w:rsidR="00404F67" w:rsidRPr="00EF2265" w:rsidRDefault="00404F67" w:rsidP="00404F67">
      <w:pPr>
        <w:pStyle w:val="Nadpis1"/>
        <w:numPr>
          <w:ilvl w:val="0"/>
          <w:numId w:val="0"/>
        </w:numPr>
        <w:tabs>
          <w:tab w:val="left" w:pos="9356"/>
        </w:tabs>
        <w:spacing w:after="120"/>
        <w:rPr>
          <w:rFonts w:ascii="Times New Roman" w:hAnsi="Times New Roman" w:cs="Times New Roman"/>
          <w:color w:val="auto"/>
          <w:sz w:val="20"/>
          <w:szCs w:val="20"/>
        </w:rPr>
      </w:pPr>
    </w:p>
    <w:p w:rsidR="00720316" w:rsidRPr="00367B40" w:rsidRDefault="00720316" w:rsidP="00720316">
      <w:pPr>
        <w:pStyle w:val="Odsekzoznamu"/>
        <w:numPr>
          <w:ilvl w:val="0"/>
          <w:numId w:val="81"/>
        </w:numPr>
        <w:rPr>
          <w:rFonts w:ascii="Times New Roman" w:hAnsi="Times New Roman"/>
          <w:b/>
          <w:color w:val="auto"/>
          <w:sz w:val="24"/>
          <w:szCs w:val="24"/>
        </w:rPr>
      </w:pPr>
      <w:r w:rsidRPr="00367B40">
        <w:rPr>
          <w:rFonts w:ascii="Times New Roman" w:hAnsi="Times New Roman"/>
          <w:b/>
          <w:color w:val="auto"/>
          <w:sz w:val="24"/>
          <w:szCs w:val="24"/>
        </w:rPr>
        <w:t>Informácie o poskytovanom vysokoškolskom vzdelávaní</w:t>
      </w:r>
    </w:p>
    <w:p w:rsidR="00404F67" w:rsidRPr="00EF2265" w:rsidRDefault="00404F67" w:rsidP="00404F67">
      <w:pPr>
        <w:pStyle w:val="Nadpis1"/>
        <w:numPr>
          <w:ilvl w:val="0"/>
          <w:numId w:val="0"/>
        </w:numPr>
        <w:tabs>
          <w:tab w:val="left" w:pos="9356"/>
        </w:tabs>
        <w:spacing w:after="120"/>
        <w:rPr>
          <w:rFonts w:ascii="Times New Roman" w:hAnsi="Times New Roman" w:cs="Times New Roman"/>
          <w:color w:val="auto"/>
          <w:sz w:val="20"/>
          <w:szCs w:val="20"/>
        </w:rPr>
      </w:pPr>
    </w:p>
    <w:p w:rsidR="00AD09B4" w:rsidRPr="00EF2265" w:rsidRDefault="00D8705B" w:rsidP="00404F67">
      <w:pPr>
        <w:pStyle w:val="Nadpis1"/>
        <w:numPr>
          <w:ilvl w:val="0"/>
          <w:numId w:val="0"/>
        </w:numPr>
        <w:tabs>
          <w:tab w:val="left" w:pos="9356"/>
        </w:tabs>
        <w:spacing w:after="120"/>
        <w:rPr>
          <w:rFonts w:ascii="Times New Roman" w:hAnsi="Times New Roman" w:cs="Times New Roman"/>
          <w:color w:val="auto"/>
          <w:sz w:val="20"/>
          <w:szCs w:val="20"/>
        </w:rPr>
      </w:pPr>
      <w:r w:rsidRPr="00EF2265">
        <w:rPr>
          <w:rFonts w:ascii="Times New Roman" w:hAnsi="Times New Roman" w:cs="Times New Roman"/>
          <w:color w:val="auto"/>
          <w:sz w:val="20"/>
          <w:szCs w:val="20"/>
        </w:rPr>
        <w:t xml:space="preserve">3.1. </w:t>
      </w:r>
      <w:r w:rsidR="00AD09B4" w:rsidRPr="00EF2265">
        <w:rPr>
          <w:rFonts w:ascii="Times New Roman" w:hAnsi="Times New Roman" w:cs="Times New Roman"/>
          <w:color w:val="auto"/>
          <w:sz w:val="20"/>
          <w:szCs w:val="20"/>
        </w:rPr>
        <w:t>Študijné programy na STU</w:t>
      </w:r>
      <w:bookmarkEnd w:id="1"/>
    </w:p>
    <w:p w:rsidR="00AD09B4" w:rsidRPr="00EF2265" w:rsidRDefault="00AD09B4" w:rsidP="00E86605">
      <w:pPr>
        <w:tabs>
          <w:tab w:val="left" w:pos="9356"/>
        </w:tabs>
        <w:spacing w:after="120"/>
        <w:jc w:val="left"/>
        <w:rPr>
          <w:rFonts w:ascii="Times New Roman" w:hAnsi="Times New Roman"/>
          <w:sz w:val="20"/>
          <w:szCs w:val="20"/>
          <w:shd w:val="clear" w:color="auto" w:fill="FFFFFF"/>
        </w:rPr>
      </w:pPr>
      <w:r w:rsidRPr="00EF2265">
        <w:rPr>
          <w:rFonts w:ascii="Times New Roman" w:hAnsi="Times New Roman"/>
          <w:sz w:val="20"/>
          <w:szCs w:val="20"/>
        </w:rPr>
        <w:t>Štúdium na STU je v súlade s Bolonským procesom trojstupňové s uplatňovaním kreditového systému štúdia. V zmysle zákona sa vysokoškolské vzdelávanie na STU uskutočňuje len v študijných programoch (ďalej tiež „ŠP“), ktorým boli priznané</w:t>
      </w:r>
      <w:r w:rsidRPr="00EF2265">
        <w:rPr>
          <w:rFonts w:ascii="Times New Roman" w:hAnsi="Times New Roman"/>
          <w:sz w:val="20"/>
          <w:szCs w:val="20"/>
          <w:shd w:val="clear" w:color="auto" w:fill="FFFFFF"/>
        </w:rPr>
        <w:t xml:space="preserve"> práva udeľovať akademické tituly v príslušnom stupni a forme štúdia (akreditované študijné programy).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Prehľad akreditovaných študijných programov na začiatku akademického roka 2017/2018 a počet a štruktúra študijných programov, v ktorých bolo v akademickom roku 2017/2018 uskutočňované štúdium, je uvedený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_Ref474770660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1C349F">
        <w:rPr>
          <w:rFonts w:ascii="Times New Roman" w:hAnsi="Times New Roman"/>
          <w:sz w:val="20"/>
          <w:szCs w:val="20"/>
        </w:rPr>
        <w:t>Tab. č. 1</w:t>
      </w:r>
      <w:r w:rsidRPr="00EF2265">
        <w:rPr>
          <w:rFonts w:ascii="Times New Roman" w:hAnsi="Times New Roman"/>
          <w:sz w:val="20"/>
          <w:szCs w:val="20"/>
        </w:rPr>
        <w:fldChar w:fldCharType="end"/>
      </w:r>
      <w:r w:rsidRPr="00EF2265">
        <w:rPr>
          <w:rFonts w:ascii="Times New Roman" w:hAnsi="Times New Roman"/>
          <w:sz w:val="20"/>
          <w:szCs w:val="20"/>
        </w:rPr>
        <w:t>. Prehľad uvádza len študijné programy v dennej forme štúdia v jazyku uskutočňovania slovenskom alebo v kombinácii slovenského jazyka a anglického jazyka (ďalej tiež „štátny jazyk“).</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pStyle w:val="Popis"/>
        <w:tabs>
          <w:tab w:val="left" w:pos="9356"/>
        </w:tabs>
        <w:spacing w:after="0"/>
        <w:jc w:val="left"/>
        <w:rPr>
          <w:rFonts w:ascii="Times New Roman" w:hAnsi="Times New Roman"/>
          <w:i w:val="0"/>
          <w:color w:val="auto"/>
          <w:sz w:val="20"/>
          <w:szCs w:val="20"/>
        </w:rPr>
      </w:pPr>
      <w:bookmarkStart w:id="2" w:name="_Ref474770660"/>
      <w:bookmarkStart w:id="3" w:name="_Toc534793940"/>
      <w:r w:rsidRPr="00EF2265">
        <w:rPr>
          <w:rFonts w:ascii="Times New Roman" w:hAnsi="Times New Roman"/>
          <w:i w:val="0"/>
          <w:color w:val="auto"/>
          <w:sz w:val="20"/>
          <w:szCs w:val="20"/>
        </w:rPr>
        <w:t xml:space="preserve">Tab. č. </w:t>
      </w:r>
      <w:r w:rsidRPr="00EF2265">
        <w:rPr>
          <w:rFonts w:ascii="Times New Roman" w:hAnsi="Times New Roman"/>
          <w:i w:val="0"/>
          <w:color w:val="auto"/>
          <w:sz w:val="20"/>
          <w:szCs w:val="20"/>
        </w:rPr>
        <w:fldChar w:fldCharType="begin"/>
      </w:r>
      <w:r w:rsidRPr="00EF2265">
        <w:rPr>
          <w:rFonts w:ascii="Times New Roman" w:hAnsi="Times New Roman"/>
          <w:i w:val="0"/>
          <w:color w:val="auto"/>
          <w:sz w:val="20"/>
          <w:szCs w:val="20"/>
        </w:rPr>
        <w:instrText xml:space="preserve"> SEQ Tabuľka_č. \* ARABIC </w:instrText>
      </w:r>
      <w:r w:rsidRPr="00EF2265">
        <w:rPr>
          <w:rFonts w:ascii="Times New Roman" w:hAnsi="Times New Roman"/>
          <w:i w:val="0"/>
          <w:color w:val="auto"/>
          <w:sz w:val="20"/>
          <w:szCs w:val="20"/>
        </w:rPr>
        <w:fldChar w:fldCharType="separate"/>
      </w:r>
      <w:r w:rsidR="001C349F">
        <w:rPr>
          <w:rFonts w:ascii="Times New Roman" w:hAnsi="Times New Roman"/>
          <w:i w:val="0"/>
          <w:noProof/>
          <w:color w:val="auto"/>
          <w:sz w:val="20"/>
          <w:szCs w:val="20"/>
        </w:rPr>
        <w:t>1</w:t>
      </w:r>
      <w:r w:rsidRPr="00EF2265">
        <w:rPr>
          <w:rFonts w:ascii="Times New Roman" w:hAnsi="Times New Roman"/>
          <w:i w:val="0"/>
          <w:color w:val="auto"/>
          <w:sz w:val="20"/>
          <w:szCs w:val="20"/>
        </w:rPr>
        <w:fldChar w:fldCharType="end"/>
      </w:r>
      <w:bookmarkEnd w:id="2"/>
      <w:r w:rsidRPr="00EF2265">
        <w:rPr>
          <w:rFonts w:ascii="Times New Roman" w:hAnsi="Times New Roman"/>
          <w:i w:val="0"/>
          <w:color w:val="auto"/>
          <w:sz w:val="20"/>
          <w:szCs w:val="20"/>
        </w:rPr>
        <w:t>: Priznané práva a reálne uskutočňované (realizované) študijné programy v štátnom jazyku v dennej forme štúdia v akademickom roku 2017/2018</w:t>
      </w:r>
      <w:bookmarkEnd w:id="3"/>
      <w:r w:rsidRPr="00EF2265">
        <w:rPr>
          <w:rFonts w:ascii="Times New Roman" w:hAnsi="Times New Roman"/>
          <w:i w:val="0"/>
          <w:color w:val="auto"/>
          <w:sz w:val="20"/>
          <w:szCs w:val="20"/>
        </w:rPr>
        <w:t xml:space="preserve"> </w:t>
      </w:r>
    </w:p>
    <w:tbl>
      <w:tblPr>
        <w:tblW w:w="9493" w:type="dxa"/>
        <w:tblLayout w:type="fixed"/>
        <w:tblCellMar>
          <w:left w:w="70" w:type="dxa"/>
          <w:right w:w="70" w:type="dxa"/>
        </w:tblCellMar>
        <w:tblLook w:val="04A0" w:firstRow="1" w:lastRow="0" w:firstColumn="1" w:lastColumn="0" w:noHBand="0" w:noVBand="1"/>
      </w:tblPr>
      <w:tblGrid>
        <w:gridCol w:w="951"/>
        <w:gridCol w:w="1029"/>
        <w:gridCol w:w="1106"/>
        <w:gridCol w:w="878"/>
        <w:gridCol w:w="1258"/>
        <w:gridCol w:w="1010"/>
        <w:gridCol w:w="1125"/>
        <w:gridCol w:w="1002"/>
        <w:gridCol w:w="1134"/>
      </w:tblGrid>
      <w:tr w:rsidR="00AD09B4" w:rsidRPr="00EF2265" w:rsidTr="00351A8A">
        <w:trPr>
          <w:trHeight w:val="20"/>
        </w:trPr>
        <w:tc>
          <w:tcPr>
            <w:tcW w:w="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Fakulta</w:t>
            </w:r>
          </w:p>
        </w:tc>
        <w:tc>
          <w:tcPr>
            <w:tcW w:w="2135" w:type="dxa"/>
            <w:gridSpan w:val="2"/>
            <w:tcBorders>
              <w:top w:val="single" w:sz="4" w:space="0" w:color="auto"/>
              <w:left w:val="nil"/>
              <w:bottom w:val="single" w:sz="4" w:space="0" w:color="auto"/>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Bc.</w:t>
            </w:r>
          </w:p>
        </w:tc>
        <w:tc>
          <w:tcPr>
            <w:tcW w:w="2136" w:type="dxa"/>
            <w:gridSpan w:val="2"/>
            <w:tcBorders>
              <w:top w:val="single" w:sz="4" w:space="0" w:color="auto"/>
              <w:left w:val="nil"/>
              <w:bottom w:val="single" w:sz="4" w:space="0" w:color="auto"/>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Ing./Mgr.</w:t>
            </w:r>
          </w:p>
        </w:tc>
        <w:tc>
          <w:tcPr>
            <w:tcW w:w="2135" w:type="dxa"/>
            <w:gridSpan w:val="2"/>
            <w:tcBorders>
              <w:top w:val="single" w:sz="4" w:space="0" w:color="auto"/>
              <w:left w:val="nil"/>
              <w:bottom w:val="single" w:sz="4" w:space="0" w:color="auto"/>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PhD.</w:t>
            </w:r>
          </w:p>
        </w:tc>
        <w:tc>
          <w:tcPr>
            <w:tcW w:w="2136" w:type="dxa"/>
            <w:gridSpan w:val="2"/>
            <w:tcBorders>
              <w:top w:val="single" w:sz="4" w:space="0" w:color="auto"/>
              <w:left w:val="nil"/>
              <w:bottom w:val="single" w:sz="4" w:space="0" w:color="auto"/>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p>
        </w:tc>
      </w:tr>
      <w:tr w:rsidR="00AD09B4" w:rsidRPr="00EF2265" w:rsidTr="00351A8A">
        <w:trPr>
          <w:trHeight w:val="20"/>
        </w:trPr>
        <w:tc>
          <w:tcPr>
            <w:tcW w:w="951" w:type="dxa"/>
            <w:vMerge/>
            <w:tcBorders>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029"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priznané práva</w:t>
            </w:r>
          </w:p>
        </w:tc>
        <w:tc>
          <w:tcPr>
            <w:tcW w:w="110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eastAsia="Times New Roman" w:hAnsi="Times New Roman"/>
                <w:b/>
                <w:bCs/>
                <w:sz w:val="20"/>
                <w:szCs w:val="20"/>
                <w:lang w:eastAsia="sk-SK"/>
              </w:rPr>
            </w:pPr>
            <w:r w:rsidRPr="00EF2265">
              <w:rPr>
                <w:rFonts w:ascii="Times New Roman" w:hAnsi="Times New Roman"/>
                <w:b/>
                <w:bCs/>
                <w:sz w:val="20"/>
                <w:szCs w:val="20"/>
              </w:rPr>
              <w:t>realizované</w:t>
            </w:r>
          </w:p>
        </w:tc>
        <w:tc>
          <w:tcPr>
            <w:tcW w:w="87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priznané práva</w:t>
            </w:r>
          </w:p>
        </w:tc>
        <w:tc>
          <w:tcPr>
            <w:tcW w:w="125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eastAsia="Times New Roman" w:hAnsi="Times New Roman"/>
                <w:b/>
                <w:bCs/>
                <w:sz w:val="20"/>
                <w:szCs w:val="20"/>
                <w:lang w:eastAsia="sk-SK"/>
              </w:rPr>
            </w:pPr>
            <w:r w:rsidRPr="00EF2265">
              <w:rPr>
                <w:rFonts w:ascii="Times New Roman" w:hAnsi="Times New Roman"/>
                <w:b/>
                <w:bCs/>
                <w:sz w:val="20"/>
                <w:szCs w:val="20"/>
              </w:rPr>
              <w:t>realizované</w:t>
            </w:r>
          </w:p>
        </w:tc>
        <w:tc>
          <w:tcPr>
            <w:tcW w:w="101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priznané práva</w:t>
            </w:r>
          </w:p>
        </w:tc>
        <w:tc>
          <w:tcPr>
            <w:tcW w:w="1125"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eastAsia="Times New Roman" w:hAnsi="Times New Roman"/>
                <w:b/>
                <w:bCs/>
                <w:sz w:val="20"/>
                <w:szCs w:val="20"/>
                <w:lang w:eastAsia="sk-SK"/>
              </w:rPr>
            </w:pPr>
            <w:r w:rsidRPr="00EF2265">
              <w:rPr>
                <w:rFonts w:ascii="Times New Roman" w:hAnsi="Times New Roman"/>
                <w:b/>
                <w:bCs/>
                <w:sz w:val="20"/>
                <w:szCs w:val="20"/>
              </w:rPr>
              <w:t>realizované</w:t>
            </w:r>
          </w:p>
        </w:tc>
        <w:tc>
          <w:tcPr>
            <w:tcW w:w="1002"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priznané práva</w:t>
            </w:r>
          </w:p>
        </w:tc>
        <w:tc>
          <w:tcPr>
            <w:tcW w:w="1134"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eastAsia="Times New Roman" w:hAnsi="Times New Roman"/>
                <w:b/>
                <w:bCs/>
                <w:sz w:val="20"/>
                <w:szCs w:val="20"/>
                <w:lang w:eastAsia="sk-SK"/>
              </w:rPr>
            </w:pPr>
            <w:r w:rsidRPr="00EF2265">
              <w:rPr>
                <w:rFonts w:ascii="Times New Roman" w:hAnsi="Times New Roman"/>
                <w:b/>
                <w:bCs/>
                <w:sz w:val="20"/>
                <w:szCs w:val="20"/>
              </w:rPr>
              <w:t>realizované</w:t>
            </w:r>
          </w:p>
        </w:tc>
      </w:tr>
      <w:tr w:rsidR="00AD09B4" w:rsidRPr="00EF2265" w:rsidTr="00351A8A">
        <w:trPr>
          <w:trHeight w:val="2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1029"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110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878"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w:t>
            </w:r>
          </w:p>
        </w:tc>
        <w:tc>
          <w:tcPr>
            <w:tcW w:w="1258"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101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11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1002"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34</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Cs/>
                <w:color w:val="000000"/>
                <w:sz w:val="20"/>
                <w:szCs w:val="20"/>
              </w:rPr>
            </w:pPr>
            <w:r w:rsidRPr="00EF2265">
              <w:rPr>
                <w:rFonts w:ascii="Times New Roman" w:hAnsi="Times New Roman"/>
                <w:bCs/>
                <w:color w:val="000000"/>
                <w:sz w:val="20"/>
                <w:szCs w:val="20"/>
              </w:rPr>
              <w:t>30</w:t>
            </w:r>
          </w:p>
        </w:tc>
      </w:tr>
      <w:tr w:rsidR="00AD09B4" w:rsidRPr="00EF2265" w:rsidTr="00351A8A">
        <w:trPr>
          <w:trHeight w:val="2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1029"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110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878"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1258"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101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11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1002"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26</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Cs/>
                <w:color w:val="000000"/>
                <w:sz w:val="20"/>
                <w:szCs w:val="20"/>
              </w:rPr>
            </w:pPr>
            <w:r w:rsidRPr="00EF2265">
              <w:rPr>
                <w:rFonts w:ascii="Times New Roman" w:hAnsi="Times New Roman"/>
                <w:bCs/>
                <w:color w:val="000000"/>
                <w:sz w:val="20"/>
                <w:szCs w:val="20"/>
              </w:rPr>
              <w:t>26</w:t>
            </w:r>
          </w:p>
        </w:tc>
      </w:tr>
      <w:tr w:rsidR="00AD09B4" w:rsidRPr="00EF2265" w:rsidTr="00351A8A">
        <w:trPr>
          <w:trHeight w:val="2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1029"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110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878"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1258"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101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11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1002"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26</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Cs/>
                <w:color w:val="000000"/>
                <w:sz w:val="20"/>
                <w:szCs w:val="20"/>
              </w:rPr>
            </w:pPr>
            <w:r w:rsidRPr="00EF2265">
              <w:rPr>
                <w:rFonts w:ascii="Times New Roman" w:hAnsi="Times New Roman"/>
                <w:bCs/>
                <w:color w:val="000000"/>
                <w:sz w:val="20"/>
                <w:szCs w:val="20"/>
              </w:rPr>
              <w:t>26</w:t>
            </w:r>
          </w:p>
        </w:tc>
      </w:tr>
      <w:tr w:rsidR="00AD09B4" w:rsidRPr="00EF2265" w:rsidTr="00351A8A">
        <w:trPr>
          <w:trHeight w:val="2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1029"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110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878"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1258"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101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w:t>
            </w:r>
          </w:p>
        </w:tc>
        <w:tc>
          <w:tcPr>
            <w:tcW w:w="11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w:t>
            </w:r>
          </w:p>
        </w:tc>
        <w:tc>
          <w:tcPr>
            <w:tcW w:w="1002"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37</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Cs/>
                <w:color w:val="000000"/>
                <w:sz w:val="20"/>
                <w:szCs w:val="20"/>
              </w:rPr>
            </w:pPr>
            <w:r w:rsidRPr="00EF2265">
              <w:rPr>
                <w:rFonts w:ascii="Times New Roman" w:hAnsi="Times New Roman"/>
                <w:bCs/>
                <w:color w:val="000000"/>
                <w:sz w:val="20"/>
                <w:szCs w:val="20"/>
              </w:rPr>
              <w:t>36</w:t>
            </w:r>
          </w:p>
        </w:tc>
      </w:tr>
      <w:tr w:rsidR="00AD09B4" w:rsidRPr="00EF2265" w:rsidTr="00351A8A">
        <w:trPr>
          <w:trHeight w:val="2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1029"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110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878"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1258"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101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11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1002"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Cs/>
                <w:color w:val="000000"/>
                <w:sz w:val="20"/>
                <w:szCs w:val="20"/>
              </w:rPr>
            </w:pPr>
            <w:r w:rsidRPr="00EF2265">
              <w:rPr>
                <w:rFonts w:ascii="Times New Roman" w:hAnsi="Times New Roman"/>
                <w:bCs/>
                <w:color w:val="000000"/>
                <w:sz w:val="20"/>
                <w:szCs w:val="20"/>
              </w:rPr>
              <w:t>8</w:t>
            </w:r>
          </w:p>
        </w:tc>
      </w:tr>
      <w:tr w:rsidR="00AD09B4" w:rsidRPr="00EF2265" w:rsidTr="00351A8A">
        <w:trPr>
          <w:trHeight w:val="2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1029"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110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878"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1258"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101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11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1002"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28</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Cs/>
                <w:color w:val="000000"/>
                <w:sz w:val="20"/>
                <w:szCs w:val="20"/>
              </w:rPr>
            </w:pPr>
            <w:r w:rsidRPr="00EF2265">
              <w:rPr>
                <w:rFonts w:ascii="Times New Roman" w:hAnsi="Times New Roman"/>
                <w:bCs/>
                <w:color w:val="000000"/>
                <w:sz w:val="20"/>
                <w:szCs w:val="20"/>
              </w:rPr>
              <w:t>28</w:t>
            </w:r>
          </w:p>
        </w:tc>
      </w:tr>
      <w:tr w:rsidR="00AD09B4" w:rsidRPr="00EF2265" w:rsidTr="00351A8A">
        <w:trPr>
          <w:trHeight w:val="2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1029"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110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878"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1258"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101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11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1002"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16</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Cs/>
                <w:color w:val="000000"/>
                <w:sz w:val="20"/>
                <w:szCs w:val="20"/>
              </w:rPr>
            </w:pPr>
            <w:r w:rsidRPr="00EF2265">
              <w:rPr>
                <w:rFonts w:ascii="Times New Roman" w:hAnsi="Times New Roman"/>
                <w:bCs/>
                <w:color w:val="000000"/>
                <w:sz w:val="20"/>
                <w:szCs w:val="20"/>
              </w:rPr>
              <w:t>12</w:t>
            </w:r>
          </w:p>
        </w:tc>
      </w:tr>
      <w:tr w:rsidR="00AD09B4" w:rsidRPr="00EF2265" w:rsidTr="00351A8A">
        <w:trPr>
          <w:trHeight w:val="2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1029"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110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878"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1258"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101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11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1002"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Cs/>
                <w:color w:val="000000"/>
                <w:sz w:val="20"/>
                <w:szCs w:val="20"/>
              </w:rPr>
            </w:pPr>
            <w:r w:rsidRPr="00EF2265">
              <w:rPr>
                <w:rFonts w:ascii="Times New Roman" w:hAnsi="Times New Roman"/>
                <w:bCs/>
                <w:color w:val="000000"/>
                <w:sz w:val="20"/>
                <w:szCs w:val="20"/>
              </w:rPr>
              <w:t>4</w:t>
            </w:r>
          </w:p>
        </w:tc>
      </w:tr>
      <w:tr w:rsidR="00AD09B4" w:rsidRPr="00EF2265" w:rsidTr="00351A8A">
        <w:trPr>
          <w:trHeight w:val="2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1029"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57</w:t>
            </w:r>
          </w:p>
        </w:tc>
        <w:tc>
          <w:tcPr>
            <w:tcW w:w="110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55</w:t>
            </w:r>
          </w:p>
        </w:tc>
        <w:tc>
          <w:tcPr>
            <w:tcW w:w="878"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64</w:t>
            </w:r>
          </w:p>
        </w:tc>
        <w:tc>
          <w:tcPr>
            <w:tcW w:w="1258"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57</w:t>
            </w:r>
          </w:p>
        </w:tc>
        <w:tc>
          <w:tcPr>
            <w:tcW w:w="101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58</w:t>
            </w:r>
          </w:p>
        </w:tc>
        <w:tc>
          <w:tcPr>
            <w:tcW w:w="11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58</w:t>
            </w:r>
          </w:p>
        </w:tc>
        <w:tc>
          <w:tcPr>
            <w:tcW w:w="1002"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179</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170</w:t>
            </w:r>
          </w:p>
        </w:tc>
      </w:tr>
    </w:tbl>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Vysvetlivky:</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priznané práva na začiatku akademického roka; stav k 1. 9. 2017</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realizované – reálne uskutočňované študijné programy; stav k 31. 10. 2017</w:t>
      </w:r>
    </w:p>
    <w:p w:rsidR="00AD09B4" w:rsidRPr="00EF2265" w:rsidRDefault="00AD09B4" w:rsidP="00E86605">
      <w:pPr>
        <w:tabs>
          <w:tab w:val="left" w:pos="9356"/>
        </w:tabs>
        <w:jc w:val="left"/>
        <w:rPr>
          <w:rFonts w:ascii="Times New Roman" w:eastAsia="Calibri" w:hAnsi="Times New Roman"/>
          <w:sz w:val="20"/>
          <w:szCs w:val="20"/>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V akademickom roku 2017/2018 sa uskutočňovala výučba celkovo v </w:t>
      </w:r>
      <w:r w:rsidRPr="00EF2265">
        <w:rPr>
          <w:rFonts w:ascii="Times New Roman" w:hAnsi="Times New Roman"/>
          <w:b/>
          <w:sz w:val="20"/>
          <w:szCs w:val="20"/>
        </w:rPr>
        <w:t>170 študijných programoch v dennej forme štúdia v štátnom jazyku</w:t>
      </w:r>
      <w:r w:rsidRPr="00EF2265">
        <w:rPr>
          <w:rFonts w:ascii="Times New Roman" w:hAnsi="Times New Roman"/>
          <w:sz w:val="20"/>
          <w:szCs w:val="20"/>
        </w:rPr>
        <w:t xml:space="preserve"> v štruktúre: </w:t>
      </w:r>
      <w:r w:rsidRPr="00EF2265">
        <w:rPr>
          <w:rFonts w:ascii="Times New Roman" w:hAnsi="Times New Roman"/>
          <w:b/>
          <w:sz w:val="20"/>
          <w:szCs w:val="20"/>
        </w:rPr>
        <w:t xml:space="preserve">55 </w:t>
      </w:r>
      <w:r w:rsidRPr="00EF2265">
        <w:rPr>
          <w:rFonts w:ascii="Times New Roman" w:hAnsi="Times New Roman"/>
          <w:sz w:val="20"/>
          <w:szCs w:val="20"/>
        </w:rPr>
        <w:t>ŠP na I. stupni</w:t>
      </w:r>
      <w:r w:rsidRPr="00EF2265">
        <w:rPr>
          <w:rFonts w:ascii="Times New Roman" w:hAnsi="Times New Roman"/>
          <w:b/>
          <w:sz w:val="20"/>
          <w:szCs w:val="20"/>
        </w:rPr>
        <w:t xml:space="preserve">, 57 </w:t>
      </w:r>
      <w:r w:rsidRPr="00EF2265">
        <w:rPr>
          <w:rFonts w:ascii="Times New Roman" w:hAnsi="Times New Roman"/>
          <w:sz w:val="20"/>
          <w:szCs w:val="20"/>
        </w:rPr>
        <w:t>ŠP na II. stupni,</w:t>
      </w:r>
      <w:r w:rsidRPr="00EF2265">
        <w:rPr>
          <w:rFonts w:ascii="Times New Roman" w:hAnsi="Times New Roman"/>
          <w:b/>
          <w:sz w:val="20"/>
          <w:szCs w:val="20"/>
        </w:rPr>
        <w:t xml:space="preserve"> 58 </w:t>
      </w:r>
      <w:r w:rsidRPr="00EF2265">
        <w:rPr>
          <w:rFonts w:ascii="Times New Roman" w:hAnsi="Times New Roman"/>
          <w:sz w:val="20"/>
          <w:szCs w:val="20"/>
        </w:rPr>
        <w:t>ŠP na III. stupni vysokoškolského vzdelávania. Z uvedenej štruktúry je zrejmá širšia ponuka a orientácia fakúlt na študijné programy druhého a tretieho stupňa štúdia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_Ref474770970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Graf č. </w:t>
      </w:r>
      <w:r w:rsidR="001C349F">
        <w:rPr>
          <w:rFonts w:ascii="Times New Roman" w:hAnsi="Times New Roman"/>
          <w:sz w:val="20"/>
          <w:szCs w:val="20"/>
        </w:rPr>
        <w:t>1</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4" w:name="_Ref474770970"/>
      <w:bookmarkStart w:id="5" w:name="_Toc534724788"/>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w:t>
      </w:r>
      <w:r w:rsidRPr="00EF2265">
        <w:rPr>
          <w:rFonts w:ascii="Times New Roman" w:hAnsi="Times New Roman"/>
          <w:sz w:val="20"/>
          <w:szCs w:val="20"/>
        </w:rPr>
        <w:fldChar w:fldCharType="end"/>
      </w:r>
      <w:bookmarkEnd w:id="4"/>
      <w:r w:rsidRPr="00EF2265">
        <w:rPr>
          <w:rFonts w:ascii="Times New Roman" w:hAnsi="Times New Roman"/>
          <w:sz w:val="20"/>
          <w:szCs w:val="20"/>
        </w:rPr>
        <w:t>: Študijné programy v dennej forme, v ktorých bola uskutočňovaná výučba v akademickom roku 2017/2018</w:t>
      </w:r>
      <w:bookmarkEnd w:id="5"/>
      <w:r w:rsidRPr="00EF2265">
        <w:rPr>
          <w:rFonts w:ascii="Times New Roman" w:hAnsi="Times New Roman"/>
          <w:sz w:val="20"/>
          <w:szCs w:val="20"/>
        </w:rPr>
        <w:t xml:space="preserve">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noProof/>
          <w:sz w:val="20"/>
          <w:szCs w:val="20"/>
          <w:lang w:eastAsia="sk-SK"/>
        </w:rPr>
        <w:lastRenderedPageBreak/>
        <w:drawing>
          <wp:inline distT="0" distB="0" distL="0" distR="0" wp14:anchorId="7AB04CB6" wp14:editId="587BECCF">
            <wp:extent cx="4583107" cy="2553419"/>
            <wp:effectExtent l="0" t="0" r="825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Väčšina študijných programov na STU bola uskutočňovaná v štátnom jazyku, aj napriek rozšírenej ponuke študijných programov v anglickom jazyku.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Celkový prehľad študijných programov uskutočňovaných v anglickom jazyku v akademickom roku 2017/2018 na jednotlivých stupňoch štúdia je uvedený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_Ref474771250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2</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6" w:name="_Ref474771250"/>
      <w:bookmarkStart w:id="7" w:name="_Toc534793941"/>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w:t>
      </w:r>
      <w:r w:rsidRPr="00EF2265">
        <w:rPr>
          <w:rFonts w:ascii="Times New Roman" w:hAnsi="Times New Roman"/>
          <w:sz w:val="20"/>
          <w:szCs w:val="20"/>
        </w:rPr>
        <w:fldChar w:fldCharType="end"/>
      </w:r>
      <w:bookmarkEnd w:id="6"/>
      <w:r w:rsidRPr="00EF2265">
        <w:rPr>
          <w:rFonts w:ascii="Times New Roman" w:hAnsi="Times New Roman"/>
          <w:sz w:val="20"/>
          <w:szCs w:val="20"/>
        </w:rPr>
        <w:t>: Prehľad študijných programov podľa jazyka, v ktorom boli uskutočňované v akademickom roku 2017/2018</w:t>
      </w:r>
      <w:bookmarkEnd w:id="7"/>
    </w:p>
    <w:tbl>
      <w:tblPr>
        <w:tblW w:w="8926" w:type="dxa"/>
        <w:tblCellMar>
          <w:left w:w="70" w:type="dxa"/>
          <w:right w:w="70" w:type="dxa"/>
        </w:tblCellMar>
        <w:tblLook w:val="04A0" w:firstRow="1" w:lastRow="0" w:firstColumn="1" w:lastColumn="0" w:noHBand="0" w:noVBand="1"/>
      </w:tblPr>
      <w:tblGrid>
        <w:gridCol w:w="1900"/>
        <w:gridCol w:w="1180"/>
        <w:gridCol w:w="1180"/>
        <w:gridCol w:w="1180"/>
        <w:gridCol w:w="1180"/>
        <w:gridCol w:w="1180"/>
        <w:gridCol w:w="1126"/>
      </w:tblGrid>
      <w:tr w:rsidR="00AD09B4" w:rsidRPr="00EF2265" w:rsidTr="00351A8A">
        <w:trPr>
          <w:trHeight w:val="255"/>
        </w:trPr>
        <w:tc>
          <w:tcPr>
            <w:tcW w:w="1900" w:type="dxa"/>
            <w:vMerge w:val="restart"/>
            <w:tcBorders>
              <w:top w:val="single" w:sz="4" w:space="0" w:color="auto"/>
              <w:left w:val="single" w:sz="4" w:space="0" w:color="auto"/>
              <w:right w:val="single" w:sz="4" w:space="0" w:color="auto"/>
            </w:tcBorders>
            <w:shd w:val="clear" w:color="auto" w:fill="auto"/>
            <w:vAlign w:val="center"/>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7026" w:type="dxa"/>
            <w:gridSpan w:val="6"/>
            <w:tcBorders>
              <w:top w:val="single" w:sz="4" w:space="0" w:color="auto"/>
              <w:left w:val="nil"/>
              <w:bottom w:val="single" w:sz="4" w:space="0" w:color="auto"/>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Študijný program</w:t>
            </w:r>
          </w:p>
        </w:tc>
      </w:tr>
      <w:tr w:rsidR="00AD09B4" w:rsidRPr="00EF2265" w:rsidTr="00351A8A">
        <w:trPr>
          <w:trHeight w:val="255"/>
        </w:trPr>
        <w:tc>
          <w:tcPr>
            <w:tcW w:w="1900" w:type="dxa"/>
            <w:vMerge/>
            <w:tcBorders>
              <w:left w:val="single" w:sz="4" w:space="0" w:color="auto"/>
              <w:right w:val="single" w:sz="4" w:space="0" w:color="auto"/>
            </w:tcBorders>
            <w:vAlign w:val="center"/>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2360" w:type="dxa"/>
            <w:gridSpan w:val="2"/>
            <w:tcBorders>
              <w:top w:val="single" w:sz="4" w:space="0" w:color="auto"/>
              <w:left w:val="nil"/>
              <w:bottom w:val="single" w:sz="4" w:space="0" w:color="auto"/>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Bc.</w:t>
            </w:r>
          </w:p>
        </w:tc>
        <w:tc>
          <w:tcPr>
            <w:tcW w:w="2360" w:type="dxa"/>
            <w:gridSpan w:val="2"/>
            <w:tcBorders>
              <w:top w:val="single" w:sz="4" w:space="0" w:color="auto"/>
              <w:left w:val="nil"/>
              <w:bottom w:val="single" w:sz="4" w:space="0" w:color="auto"/>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Ing./Mgr.</w:t>
            </w:r>
          </w:p>
        </w:tc>
        <w:tc>
          <w:tcPr>
            <w:tcW w:w="2306" w:type="dxa"/>
            <w:gridSpan w:val="2"/>
            <w:tcBorders>
              <w:top w:val="single" w:sz="4" w:space="0" w:color="auto"/>
              <w:left w:val="nil"/>
              <w:bottom w:val="single" w:sz="4" w:space="0" w:color="auto"/>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PhD.</w:t>
            </w:r>
          </w:p>
        </w:tc>
      </w:tr>
      <w:tr w:rsidR="00AD09B4" w:rsidRPr="00EF2265" w:rsidTr="00351A8A">
        <w:trPr>
          <w:trHeight w:val="255"/>
        </w:trPr>
        <w:tc>
          <w:tcPr>
            <w:tcW w:w="1900" w:type="dxa"/>
            <w:vMerge/>
            <w:tcBorders>
              <w:left w:val="single" w:sz="4" w:space="0" w:color="auto"/>
              <w:bottom w:val="single" w:sz="4" w:space="0" w:color="auto"/>
              <w:right w:val="single" w:sz="4" w:space="0" w:color="auto"/>
            </w:tcBorders>
            <w:shd w:val="clear" w:color="auto" w:fill="auto"/>
            <w:noWrap/>
            <w:vAlign w:val="center"/>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18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štátny jazyk</w:t>
            </w:r>
          </w:p>
        </w:tc>
        <w:tc>
          <w:tcPr>
            <w:tcW w:w="118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anglický jazyk</w:t>
            </w:r>
          </w:p>
        </w:tc>
        <w:tc>
          <w:tcPr>
            <w:tcW w:w="118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štátny jazyk</w:t>
            </w:r>
          </w:p>
        </w:tc>
        <w:tc>
          <w:tcPr>
            <w:tcW w:w="118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anglický jazyk</w:t>
            </w:r>
          </w:p>
        </w:tc>
        <w:tc>
          <w:tcPr>
            <w:tcW w:w="118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štátny jazyk</w:t>
            </w:r>
          </w:p>
        </w:tc>
        <w:tc>
          <w:tcPr>
            <w:tcW w:w="112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anglický jazyk</w:t>
            </w:r>
          </w:p>
        </w:tc>
      </w:tr>
      <w:tr w:rsidR="00AD09B4" w:rsidRPr="00EF2265" w:rsidTr="00351A8A">
        <w:trPr>
          <w:trHeight w:val="25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 (denná forma)</w:t>
            </w:r>
          </w:p>
        </w:tc>
        <w:tc>
          <w:tcPr>
            <w:tcW w:w="118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55</w:t>
            </w:r>
          </w:p>
        </w:tc>
        <w:tc>
          <w:tcPr>
            <w:tcW w:w="118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118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57</w:t>
            </w:r>
          </w:p>
        </w:tc>
        <w:tc>
          <w:tcPr>
            <w:tcW w:w="118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118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58</w:t>
            </w:r>
          </w:p>
        </w:tc>
        <w:tc>
          <w:tcPr>
            <w:tcW w:w="1126"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r>
      <w:tr w:rsidR="00AD09B4" w:rsidRPr="00EF2265" w:rsidTr="00351A8A">
        <w:trPr>
          <w:trHeight w:val="25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 (externá forma)</w:t>
            </w:r>
          </w:p>
        </w:tc>
        <w:tc>
          <w:tcPr>
            <w:tcW w:w="118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68</w:t>
            </w:r>
          </w:p>
        </w:tc>
        <w:tc>
          <w:tcPr>
            <w:tcW w:w="1126"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r>
    </w:tbl>
    <w:p w:rsidR="00AD09B4" w:rsidRPr="00EF2265" w:rsidRDefault="00AD09B4" w:rsidP="00E86605">
      <w:pPr>
        <w:tabs>
          <w:tab w:val="left" w:pos="9356"/>
        </w:tabs>
        <w:jc w:val="left"/>
        <w:rPr>
          <w:rFonts w:ascii="Times New Roman" w:hAnsi="Times New Roman"/>
          <w:sz w:val="20"/>
          <w:szCs w:val="20"/>
        </w:rPr>
      </w:pPr>
      <w:r w:rsidRPr="00EF2265">
        <w:rPr>
          <w:rFonts w:ascii="Times New Roman" w:eastAsia="Times New Roman" w:hAnsi="Times New Roman"/>
          <w:sz w:val="20"/>
          <w:szCs w:val="20"/>
          <w:lang w:eastAsia="sk-SK"/>
        </w:rPr>
        <w:t>Stav k 31.10.2017</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Aktuálny prehľad akreditovaných študijných programov na STU je akademickej obci, ako aj verejnosti k dispozícii v registri študijných programov na webovej adrese:</w:t>
      </w:r>
    </w:p>
    <w:p w:rsidR="00AD09B4" w:rsidRPr="00EF2265" w:rsidRDefault="00F43069" w:rsidP="00E86605">
      <w:pPr>
        <w:tabs>
          <w:tab w:val="left" w:pos="9356"/>
        </w:tabs>
        <w:jc w:val="left"/>
        <w:rPr>
          <w:rStyle w:val="Hypertextovprepojenie"/>
          <w:rFonts w:ascii="Times New Roman" w:hAnsi="Times New Roman"/>
          <w:color w:val="auto"/>
          <w:sz w:val="20"/>
          <w:szCs w:val="20"/>
        </w:rPr>
      </w:pPr>
      <w:hyperlink r:id="rId13" w:history="1">
        <w:r w:rsidR="00AD09B4" w:rsidRPr="00EF2265">
          <w:rPr>
            <w:rStyle w:val="Hypertextovprepojenie"/>
            <w:rFonts w:ascii="Times New Roman" w:hAnsi="Times New Roman"/>
            <w:sz w:val="20"/>
            <w:szCs w:val="20"/>
          </w:rPr>
          <w:t>https://www.portalvs.sk/sk/morho</w:t>
        </w:r>
      </w:hyperlink>
      <w:r w:rsidR="00AD09B4" w:rsidRPr="00EF2265">
        <w:rPr>
          <w:rFonts w:ascii="Times New Roman" w:hAnsi="Times New Roman"/>
          <w:sz w:val="20"/>
          <w:szCs w:val="20"/>
        </w:rPr>
        <w:t>.</w:t>
      </w:r>
    </w:p>
    <w:p w:rsidR="00AD09B4" w:rsidRPr="00EF2265" w:rsidRDefault="00AD09B4" w:rsidP="00E86605">
      <w:pPr>
        <w:tabs>
          <w:tab w:val="left" w:pos="9356"/>
        </w:tabs>
        <w:jc w:val="left"/>
        <w:rPr>
          <w:rStyle w:val="Hypertextovprepojenie"/>
          <w:rFonts w:ascii="Times New Roman" w:hAnsi="Times New Roman"/>
          <w:color w:val="auto"/>
          <w:sz w:val="20"/>
          <w:szCs w:val="20"/>
        </w:rPr>
      </w:pPr>
    </w:p>
    <w:p w:rsidR="00AD09B4" w:rsidRPr="00EF2265" w:rsidRDefault="00AD09B4" w:rsidP="00E86605">
      <w:pPr>
        <w:tabs>
          <w:tab w:val="left" w:pos="9356"/>
        </w:tabs>
        <w:spacing w:after="120"/>
        <w:ind w:right="68"/>
        <w:jc w:val="left"/>
        <w:rPr>
          <w:rFonts w:ascii="Times New Roman" w:hAnsi="Times New Roman"/>
          <w:sz w:val="20"/>
          <w:szCs w:val="20"/>
        </w:rPr>
      </w:pPr>
      <w:r w:rsidRPr="00EF2265">
        <w:rPr>
          <w:rFonts w:ascii="Times New Roman" w:hAnsi="Times New Roman"/>
          <w:sz w:val="20"/>
          <w:szCs w:val="20"/>
        </w:rPr>
        <w:t>Platnosť akreditácií ŠP na STU je priebežne sledovaná a  podľa dĺžky platnosti, resp. časového obmedzenia sú akreditácie ŠP aktualizované.</w:t>
      </w:r>
    </w:p>
    <w:p w:rsidR="00AD09B4" w:rsidRPr="00EF2265" w:rsidRDefault="00AD09B4" w:rsidP="00E86605">
      <w:pPr>
        <w:tabs>
          <w:tab w:val="left" w:pos="9356"/>
        </w:tabs>
        <w:spacing w:after="120"/>
        <w:ind w:right="68"/>
        <w:jc w:val="left"/>
        <w:rPr>
          <w:rFonts w:ascii="Times New Roman" w:hAnsi="Times New Roman"/>
          <w:sz w:val="20"/>
          <w:szCs w:val="20"/>
        </w:rPr>
      </w:pPr>
      <w:r w:rsidRPr="00EF2265">
        <w:rPr>
          <w:rFonts w:ascii="Times New Roman" w:hAnsi="Times New Roman"/>
          <w:sz w:val="20"/>
          <w:szCs w:val="20"/>
        </w:rPr>
        <w:t>V priebehu akademického roka 2017/2018 bolo podané:</w:t>
      </w:r>
    </w:p>
    <w:p w:rsidR="00AD09B4" w:rsidRPr="00EF2265" w:rsidRDefault="00AD09B4" w:rsidP="00E86605">
      <w:pPr>
        <w:pStyle w:val="Odsekzoznamu"/>
        <w:numPr>
          <w:ilvl w:val="0"/>
          <w:numId w:val="6"/>
        </w:numPr>
        <w:tabs>
          <w:tab w:val="left" w:pos="9356"/>
        </w:tabs>
        <w:spacing w:after="120" w:line="240" w:lineRule="auto"/>
        <w:ind w:left="425" w:right="68" w:hanging="425"/>
        <w:contextualSpacing w:val="0"/>
        <w:rPr>
          <w:rFonts w:ascii="Times New Roman" w:hAnsi="Times New Roman"/>
          <w:sz w:val="20"/>
          <w:szCs w:val="20"/>
        </w:rPr>
      </w:pPr>
      <w:r w:rsidRPr="00EF2265">
        <w:rPr>
          <w:rFonts w:ascii="Times New Roman" w:hAnsi="Times New Roman"/>
          <w:b/>
          <w:sz w:val="20"/>
          <w:szCs w:val="20"/>
        </w:rPr>
        <w:t xml:space="preserve">11 žiadostí o akreditáciu 19 nových študijných programov, </w:t>
      </w:r>
      <w:r w:rsidRPr="00EF2265">
        <w:rPr>
          <w:rFonts w:ascii="Times New Roman" w:hAnsi="Times New Roman"/>
          <w:sz w:val="20"/>
          <w:szCs w:val="20"/>
        </w:rPr>
        <w:t>ktorým ministerka školstva, vedy, výskumu a športu Slovenskej republiky (ďalej len „ministerka“) po kladnom vyjadrení Akreditačnej komisie priznala práva, pričom 13 študijných programov bolo bakalárskych, z toho jeden profesijne orientovaný uskutočňovaný na SjF, 3 študijné programy boli inžinierske a 3 študijné programy doktorandské, z toho jeden spoločný doktorandský študijný program uskutočňovaný na FCHPT v spolupráci s Univerzitou Tomáše Bati ve Zlíně,</w:t>
      </w:r>
    </w:p>
    <w:p w:rsidR="00AD09B4" w:rsidRPr="00EF2265" w:rsidRDefault="00AD09B4" w:rsidP="00E86605">
      <w:pPr>
        <w:pStyle w:val="Odsekzoznamu"/>
        <w:numPr>
          <w:ilvl w:val="0"/>
          <w:numId w:val="6"/>
        </w:numPr>
        <w:tabs>
          <w:tab w:val="left" w:pos="9356"/>
        </w:tabs>
        <w:spacing w:after="120"/>
        <w:ind w:left="426" w:right="68" w:hanging="426"/>
        <w:rPr>
          <w:rFonts w:ascii="Times New Roman" w:hAnsi="Times New Roman"/>
          <w:sz w:val="20"/>
          <w:szCs w:val="20"/>
        </w:rPr>
      </w:pPr>
      <w:r w:rsidRPr="00EF2265">
        <w:rPr>
          <w:rFonts w:ascii="Times New Roman" w:hAnsi="Times New Roman"/>
          <w:b/>
          <w:sz w:val="20"/>
          <w:szCs w:val="20"/>
        </w:rPr>
        <w:t xml:space="preserve">22 žiadostí o reakreditáciu 34 študijných programov </w:t>
      </w:r>
      <w:r w:rsidRPr="00EF2265">
        <w:rPr>
          <w:rFonts w:ascii="Times New Roman" w:hAnsi="Times New Roman"/>
          <w:sz w:val="20"/>
          <w:szCs w:val="20"/>
        </w:rPr>
        <w:t xml:space="preserve">(32 inžinierskych a 2 bakalárskych), ktorým boli priznané práva s časovým obmedzením na štandardnú dĺžku štúdia z dôvodu, že išlo o nové študijné programy, </w:t>
      </w:r>
    </w:p>
    <w:p w:rsidR="00AD09B4" w:rsidRPr="00EF2265" w:rsidRDefault="00AD09B4" w:rsidP="00E86605">
      <w:pPr>
        <w:pStyle w:val="Odsekzoznamu"/>
        <w:numPr>
          <w:ilvl w:val="0"/>
          <w:numId w:val="6"/>
        </w:numPr>
        <w:tabs>
          <w:tab w:val="left" w:pos="9356"/>
        </w:tabs>
        <w:spacing w:after="120"/>
        <w:ind w:left="426" w:right="68" w:hanging="426"/>
        <w:rPr>
          <w:rFonts w:ascii="Times New Roman" w:hAnsi="Times New Roman"/>
          <w:sz w:val="20"/>
          <w:szCs w:val="20"/>
        </w:rPr>
      </w:pPr>
      <w:r w:rsidRPr="00EF2265">
        <w:rPr>
          <w:rFonts w:ascii="Times New Roman" w:hAnsi="Times New Roman"/>
          <w:b/>
          <w:sz w:val="20"/>
          <w:szCs w:val="20"/>
        </w:rPr>
        <w:t>37 žiadostí o zmenu v poskytovaní 62 študijných programov</w:t>
      </w:r>
      <w:r w:rsidRPr="00EF2265">
        <w:rPr>
          <w:rFonts w:ascii="Times New Roman" w:hAnsi="Times New Roman"/>
          <w:sz w:val="20"/>
          <w:szCs w:val="20"/>
        </w:rPr>
        <w:t>, ktoré sa týkali najmä zmien v garantovaní, v personálnom zabezpečení, v odporúčaných študijných plánoch, resp. pridanie výučbových stredísk, v ktorých sa bude zabezpečovať vybraná časť predmetov študijných programov,</w:t>
      </w:r>
    </w:p>
    <w:p w:rsidR="00AD09B4" w:rsidRPr="00EF2265" w:rsidRDefault="00AD09B4" w:rsidP="00E86605">
      <w:pPr>
        <w:pStyle w:val="Odsekzoznamu"/>
        <w:numPr>
          <w:ilvl w:val="0"/>
          <w:numId w:val="6"/>
        </w:numPr>
        <w:tabs>
          <w:tab w:val="left" w:pos="9356"/>
        </w:tabs>
        <w:spacing w:after="120"/>
        <w:ind w:left="426" w:right="68" w:hanging="426"/>
        <w:rPr>
          <w:rFonts w:ascii="Times New Roman" w:hAnsi="Times New Roman"/>
          <w:sz w:val="20"/>
          <w:szCs w:val="20"/>
        </w:rPr>
      </w:pPr>
      <w:r w:rsidRPr="00EF2265">
        <w:rPr>
          <w:rFonts w:ascii="Times New Roman" w:hAnsi="Times New Roman"/>
          <w:sz w:val="20"/>
          <w:szCs w:val="20"/>
        </w:rPr>
        <w:t xml:space="preserve">podklady k iniciácii </w:t>
      </w:r>
      <w:r w:rsidRPr="00EF2265">
        <w:rPr>
          <w:rFonts w:ascii="Times New Roman" w:hAnsi="Times New Roman"/>
          <w:b/>
          <w:sz w:val="20"/>
          <w:szCs w:val="20"/>
        </w:rPr>
        <w:t>4</w:t>
      </w:r>
      <w:r w:rsidRPr="00EF2265">
        <w:rPr>
          <w:rFonts w:ascii="Times New Roman" w:hAnsi="Times New Roman"/>
          <w:sz w:val="20"/>
          <w:szCs w:val="20"/>
        </w:rPr>
        <w:t xml:space="preserve"> doktorandských študijných programov,</w:t>
      </w:r>
    </w:p>
    <w:p w:rsidR="00AD09B4" w:rsidRPr="00EF2265" w:rsidRDefault="00AD09B4" w:rsidP="00E86605">
      <w:pPr>
        <w:pStyle w:val="Odsekzoznamu"/>
        <w:numPr>
          <w:ilvl w:val="0"/>
          <w:numId w:val="6"/>
        </w:numPr>
        <w:tabs>
          <w:tab w:val="left" w:pos="9356"/>
        </w:tabs>
        <w:spacing w:after="120"/>
        <w:ind w:left="426" w:right="68" w:hanging="426"/>
        <w:rPr>
          <w:rFonts w:ascii="Times New Roman" w:hAnsi="Times New Roman"/>
          <w:sz w:val="20"/>
          <w:szCs w:val="20"/>
        </w:rPr>
      </w:pPr>
      <w:r w:rsidRPr="00EF2265">
        <w:rPr>
          <w:rFonts w:ascii="Times New Roman" w:hAnsi="Times New Roman"/>
          <w:b/>
          <w:sz w:val="20"/>
          <w:szCs w:val="20"/>
        </w:rPr>
        <w:t xml:space="preserve">5 správ </w:t>
      </w:r>
      <w:r w:rsidRPr="00EF2265">
        <w:rPr>
          <w:rFonts w:ascii="Times New Roman" w:hAnsi="Times New Roman"/>
          <w:sz w:val="20"/>
          <w:szCs w:val="20"/>
        </w:rPr>
        <w:t xml:space="preserve">o výsledku prijatých opatrení na odstránenie nedostatkov </w:t>
      </w:r>
      <w:r w:rsidRPr="00EF2265">
        <w:rPr>
          <w:rFonts w:ascii="Times New Roman" w:hAnsi="Times New Roman"/>
          <w:b/>
          <w:sz w:val="20"/>
          <w:szCs w:val="20"/>
        </w:rPr>
        <w:t xml:space="preserve">13 </w:t>
      </w:r>
      <w:r w:rsidRPr="00EF2265">
        <w:rPr>
          <w:rFonts w:ascii="Times New Roman" w:hAnsi="Times New Roman"/>
          <w:sz w:val="20"/>
          <w:szCs w:val="20"/>
        </w:rPr>
        <w:t xml:space="preserve">študijných programov. </w:t>
      </w:r>
    </w:p>
    <w:p w:rsidR="00AD09B4" w:rsidRPr="00EF2265" w:rsidRDefault="00AD09B4" w:rsidP="00E86605">
      <w:pPr>
        <w:tabs>
          <w:tab w:val="left" w:pos="9356"/>
        </w:tabs>
        <w:spacing w:after="120"/>
        <w:ind w:right="68"/>
        <w:jc w:val="left"/>
        <w:rPr>
          <w:rFonts w:ascii="Times New Roman" w:hAnsi="Times New Roman"/>
          <w:sz w:val="20"/>
          <w:szCs w:val="20"/>
        </w:rPr>
      </w:pPr>
      <w:r w:rsidRPr="00EF2265">
        <w:rPr>
          <w:rFonts w:ascii="Times New Roman" w:hAnsi="Times New Roman"/>
          <w:sz w:val="20"/>
          <w:szCs w:val="20"/>
        </w:rPr>
        <w:t xml:space="preserve">STU v akademickom roku 2017/2018 oznámila MŠVVaŠ SR ku dňu 31. 3. 2018 </w:t>
      </w:r>
      <w:r w:rsidRPr="00EF2265">
        <w:rPr>
          <w:rFonts w:ascii="Times New Roman" w:hAnsi="Times New Roman"/>
          <w:b/>
          <w:sz w:val="20"/>
          <w:szCs w:val="20"/>
        </w:rPr>
        <w:t>zrušenie 17 dobiehajúcich doktorandských študijných programov v externej forme štúdia</w:t>
      </w:r>
      <w:r w:rsidRPr="00EF2265">
        <w:rPr>
          <w:rFonts w:ascii="Times New Roman" w:hAnsi="Times New Roman"/>
          <w:sz w:val="20"/>
          <w:szCs w:val="20"/>
        </w:rPr>
        <w:t xml:space="preserve">, v ktorých prestala poskytovať vysokoškolské vzdelávanie a </w:t>
      </w:r>
      <w:r w:rsidRPr="00EF2265">
        <w:rPr>
          <w:rFonts w:ascii="Times New Roman" w:hAnsi="Times New Roman"/>
          <w:b/>
          <w:sz w:val="20"/>
          <w:szCs w:val="20"/>
        </w:rPr>
        <w:t>skončenie platnosti</w:t>
      </w:r>
      <w:r w:rsidRPr="00EF2265">
        <w:rPr>
          <w:rFonts w:ascii="Times New Roman" w:hAnsi="Times New Roman"/>
          <w:sz w:val="20"/>
          <w:szCs w:val="20"/>
        </w:rPr>
        <w:t xml:space="preserve"> </w:t>
      </w:r>
      <w:r w:rsidRPr="00EF2265">
        <w:rPr>
          <w:rFonts w:ascii="Times New Roman" w:hAnsi="Times New Roman"/>
          <w:b/>
          <w:sz w:val="20"/>
          <w:szCs w:val="20"/>
        </w:rPr>
        <w:t>78 študijných programov</w:t>
      </w:r>
      <w:r w:rsidRPr="00EF2265">
        <w:rPr>
          <w:rFonts w:ascii="Times New Roman" w:hAnsi="Times New Roman"/>
          <w:sz w:val="20"/>
          <w:szCs w:val="20"/>
        </w:rPr>
        <w:t>, ktorým boli v rámci komplexnej akreditácie činností STU práva odňaté.</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lastRenderedPageBreak/>
        <w:t xml:space="preserve">STU mala na konci akademického roka 2017/2018 priznané práva celkovo pre </w:t>
      </w:r>
      <w:r w:rsidRPr="00EF2265">
        <w:rPr>
          <w:rFonts w:ascii="Times New Roman" w:hAnsi="Times New Roman"/>
          <w:b/>
          <w:sz w:val="20"/>
          <w:szCs w:val="20"/>
        </w:rPr>
        <w:t xml:space="preserve">241 </w:t>
      </w:r>
      <w:r w:rsidRPr="00EF2265">
        <w:rPr>
          <w:rFonts w:ascii="Times New Roman" w:hAnsi="Times New Roman"/>
          <w:sz w:val="20"/>
          <w:szCs w:val="20"/>
        </w:rPr>
        <w:t>študijných programov v štátnom jazyku uskutočňovania (</w:t>
      </w:r>
      <w:r w:rsidRPr="00EF2265">
        <w:rPr>
          <w:rFonts w:ascii="Times New Roman" w:hAnsi="Times New Roman"/>
          <w:b/>
          <w:sz w:val="20"/>
          <w:szCs w:val="20"/>
        </w:rPr>
        <w:t xml:space="preserve">slovenskom, resp. v kombinácii slovenského a anglického jazyka) </w:t>
      </w:r>
      <w:r w:rsidRPr="00EF2265">
        <w:rPr>
          <w:rFonts w:ascii="Times New Roman" w:hAnsi="Times New Roman"/>
          <w:sz w:val="20"/>
          <w:szCs w:val="20"/>
        </w:rPr>
        <w:t xml:space="preserve">a </w:t>
      </w:r>
      <w:r w:rsidRPr="00EF2265">
        <w:rPr>
          <w:rFonts w:ascii="Times New Roman" w:hAnsi="Times New Roman"/>
          <w:b/>
          <w:sz w:val="20"/>
          <w:szCs w:val="20"/>
        </w:rPr>
        <w:t xml:space="preserve">161 </w:t>
      </w:r>
      <w:r w:rsidRPr="00EF2265">
        <w:rPr>
          <w:rFonts w:ascii="Times New Roman" w:hAnsi="Times New Roman"/>
          <w:sz w:val="20"/>
          <w:szCs w:val="20"/>
        </w:rPr>
        <w:t>študijných programov v jazyku uskutočňovania</w:t>
      </w:r>
      <w:r w:rsidRPr="00EF2265">
        <w:rPr>
          <w:rFonts w:ascii="Times New Roman" w:hAnsi="Times New Roman"/>
          <w:b/>
          <w:sz w:val="20"/>
          <w:szCs w:val="20"/>
        </w:rPr>
        <w:t xml:space="preserve"> anglickom </w:t>
      </w:r>
      <w:r w:rsidRPr="00EF2265">
        <w:rPr>
          <w:rFonts w:ascii="Times New Roman" w:hAnsi="Times New Roman"/>
          <w:sz w:val="20"/>
          <w:szCs w:val="20"/>
        </w:rPr>
        <w:t>vo všetkých troch stupňoch štúdia v dennej aj v externej forme štúdia v </w:t>
      </w:r>
      <w:r w:rsidRPr="00EF2265">
        <w:rPr>
          <w:rFonts w:ascii="Times New Roman" w:hAnsi="Times New Roman"/>
          <w:b/>
          <w:sz w:val="20"/>
          <w:szCs w:val="20"/>
        </w:rPr>
        <w:t>60 študijných odboroch</w:t>
      </w:r>
      <w:r w:rsidRPr="00EF2265">
        <w:rPr>
          <w:rFonts w:ascii="Times New Roman" w:hAnsi="Times New Roman"/>
          <w:sz w:val="20"/>
          <w:szCs w:val="20"/>
        </w:rPr>
        <w:t xml:space="preserve">. Na prvom a druhom stupni štúdia mala priznané práva len pre dennú formu štúdia, na treťom stupni štúdia pre dennú aj externú formu štúdia.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Z celkového počtu priznaných práv uskutočňovať študijné programy v štátnom jazyku mala STU </w:t>
      </w:r>
      <w:r w:rsidRPr="00EF2265">
        <w:rPr>
          <w:rFonts w:ascii="Times New Roman" w:hAnsi="Times New Roman"/>
          <w:b/>
          <w:sz w:val="20"/>
          <w:szCs w:val="20"/>
        </w:rPr>
        <w:t xml:space="preserve">97 nových </w:t>
      </w:r>
      <w:r w:rsidRPr="00EF2265">
        <w:rPr>
          <w:rFonts w:ascii="Times New Roman" w:hAnsi="Times New Roman"/>
          <w:sz w:val="20"/>
          <w:szCs w:val="20"/>
        </w:rPr>
        <w:t>študijných programov s časovým obmedzením na štandardnú dĺžku štúdia, ktoré boli akreditované v rámci komplexnej akreditácie činností STU alebo po jej začatí</w:t>
      </w:r>
      <w:r w:rsidRPr="00EF2265">
        <w:rPr>
          <w:rFonts w:ascii="Times New Roman" w:hAnsi="Times New Roman"/>
          <w:b/>
          <w:sz w:val="20"/>
          <w:szCs w:val="20"/>
        </w:rPr>
        <w:t xml:space="preserve"> a 144 existujúcich </w:t>
      </w:r>
      <w:r w:rsidRPr="00EF2265">
        <w:rPr>
          <w:rFonts w:ascii="Times New Roman" w:hAnsi="Times New Roman"/>
          <w:sz w:val="20"/>
          <w:szCs w:val="20"/>
        </w:rPr>
        <w:t xml:space="preserve">študijných programov.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STU v posudzovanom akademickom roku uskutočňovala štúdium aj v </w:t>
      </w:r>
      <w:r w:rsidRPr="00EF2265">
        <w:rPr>
          <w:rFonts w:ascii="Times New Roman" w:hAnsi="Times New Roman"/>
          <w:b/>
          <w:sz w:val="20"/>
          <w:szCs w:val="20"/>
        </w:rPr>
        <w:t>26 dobiehajúcich doktorandských študijných programoch v externej forme štúdia</w:t>
      </w:r>
      <w:r w:rsidRPr="00EF2265">
        <w:rPr>
          <w:rFonts w:ascii="Times New Roman" w:hAnsi="Times New Roman"/>
          <w:sz w:val="20"/>
          <w:szCs w:val="20"/>
        </w:rPr>
        <w:t>, ktoré boli akreditované podľa predpisov platných do 31.12.2012 a ktorým boli práva pozastavené 1. 9. 2016. STU je povinná dobiehajúce študijné programy zrušiť najneskôr do 31. 8. 2021 okrem prípadov, ak zodpovedajúce právo nebude odňaté skôr.</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Sumárny prehľad priznaných práv uskutočňovať študijné programy a udeľovať ich absolventom zodpovedajúce akademické tituly na všetkých stupňoch štúdia v dennej a externej forme na jednotlivých súčastiach STU na konci akademického roka 2017/2018 uvádza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_Ref474776554 \h </w:instrText>
      </w:r>
      <w:r w:rsidR="00D84F47" w:rsidRPr="00EF2265">
        <w:rPr>
          <w:rFonts w:ascii="Times New Roman" w:hAnsi="Times New Roman"/>
          <w:sz w:val="20"/>
          <w:szCs w:val="20"/>
        </w:rPr>
        <w:instrText xml:space="preserve">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noProof/>
          <w:sz w:val="20"/>
          <w:szCs w:val="20"/>
        </w:rPr>
        <w:t>3</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Veľmi dôležité je poznamenať, že v roku 2018 nastala podstatná zmena v legislatíve, ktorá v najbližších rokoch zásadne ovplyvní poskytovanie vysokoškolského vzdelávania v Slovenskej republike najmä zavedením nových pravidiel akreditácie študijných programov a pravidiel posudzovania vnútorného systému zabezpečovania kvality vysokoškolského vzdelávania. </w:t>
      </w:r>
      <w:r w:rsidRPr="00EF2265">
        <w:rPr>
          <w:rFonts w:ascii="Times New Roman" w:hAnsi="Times New Roman"/>
          <w:sz w:val="20"/>
          <w:szCs w:val="20"/>
        </w:rPr>
        <w:br/>
        <w:t>Od 1. 11. 2018 nadobudol účinnosť zákon č. 269/2018 Z. z. o zabezpečovaní kvality vysokoškolského vzdelávania a o zmene a doplnení zákona č. 343/2015 Z. z. o verejnom obstarávaní a o zmene a doplnení niektorých zákonov v znení neskorších predpisov a tiež zákon č. 270/2018 Z. z., ktorým sa mení a dopĺňa zákon č. 131/2002 Z. z. o vysokých školách a o zmene a doplnení niektorých zákonov v znení neskorších predpisov a ktorým sa menia a dopĺňajú niektoré zákony.</w:t>
      </w:r>
    </w:p>
    <w:p w:rsidR="00AD09B4" w:rsidRPr="00EF2265" w:rsidRDefault="00AD09B4" w:rsidP="00E86605">
      <w:pPr>
        <w:tabs>
          <w:tab w:val="left" w:pos="9356"/>
        </w:tabs>
        <w:spacing w:after="120"/>
        <w:jc w:val="left"/>
        <w:rPr>
          <w:rFonts w:ascii="Times New Roman" w:hAnsi="Times New Roman"/>
          <w:sz w:val="20"/>
          <w:szCs w:val="20"/>
        </w:rPr>
      </w:pPr>
    </w:p>
    <w:p w:rsidR="00AD09B4" w:rsidRPr="00EF2265" w:rsidRDefault="00AD09B4" w:rsidP="00E86605">
      <w:pPr>
        <w:framePr w:hSpace="141" w:wrap="around" w:vAnchor="text" w:hAnchor="margin" w:x="-590" w:y="116"/>
        <w:tabs>
          <w:tab w:val="left" w:pos="9356"/>
        </w:tabs>
        <w:jc w:val="left"/>
        <w:rPr>
          <w:rFonts w:ascii="Times New Roman" w:hAnsi="Times New Roman"/>
          <w:sz w:val="20"/>
          <w:szCs w:val="20"/>
        </w:rPr>
        <w:sectPr w:rsidR="00AD09B4" w:rsidRPr="00EF2265" w:rsidSect="00583284">
          <w:headerReference w:type="default" r:id="rId14"/>
          <w:footerReference w:type="default" r:id="rId15"/>
          <w:headerReference w:type="first" r:id="rId16"/>
          <w:pgSz w:w="11906" w:h="16838"/>
          <w:pgMar w:top="1560" w:right="991" w:bottom="851" w:left="1417" w:header="426" w:footer="390" w:gutter="0"/>
          <w:pgNumType w:start="1"/>
          <w:cols w:space="708"/>
          <w:docGrid w:linePitch="326"/>
        </w:sectPr>
      </w:pPr>
    </w:p>
    <w:p w:rsidR="00AD09B4" w:rsidRPr="00EF2265" w:rsidRDefault="00AD09B4" w:rsidP="00E86605">
      <w:pPr>
        <w:tabs>
          <w:tab w:val="left" w:pos="9356"/>
        </w:tabs>
        <w:jc w:val="left"/>
        <w:rPr>
          <w:rFonts w:ascii="Times New Roman" w:hAnsi="Times New Roman"/>
          <w:sz w:val="20"/>
          <w:szCs w:val="20"/>
        </w:rPr>
      </w:pPr>
      <w:bookmarkStart w:id="8" w:name="_Ref474776554"/>
      <w:bookmarkStart w:id="9" w:name="_Ref474776540"/>
      <w:bookmarkStart w:id="10" w:name="_Toc534793942"/>
      <w:r w:rsidRPr="00EF2265">
        <w:rPr>
          <w:rFonts w:ascii="Times New Roman" w:hAnsi="Times New Roman"/>
          <w:sz w:val="20"/>
          <w:szCs w:val="20"/>
        </w:rPr>
        <w:lastRenderedPageBreak/>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w:t>
      </w:r>
      <w:r w:rsidRPr="00EF2265">
        <w:rPr>
          <w:rFonts w:ascii="Times New Roman" w:hAnsi="Times New Roman"/>
          <w:sz w:val="20"/>
          <w:szCs w:val="20"/>
        </w:rPr>
        <w:fldChar w:fldCharType="end"/>
      </w:r>
      <w:bookmarkEnd w:id="8"/>
      <w:r w:rsidRPr="00EF2265">
        <w:rPr>
          <w:rFonts w:ascii="Times New Roman" w:hAnsi="Times New Roman"/>
          <w:sz w:val="20"/>
          <w:szCs w:val="20"/>
        </w:rPr>
        <w:t>: Prehľad akreditovaných študijných programov</w:t>
      </w:r>
      <w:bookmarkEnd w:id="9"/>
      <w:r w:rsidRPr="00EF2265">
        <w:rPr>
          <w:rFonts w:ascii="Times New Roman" w:hAnsi="Times New Roman"/>
          <w:sz w:val="20"/>
          <w:szCs w:val="20"/>
        </w:rPr>
        <w:t xml:space="preserve"> v akademickom roku 2017/2018</w:t>
      </w:r>
      <w:bookmarkEnd w:id="10"/>
    </w:p>
    <w:p w:rsidR="00AD09B4" w:rsidRPr="00EF2265" w:rsidRDefault="00AD09B4" w:rsidP="00E86605">
      <w:pPr>
        <w:tabs>
          <w:tab w:val="left" w:pos="9356"/>
        </w:tabs>
        <w:jc w:val="left"/>
        <w:rPr>
          <w:rFonts w:ascii="Times New Roman" w:eastAsia="Times New Roman" w:hAnsi="Times New Roman"/>
          <w:sz w:val="20"/>
          <w:szCs w:val="20"/>
          <w:lang w:eastAsia="sk-SK"/>
        </w:rPr>
      </w:pPr>
    </w:p>
    <w:tbl>
      <w:tblPr>
        <w:tblpPr w:leftFromText="141" w:rightFromText="141" w:vertAnchor="text" w:horzAnchor="margin" w:tblpY="99"/>
        <w:tblW w:w="15712" w:type="dxa"/>
        <w:tblLayout w:type="fixed"/>
        <w:tblCellMar>
          <w:left w:w="70" w:type="dxa"/>
          <w:right w:w="70" w:type="dxa"/>
        </w:tblCellMar>
        <w:tblLook w:val="04A0" w:firstRow="1" w:lastRow="0" w:firstColumn="1" w:lastColumn="0" w:noHBand="0" w:noVBand="1"/>
      </w:tblPr>
      <w:tblGrid>
        <w:gridCol w:w="683"/>
        <w:gridCol w:w="424"/>
        <w:gridCol w:w="425"/>
        <w:gridCol w:w="425"/>
        <w:gridCol w:w="425"/>
        <w:gridCol w:w="425"/>
        <w:gridCol w:w="424"/>
        <w:gridCol w:w="425"/>
        <w:gridCol w:w="425"/>
        <w:gridCol w:w="425"/>
        <w:gridCol w:w="425"/>
        <w:gridCol w:w="424"/>
        <w:gridCol w:w="425"/>
        <w:gridCol w:w="425"/>
        <w:gridCol w:w="425"/>
        <w:gridCol w:w="425"/>
        <w:gridCol w:w="425"/>
        <w:gridCol w:w="425"/>
        <w:gridCol w:w="425"/>
        <w:gridCol w:w="425"/>
        <w:gridCol w:w="425"/>
        <w:gridCol w:w="425"/>
        <w:gridCol w:w="497"/>
        <w:gridCol w:w="497"/>
        <w:gridCol w:w="497"/>
        <w:gridCol w:w="497"/>
        <w:gridCol w:w="497"/>
        <w:gridCol w:w="498"/>
        <w:gridCol w:w="497"/>
        <w:gridCol w:w="497"/>
        <w:gridCol w:w="497"/>
        <w:gridCol w:w="498"/>
        <w:gridCol w:w="498"/>
        <w:gridCol w:w="637"/>
      </w:tblGrid>
      <w:tr w:rsidR="00AD09B4" w:rsidRPr="00EF2265" w:rsidTr="00351A8A">
        <w:trPr>
          <w:trHeight w:val="315"/>
        </w:trPr>
        <w:tc>
          <w:tcPr>
            <w:tcW w:w="683" w:type="dxa"/>
            <w:vMerge w:val="restart"/>
            <w:tcBorders>
              <w:top w:val="double" w:sz="6" w:space="0" w:color="auto"/>
              <w:left w:val="double" w:sz="6" w:space="0" w:color="auto"/>
              <w:bottom w:val="double" w:sz="6" w:space="0" w:color="000000"/>
              <w:right w:val="double" w:sz="6" w:space="0" w:color="auto"/>
            </w:tcBorders>
            <w:shd w:val="clear" w:color="auto" w:fill="auto"/>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Súčasť STU</w:t>
            </w:r>
          </w:p>
        </w:tc>
        <w:tc>
          <w:tcPr>
            <w:tcW w:w="14392" w:type="dxa"/>
            <w:gridSpan w:val="32"/>
            <w:tcBorders>
              <w:top w:val="double" w:sz="6" w:space="0" w:color="auto"/>
              <w:left w:val="nil"/>
              <w:bottom w:val="single" w:sz="4" w:space="0" w:color="auto"/>
              <w:right w:val="single" w:sz="12" w:space="0" w:color="auto"/>
            </w:tcBorders>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Študijné programy s priznanými právami po začatí komplexnej akreditácie</w:t>
            </w:r>
          </w:p>
        </w:tc>
        <w:tc>
          <w:tcPr>
            <w:tcW w:w="637" w:type="dxa"/>
            <w:vMerge w:val="restart"/>
            <w:tcBorders>
              <w:top w:val="double" w:sz="6" w:space="0" w:color="auto"/>
              <w:left w:val="single" w:sz="12" w:space="0" w:color="auto"/>
              <w:right w:val="double" w:sz="6" w:space="0" w:color="000000"/>
            </w:tcBorders>
            <w:shd w:val="clear" w:color="auto" w:fill="EEECE1" w:themeFill="background2"/>
            <w:vAlign w:val="center"/>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ŠO</w:t>
            </w:r>
          </w:p>
        </w:tc>
      </w:tr>
      <w:tr w:rsidR="00AD09B4" w:rsidRPr="00EF2265" w:rsidTr="00351A8A">
        <w:trPr>
          <w:trHeight w:val="149"/>
        </w:trPr>
        <w:tc>
          <w:tcPr>
            <w:tcW w:w="683" w:type="dxa"/>
            <w:vMerge/>
            <w:tcBorders>
              <w:top w:val="double" w:sz="6" w:space="0" w:color="auto"/>
              <w:left w:val="double" w:sz="6" w:space="0" w:color="auto"/>
              <w:bottom w:val="double" w:sz="6" w:space="0" w:color="000000"/>
              <w:right w:val="double" w:sz="6" w:space="0" w:color="auto"/>
            </w:tcBorders>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p>
        </w:tc>
        <w:tc>
          <w:tcPr>
            <w:tcW w:w="4248" w:type="dxa"/>
            <w:gridSpan w:val="10"/>
            <w:tcBorders>
              <w:top w:val="single" w:sz="4" w:space="0" w:color="auto"/>
              <w:left w:val="double" w:sz="6" w:space="0" w:color="auto"/>
              <w:bottom w:val="single" w:sz="4" w:space="0" w:color="auto"/>
              <w:right w:val="single" w:sz="12" w:space="0" w:color="auto"/>
            </w:tcBorders>
            <w:shd w:val="clear" w:color="auto" w:fill="auto"/>
            <w:noWrap/>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len v dennej forme štúdia</w:t>
            </w:r>
          </w:p>
        </w:tc>
        <w:tc>
          <w:tcPr>
            <w:tcW w:w="2124" w:type="dxa"/>
            <w:gridSpan w:val="5"/>
            <w:tcBorders>
              <w:top w:val="single" w:sz="4" w:space="0" w:color="auto"/>
              <w:left w:val="single" w:sz="12" w:space="0" w:color="auto"/>
              <w:bottom w:val="single" w:sz="4" w:space="0" w:color="auto"/>
              <w:right w:val="single" w:sz="12" w:space="0" w:color="auto"/>
            </w:tcBorders>
            <w:shd w:val="clear" w:color="auto" w:fill="auto"/>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 dennej forme štúdia</w:t>
            </w:r>
          </w:p>
        </w:tc>
        <w:tc>
          <w:tcPr>
            <w:tcW w:w="2550" w:type="dxa"/>
            <w:gridSpan w:val="6"/>
            <w:tcBorders>
              <w:top w:val="single" w:sz="4" w:space="0" w:color="auto"/>
              <w:left w:val="single" w:sz="12" w:space="0" w:color="auto"/>
              <w:bottom w:val="single" w:sz="4" w:space="0" w:color="auto"/>
              <w:right w:val="single" w:sz="12" w:space="0" w:color="auto"/>
            </w:tcBorders>
            <w:vAlign w:val="center"/>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 externej forme štúdia</w:t>
            </w:r>
          </w:p>
        </w:tc>
        <w:tc>
          <w:tcPr>
            <w:tcW w:w="2485" w:type="dxa"/>
            <w:gridSpan w:val="5"/>
            <w:vMerge w:val="restart"/>
            <w:tcBorders>
              <w:top w:val="single" w:sz="4" w:space="0" w:color="auto"/>
              <w:left w:val="single" w:sz="12" w:space="0" w:color="auto"/>
              <w:bottom w:val="single" w:sz="4" w:space="0" w:color="000000"/>
              <w:right w:val="single" w:sz="12" w:space="0" w:color="auto"/>
            </w:tcBorders>
            <w:shd w:val="clear" w:color="auto" w:fill="auto"/>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 denná forma</w:t>
            </w:r>
          </w:p>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všetky stupne</w:t>
            </w:r>
          </w:p>
        </w:tc>
        <w:tc>
          <w:tcPr>
            <w:tcW w:w="2985" w:type="dxa"/>
            <w:gridSpan w:val="6"/>
            <w:vMerge w:val="restart"/>
            <w:tcBorders>
              <w:top w:val="single" w:sz="4" w:space="0" w:color="auto"/>
              <w:left w:val="single" w:sz="12" w:space="0" w:color="auto"/>
              <w:right w:val="single" w:sz="12" w:space="0" w:color="auto"/>
            </w:tcBorders>
            <w:vAlign w:val="center"/>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 denná a externá forma všetky stupne</w:t>
            </w:r>
          </w:p>
        </w:tc>
        <w:tc>
          <w:tcPr>
            <w:tcW w:w="637" w:type="dxa"/>
            <w:vMerge/>
            <w:tcBorders>
              <w:left w:val="single" w:sz="12" w:space="0" w:color="auto"/>
              <w:right w:val="double" w:sz="6" w:space="0" w:color="000000"/>
            </w:tcBorders>
            <w:shd w:val="clear" w:color="auto" w:fill="EEECE1" w:themeFill="background2"/>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p>
        </w:tc>
      </w:tr>
      <w:tr w:rsidR="00AD09B4" w:rsidRPr="00EF2265" w:rsidTr="00351A8A">
        <w:trPr>
          <w:trHeight w:val="323"/>
        </w:trPr>
        <w:tc>
          <w:tcPr>
            <w:tcW w:w="683" w:type="dxa"/>
            <w:vMerge/>
            <w:tcBorders>
              <w:top w:val="double" w:sz="6" w:space="0" w:color="auto"/>
              <w:left w:val="double" w:sz="6" w:space="0" w:color="auto"/>
              <w:bottom w:val="double" w:sz="6" w:space="0" w:color="000000"/>
              <w:right w:val="double" w:sz="6" w:space="0" w:color="auto"/>
            </w:tcBorders>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p>
        </w:tc>
        <w:tc>
          <w:tcPr>
            <w:tcW w:w="2124" w:type="dxa"/>
            <w:gridSpan w:val="5"/>
            <w:tcBorders>
              <w:top w:val="single" w:sz="4" w:space="0" w:color="auto"/>
              <w:left w:val="double" w:sz="6" w:space="0" w:color="auto"/>
              <w:bottom w:val="single" w:sz="4" w:space="0" w:color="auto"/>
              <w:right w:val="single" w:sz="12" w:space="0" w:color="auto"/>
            </w:tcBorders>
            <w:shd w:val="clear" w:color="auto" w:fill="auto"/>
            <w:noWrap/>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 stupeň</w:t>
            </w:r>
          </w:p>
        </w:tc>
        <w:tc>
          <w:tcPr>
            <w:tcW w:w="2124" w:type="dxa"/>
            <w:gridSpan w:val="5"/>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II. stupeň</w:t>
            </w:r>
          </w:p>
        </w:tc>
        <w:tc>
          <w:tcPr>
            <w:tcW w:w="2124" w:type="dxa"/>
            <w:gridSpan w:val="5"/>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III. stupeň</w:t>
            </w:r>
          </w:p>
        </w:tc>
        <w:tc>
          <w:tcPr>
            <w:tcW w:w="2550" w:type="dxa"/>
            <w:gridSpan w:val="6"/>
            <w:tcBorders>
              <w:top w:val="nil"/>
              <w:left w:val="single" w:sz="12" w:space="0" w:color="auto"/>
              <w:bottom w:val="single" w:sz="4" w:space="0" w:color="auto"/>
              <w:right w:val="single" w:sz="12" w:space="0" w:color="auto"/>
            </w:tcBorders>
            <w:vAlign w:val="center"/>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III. stupeň</w:t>
            </w:r>
          </w:p>
        </w:tc>
        <w:tc>
          <w:tcPr>
            <w:tcW w:w="2485" w:type="dxa"/>
            <w:gridSpan w:val="5"/>
            <w:vMerge/>
            <w:tcBorders>
              <w:top w:val="single" w:sz="4" w:space="0" w:color="auto"/>
              <w:left w:val="single" w:sz="12" w:space="0" w:color="auto"/>
              <w:bottom w:val="single" w:sz="4" w:space="0" w:color="000000"/>
              <w:right w:val="single" w:sz="12" w:space="0" w:color="auto"/>
            </w:tcBorders>
            <w:shd w:val="clear" w:color="auto" w:fill="auto"/>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p>
        </w:tc>
        <w:tc>
          <w:tcPr>
            <w:tcW w:w="2985" w:type="dxa"/>
            <w:gridSpan w:val="6"/>
            <w:vMerge/>
            <w:tcBorders>
              <w:left w:val="single" w:sz="12" w:space="0" w:color="auto"/>
              <w:bottom w:val="nil"/>
              <w:right w:val="single" w:sz="12" w:space="0" w:color="auto"/>
            </w:tcBorders>
            <w:vAlign w:val="center"/>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p>
        </w:tc>
        <w:tc>
          <w:tcPr>
            <w:tcW w:w="637" w:type="dxa"/>
            <w:vMerge/>
            <w:tcBorders>
              <w:left w:val="single" w:sz="12" w:space="0" w:color="auto"/>
              <w:right w:val="double" w:sz="6" w:space="0" w:color="000000"/>
            </w:tcBorders>
            <w:shd w:val="clear" w:color="auto" w:fill="EEECE1" w:themeFill="background2"/>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p>
        </w:tc>
      </w:tr>
      <w:tr w:rsidR="00AD09B4" w:rsidRPr="00EF2265" w:rsidTr="00351A8A">
        <w:trPr>
          <w:trHeight w:val="173"/>
        </w:trPr>
        <w:tc>
          <w:tcPr>
            <w:tcW w:w="683" w:type="dxa"/>
            <w:vMerge/>
            <w:tcBorders>
              <w:top w:val="double" w:sz="6" w:space="0" w:color="auto"/>
              <w:left w:val="double" w:sz="6" w:space="0" w:color="auto"/>
              <w:bottom w:val="double" w:sz="6" w:space="0" w:color="000000"/>
              <w:right w:val="double" w:sz="6" w:space="0" w:color="auto"/>
            </w:tcBorders>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p>
        </w:tc>
        <w:tc>
          <w:tcPr>
            <w:tcW w:w="424" w:type="dxa"/>
            <w:tcBorders>
              <w:top w:val="nil"/>
              <w:left w:val="double" w:sz="6" w:space="0" w:color="auto"/>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w:t>
            </w:r>
          </w:p>
        </w:tc>
        <w:tc>
          <w:tcPr>
            <w:tcW w:w="425" w:type="dxa"/>
            <w:tcBorders>
              <w:top w:val="nil"/>
              <w:left w:val="nil"/>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w:t>
            </w:r>
          </w:p>
        </w:tc>
        <w:tc>
          <w:tcPr>
            <w:tcW w:w="425" w:type="dxa"/>
            <w:tcBorders>
              <w:top w:val="nil"/>
              <w:left w:val="nil"/>
              <w:bottom w:val="double" w:sz="6"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p>
        </w:tc>
        <w:tc>
          <w:tcPr>
            <w:tcW w:w="425" w:type="dxa"/>
            <w:tcBorders>
              <w:top w:val="nil"/>
              <w:left w:val="nil"/>
              <w:bottom w:val="double" w:sz="6" w:space="0" w:color="auto"/>
              <w:right w:val="single" w:sz="8"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AJ</w:t>
            </w:r>
          </w:p>
        </w:tc>
        <w:tc>
          <w:tcPr>
            <w:tcW w:w="425" w:type="dxa"/>
            <w:tcBorders>
              <w:top w:val="nil"/>
              <w:left w:val="nil"/>
              <w:bottom w:val="double" w:sz="6" w:space="0" w:color="auto"/>
              <w:right w:val="single" w:sz="12"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r w:rsidRPr="00EF2265">
              <w:rPr>
                <w:rFonts w:ascii="Times New Roman" w:eastAsia="Times New Roman" w:hAnsi="Times New Roman"/>
                <w:b/>
                <w:bCs/>
                <w:sz w:val="20"/>
                <w:szCs w:val="20"/>
                <w:vertAlign w:val="subscript"/>
                <w:lang w:eastAsia="sk-SK"/>
              </w:rPr>
              <w:t>1</w:t>
            </w:r>
          </w:p>
        </w:tc>
        <w:tc>
          <w:tcPr>
            <w:tcW w:w="424" w:type="dxa"/>
            <w:tcBorders>
              <w:top w:val="nil"/>
              <w:left w:val="single" w:sz="12" w:space="0" w:color="auto"/>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w:t>
            </w:r>
          </w:p>
        </w:tc>
        <w:tc>
          <w:tcPr>
            <w:tcW w:w="425" w:type="dxa"/>
            <w:tcBorders>
              <w:top w:val="nil"/>
              <w:left w:val="nil"/>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w:t>
            </w:r>
          </w:p>
        </w:tc>
        <w:tc>
          <w:tcPr>
            <w:tcW w:w="425" w:type="dxa"/>
            <w:tcBorders>
              <w:top w:val="nil"/>
              <w:left w:val="nil"/>
              <w:bottom w:val="double" w:sz="6"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p>
        </w:tc>
        <w:tc>
          <w:tcPr>
            <w:tcW w:w="425" w:type="dxa"/>
            <w:tcBorders>
              <w:top w:val="nil"/>
              <w:left w:val="nil"/>
              <w:bottom w:val="double" w:sz="6" w:space="0" w:color="auto"/>
              <w:right w:val="single" w:sz="8"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AJ</w:t>
            </w:r>
          </w:p>
        </w:tc>
        <w:tc>
          <w:tcPr>
            <w:tcW w:w="425" w:type="dxa"/>
            <w:tcBorders>
              <w:top w:val="nil"/>
              <w:left w:val="nil"/>
              <w:bottom w:val="double" w:sz="6" w:space="0" w:color="auto"/>
              <w:right w:val="single" w:sz="12"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r w:rsidRPr="00EF2265">
              <w:rPr>
                <w:rFonts w:ascii="Times New Roman" w:eastAsia="Times New Roman" w:hAnsi="Times New Roman"/>
                <w:b/>
                <w:bCs/>
                <w:sz w:val="20"/>
                <w:szCs w:val="20"/>
                <w:vertAlign w:val="subscript"/>
                <w:lang w:eastAsia="sk-SK"/>
              </w:rPr>
              <w:t>2</w:t>
            </w:r>
          </w:p>
        </w:tc>
        <w:tc>
          <w:tcPr>
            <w:tcW w:w="424" w:type="dxa"/>
            <w:tcBorders>
              <w:top w:val="nil"/>
              <w:left w:val="single" w:sz="12" w:space="0" w:color="auto"/>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w:t>
            </w:r>
          </w:p>
        </w:tc>
        <w:tc>
          <w:tcPr>
            <w:tcW w:w="425" w:type="dxa"/>
            <w:tcBorders>
              <w:top w:val="nil"/>
              <w:left w:val="nil"/>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w:t>
            </w:r>
          </w:p>
        </w:tc>
        <w:tc>
          <w:tcPr>
            <w:tcW w:w="425" w:type="dxa"/>
            <w:tcBorders>
              <w:top w:val="nil"/>
              <w:left w:val="nil"/>
              <w:bottom w:val="double" w:sz="6"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p>
        </w:tc>
        <w:tc>
          <w:tcPr>
            <w:tcW w:w="425" w:type="dxa"/>
            <w:tcBorders>
              <w:top w:val="nil"/>
              <w:left w:val="nil"/>
              <w:bottom w:val="double" w:sz="6" w:space="0" w:color="auto"/>
              <w:right w:val="single" w:sz="8"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AJ</w:t>
            </w:r>
          </w:p>
        </w:tc>
        <w:tc>
          <w:tcPr>
            <w:tcW w:w="425" w:type="dxa"/>
            <w:tcBorders>
              <w:top w:val="nil"/>
              <w:left w:val="nil"/>
              <w:bottom w:val="double" w:sz="6" w:space="0" w:color="auto"/>
              <w:right w:val="single" w:sz="12"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r w:rsidRPr="00EF2265">
              <w:rPr>
                <w:rFonts w:ascii="Times New Roman" w:eastAsia="Times New Roman" w:hAnsi="Times New Roman"/>
                <w:b/>
                <w:bCs/>
                <w:sz w:val="20"/>
                <w:szCs w:val="20"/>
                <w:vertAlign w:val="subscript"/>
                <w:lang w:eastAsia="sk-SK"/>
              </w:rPr>
              <w:t>3d</w:t>
            </w:r>
          </w:p>
        </w:tc>
        <w:tc>
          <w:tcPr>
            <w:tcW w:w="425" w:type="dxa"/>
            <w:tcBorders>
              <w:top w:val="nil"/>
              <w:left w:val="single" w:sz="12" w:space="0" w:color="auto"/>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w:t>
            </w:r>
          </w:p>
        </w:tc>
        <w:tc>
          <w:tcPr>
            <w:tcW w:w="425" w:type="dxa"/>
            <w:tcBorders>
              <w:top w:val="nil"/>
              <w:left w:val="nil"/>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w:t>
            </w:r>
          </w:p>
        </w:tc>
        <w:tc>
          <w:tcPr>
            <w:tcW w:w="425" w:type="dxa"/>
            <w:tcBorders>
              <w:top w:val="nil"/>
              <w:left w:val="nil"/>
              <w:bottom w:val="double" w:sz="6"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p>
        </w:tc>
        <w:tc>
          <w:tcPr>
            <w:tcW w:w="425" w:type="dxa"/>
            <w:tcBorders>
              <w:top w:val="nil"/>
              <w:left w:val="nil"/>
              <w:bottom w:val="double" w:sz="6" w:space="0" w:color="auto"/>
              <w:right w:val="single" w:sz="8"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AJ</w:t>
            </w:r>
          </w:p>
        </w:tc>
        <w:tc>
          <w:tcPr>
            <w:tcW w:w="425" w:type="dxa"/>
            <w:tcBorders>
              <w:top w:val="nil"/>
              <w:left w:val="nil"/>
              <w:bottom w:val="double" w:sz="6" w:space="0" w:color="auto"/>
              <w:right w:val="single" w:sz="4" w:space="0" w:color="auto"/>
            </w:tcBorders>
            <w:vAlign w:val="bottom"/>
          </w:tcPr>
          <w:p w:rsidR="00AD09B4" w:rsidRPr="00EF2265" w:rsidRDefault="00AD09B4" w:rsidP="00E86605">
            <w:pPr>
              <w:tabs>
                <w:tab w:val="left" w:pos="9356"/>
              </w:tabs>
              <w:ind w:left="-14"/>
              <w:jc w:val="left"/>
              <w:rPr>
                <w:rFonts w:ascii="Times New Roman" w:hAnsi="Times New Roman"/>
                <w:b/>
                <w:bCs/>
                <w:sz w:val="20"/>
                <w:szCs w:val="20"/>
              </w:rPr>
            </w:pPr>
            <w:r w:rsidRPr="00EF2265">
              <w:rPr>
                <w:rFonts w:ascii="Times New Roman" w:hAnsi="Times New Roman"/>
                <w:b/>
                <w:bCs/>
                <w:sz w:val="20"/>
                <w:szCs w:val="20"/>
              </w:rPr>
              <w:t>P</w:t>
            </w:r>
          </w:p>
        </w:tc>
        <w:tc>
          <w:tcPr>
            <w:tcW w:w="425" w:type="dxa"/>
            <w:tcBorders>
              <w:top w:val="nil"/>
              <w:left w:val="single" w:sz="4" w:space="0" w:color="auto"/>
              <w:bottom w:val="double" w:sz="6" w:space="0" w:color="auto"/>
              <w:right w:val="single" w:sz="12"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hAnsi="Times New Roman"/>
                <w:b/>
                <w:bCs/>
                <w:sz w:val="20"/>
                <w:szCs w:val="20"/>
              </w:rPr>
            </w:pPr>
            <w:r w:rsidRPr="00EF2265">
              <w:rPr>
                <w:rFonts w:ascii="Times New Roman" w:hAnsi="Times New Roman"/>
                <w:b/>
                <w:bCs/>
                <w:sz w:val="20"/>
                <w:szCs w:val="20"/>
              </w:rPr>
              <w:t>Σ</w:t>
            </w:r>
            <w:r w:rsidRPr="00EF2265">
              <w:rPr>
                <w:rFonts w:ascii="Times New Roman" w:hAnsi="Times New Roman"/>
                <w:b/>
                <w:bCs/>
                <w:sz w:val="20"/>
                <w:szCs w:val="20"/>
                <w:vertAlign w:val="subscript"/>
              </w:rPr>
              <w:t>3e</w:t>
            </w:r>
          </w:p>
        </w:tc>
        <w:tc>
          <w:tcPr>
            <w:tcW w:w="497" w:type="dxa"/>
            <w:tcBorders>
              <w:top w:val="nil"/>
              <w:left w:val="single" w:sz="12" w:space="0" w:color="auto"/>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w:t>
            </w:r>
          </w:p>
        </w:tc>
        <w:tc>
          <w:tcPr>
            <w:tcW w:w="497" w:type="dxa"/>
            <w:tcBorders>
              <w:top w:val="nil"/>
              <w:left w:val="nil"/>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w:t>
            </w:r>
          </w:p>
        </w:tc>
        <w:tc>
          <w:tcPr>
            <w:tcW w:w="497" w:type="dxa"/>
            <w:tcBorders>
              <w:top w:val="nil"/>
              <w:left w:val="nil"/>
              <w:bottom w:val="double" w:sz="6"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p>
        </w:tc>
        <w:tc>
          <w:tcPr>
            <w:tcW w:w="497" w:type="dxa"/>
            <w:tcBorders>
              <w:top w:val="nil"/>
              <w:left w:val="nil"/>
              <w:bottom w:val="double" w:sz="6" w:space="0" w:color="auto"/>
              <w:right w:val="single" w:sz="8"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AJ</w:t>
            </w:r>
          </w:p>
        </w:tc>
        <w:tc>
          <w:tcPr>
            <w:tcW w:w="497" w:type="dxa"/>
            <w:tcBorders>
              <w:top w:val="nil"/>
              <w:left w:val="nil"/>
              <w:bottom w:val="nil"/>
              <w:right w:val="single" w:sz="12" w:space="0" w:color="auto"/>
            </w:tcBorders>
            <w:shd w:val="clear" w:color="auto" w:fill="auto"/>
            <w:noWrap/>
            <w:vAlign w:val="center"/>
            <w:hideMark/>
          </w:tcPr>
          <w:p w:rsidR="00AD09B4" w:rsidRPr="00EF2265" w:rsidRDefault="00AD09B4" w:rsidP="00E86605">
            <w:pPr>
              <w:tabs>
                <w:tab w:val="left" w:pos="9356"/>
              </w:tabs>
              <w:ind w:left="-14"/>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DF</w:t>
            </w:r>
          </w:p>
        </w:tc>
        <w:tc>
          <w:tcPr>
            <w:tcW w:w="498" w:type="dxa"/>
            <w:tcBorders>
              <w:top w:val="single" w:sz="4" w:space="0" w:color="auto"/>
              <w:left w:val="single" w:sz="12" w:space="0" w:color="auto"/>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w:t>
            </w:r>
          </w:p>
        </w:tc>
        <w:tc>
          <w:tcPr>
            <w:tcW w:w="497" w:type="dxa"/>
            <w:tcBorders>
              <w:top w:val="single" w:sz="4" w:space="0" w:color="auto"/>
              <w:left w:val="nil"/>
              <w:bottom w:val="double" w:sz="6" w:space="0" w:color="auto"/>
              <w:right w:val="single" w:sz="4"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w:t>
            </w:r>
          </w:p>
        </w:tc>
        <w:tc>
          <w:tcPr>
            <w:tcW w:w="497" w:type="dxa"/>
            <w:tcBorders>
              <w:top w:val="single" w:sz="4" w:space="0" w:color="auto"/>
              <w:left w:val="nil"/>
              <w:bottom w:val="double" w:sz="6"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p>
        </w:tc>
        <w:tc>
          <w:tcPr>
            <w:tcW w:w="497" w:type="dxa"/>
            <w:tcBorders>
              <w:top w:val="single" w:sz="4" w:space="0" w:color="auto"/>
              <w:left w:val="nil"/>
              <w:bottom w:val="double" w:sz="6" w:space="0" w:color="auto"/>
              <w:right w:val="single" w:sz="8"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AJ</w:t>
            </w:r>
          </w:p>
        </w:tc>
        <w:tc>
          <w:tcPr>
            <w:tcW w:w="498" w:type="dxa"/>
            <w:tcBorders>
              <w:top w:val="single" w:sz="8" w:space="0" w:color="auto"/>
              <w:left w:val="nil"/>
              <w:bottom w:val="double" w:sz="6" w:space="0" w:color="auto"/>
              <w:right w:val="single" w:sz="4" w:space="0" w:color="auto"/>
            </w:tcBorders>
            <w:vAlign w:val="bottom"/>
          </w:tcPr>
          <w:p w:rsidR="00AD09B4" w:rsidRPr="00EF2265" w:rsidRDefault="00AD09B4" w:rsidP="00E86605">
            <w:pPr>
              <w:tabs>
                <w:tab w:val="left" w:pos="9356"/>
              </w:tabs>
              <w:ind w:left="-14"/>
              <w:jc w:val="left"/>
              <w:rPr>
                <w:rFonts w:ascii="Times New Roman" w:hAnsi="Times New Roman"/>
                <w:b/>
                <w:bCs/>
                <w:sz w:val="20"/>
                <w:szCs w:val="20"/>
              </w:rPr>
            </w:pPr>
            <w:r w:rsidRPr="00EF2265">
              <w:rPr>
                <w:rFonts w:ascii="Times New Roman" w:hAnsi="Times New Roman"/>
                <w:b/>
                <w:bCs/>
                <w:sz w:val="20"/>
                <w:szCs w:val="20"/>
              </w:rPr>
              <w:t>P</w:t>
            </w:r>
          </w:p>
        </w:tc>
        <w:tc>
          <w:tcPr>
            <w:tcW w:w="498" w:type="dxa"/>
            <w:tcBorders>
              <w:top w:val="single" w:sz="8" w:space="0" w:color="auto"/>
              <w:left w:val="single" w:sz="4" w:space="0" w:color="auto"/>
              <w:bottom w:val="double" w:sz="6" w:space="0" w:color="auto"/>
              <w:right w:val="single" w:sz="12" w:space="0" w:color="auto"/>
            </w:tcBorders>
            <w:shd w:val="clear" w:color="auto" w:fill="auto"/>
            <w:noWrap/>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Σ</w:t>
            </w:r>
            <w:r w:rsidRPr="00EF2265">
              <w:rPr>
                <w:rFonts w:ascii="Times New Roman" w:eastAsia="Times New Roman" w:hAnsi="Times New Roman"/>
                <w:b/>
                <w:bCs/>
                <w:sz w:val="20"/>
                <w:szCs w:val="20"/>
                <w:vertAlign w:val="subscript"/>
                <w:lang w:eastAsia="sk-SK"/>
              </w:rPr>
              <w:t>SP</w:t>
            </w:r>
          </w:p>
        </w:tc>
        <w:tc>
          <w:tcPr>
            <w:tcW w:w="637" w:type="dxa"/>
            <w:vMerge/>
            <w:tcBorders>
              <w:left w:val="single" w:sz="12" w:space="0" w:color="auto"/>
              <w:bottom w:val="double" w:sz="6" w:space="0" w:color="auto"/>
              <w:right w:val="double" w:sz="6" w:space="0" w:color="000000"/>
            </w:tcBorders>
            <w:shd w:val="clear" w:color="auto" w:fill="EEECE1" w:themeFill="background2"/>
            <w:vAlign w:val="center"/>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p>
        </w:tc>
      </w:tr>
      <w:tr w:rsidR="00AD09B4" w:rsidRPr="00EF2265" w:rsidTr="00351A8A">
        <w:trPr>
          <w:trHeight w:val="315"/>
        </w:trPr>
        <w:tc>
          <w:tcPr>
            <w:tcW w:w="683" w:type="dxa"/>
            <w:tcBorders>
              <w:top w:val="nil"/>
              <w:left w:val="double" w:sz="6" w:space="0" w:color="auto"/>
              <w:bottom w:val="single" w:sz="4" w:space="0" w:color="auto"/>
              <w:right w:val="double" w:sz="6"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42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12</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13</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25"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497"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34</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w:t>
            </w:r>
          </w:p>
        </w:tc>
        <w:tc>
          <w:tcPr>
            <w:tcW w:w="497" w:type="dxa"/>
            <w:tcBorders>
              <w:top w:val="double" w:sz="6" w:space="0" w:color="auto"/>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51</w:t>
            </w:r>
          </w:p>
        </w:tc>
        <w:tc>
          <w:tcPr>
            <w:tcW w:w="498"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43</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w:t>
            </w:r>
          </w:p>
        </w:tc>
        <w:tc>
          <w:tcPr>
            <w:tcW w:w="498"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98"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69</w:t>
            </w:r>
          </w:p>
        </w:tc>
        <w:tc>
          <w:tcPr>
            <w:tcW w:w="637" w:type="dxa"/>
            <w:tcBorders>
              <w:top w:val="nil"/>
              <w:left w:val="single" w:sz="12" w:space="0" w:color="auto"/>
              <w:bottom w:val="single" w:sz="4" w:space="0" w:color="auto"/>
              <w:right w:val="double" w:sz="6"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10</w:t>
            </w:r>
          </w:p>
        </w:tc>
      </w:tr>
      <w:tr w:rsidR="00AD09B4" w:rsidRPr="00EF2265" w:rsidTr="00351A8A">
        <w:trPr>
          <w:trHeight w:val="300"/>
        </w:trPr>
        <w:tc>
          <w:tcPr>
            <w:tcW w:w="683" w:type="dxa"/>
            <w:tcBorders>
              <w:top w:val="nil"/>
              <w:left w:val="double" w:sz="6" w:space="0" w:color="auto"/>
              <w:bottom w:val="single" w:sz="4" w:space="0" w:color="auto"/>
              <w:right w:val="double" w:sz="6"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42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425"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w:t>
            </w:r>
          </w:p>
        </w:tc>
        <w:tc>
          <w:tcPr>
            <w:tcW w:w="497"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26</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497"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37</w:t>
            </w:r>
          </w:p>
        </w:tc>
        <w:tc>
          <w:tcPr>
            <w:tcW w:w="498"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35</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498"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498"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54</w:t>
            </w:r>
          </w:p>
        </w:tc>
        <w:tc>
          <w:tcPr>
            <w:tcW w:w="637" w:type="dxa"/>
            <w:tcBorders>
              <w:top w:val="nil"/>
              <w:left w:val="single" w:sz="12" w:space="0" w:color="auto"/>
              <w:bottom w:val="single" w:sz="4" w:space="0" w:color="auto"/>
              <w:right w:val="double" w:sz="6"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11</w:t>
            </w:r>
          </w:p>
        </w:tc>
      </w:tr>
      <w:tr w:rsidR="00AD09B4" w:rsidRPr="00EF2265" w:rsidTr="00351A8A">
        <w:trPr>
          <w:trHeight w:val="300"/>
        </w:trPr>
        <w:tc>
          <w:tcPr>
            <w:tcW w:w="683" w:type="dxa"/>
            <w:tcBorders>
              <w:top w:val="nil"/>
              <w:left w:val="double" w:sz="6" w:space="0" w:color="auto"/>
              <w:bottom w:val="single" w:sz="4" w:space="0" w:color="auto"/>
              <w:right w:val="double" w:sz="6"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42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10</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w:t>
            </w: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10</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425"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25"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29</w:t>
            </w:r>
          </w:p>
        </w:tc>
        <w:tc>
          <w:tcPr>
            <w:tcW w:w="497"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27</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c>
          <w:tcPr>
            <w:tcW w:w="497"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54</w:t>
            </w:r>
          </w:p>
        </w:tc>
        <w:tc>
          <w:tcPr>
            <w:tcW w:w="498"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37</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37</w:t>
            </w:r>
          </w:p>
        </w:tc>
        <w:tc>
          <w:tcPr>
            <w:tcW w:w="498"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98"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83</w:t>
            </w:r>
          </w:p>
        </w:tc>
        <w:tc>
          <w:tcPr>
            <w:tcW w:w="637" w:type="dxa"/>
            <w:tcBorders>
              <w:top w:val="nil"/>
              <w:left w:val="single" w:sz="12" w:space="0" w:color="auto"/>
              <w:bottom w:val="single" w:sz="4" w:space="0" w:color="auto"/>
              <w:right w:val="double" w:sz="6"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12</w:t>
            </w:r>
          </w:p>
        </w:tc>
      </w:tr>
      <w:tr w:rsidR="00AD09B4" w:rsidRPr="00EF2265" w:rsidTr="00351A8A">
        <w:trPr>
          <w:trHeight w:val="300"/>
        </w:trPr>
        <w:tc>
          <w:tcPr>
            <w:tcW w:w="683" w:type="dxa"/>
            <w:tcBorders>
              <w:top w:val="nil"/>
              <w:left w:val="double" w:sz="6" w:space="0" w:color="auto"/>
              <w:bottom w:val="single" w:sz="4" w:space="0" w:color="auto"/>
              <w:right w:val="double" w:sz="6"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42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12</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12</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17</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w:t>
            </w: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17</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w:t>
            </w:r>
          </w:p>
        </w:tc>
        <w:tc>
          <w:tcPr>
            <w:tcW w:w="425"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w:t>
            </w:r>
          </w:p>
        </w:tc>
        <w:tc>
          <w:tcPr>
            <w:tcW w:w="497"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32</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41</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41</w:t>
            </w:r>
          </w:p>
        </w:tc>
        <w:tc>
          <w:tcPr>
            <w:tcW w:w="497"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82</w:t>
            </w:r>
          </w:p>
        </w:tc>
        <w:tc>
          <w:tcPr>
            <w:tcW w:w="498"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48</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58</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58</w:t>
            </w:r>
          </w:p>
        </w:tc>
        <w:tc>
          <w:tcPr>
            <w:tcW w:w="498"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98"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116</w:t>
            </w:r>
          </w:p>
        </w:tc>
        <w:tc>
          <w:tcPr>
            <w:tcW w:w="637" w:type="dxa"/>
            <w:tcBorders>
              <w:top w:val="nil"/>
              <w:left w:val="single" w:sz="12" w:space="0" w:color="auto"/>
              <w:bottom w:val="single" w:sz="4" w:space="0" w:color="auto"/>
              <w:right w:val="double" w:sz="6"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21</w:t>
            </w:r>
          </w:p>
        </w:tc>
      </w:tr>
      <w:tr w:rsidR="00AD09B4" w:rsidRPr="00EF2265" w:rsidTr="00351A8A">
        <w:trPr>
          <w:trHeight w:val="300"/>
        </w:trPr>
        <w:tc>
          <w:tcPr>
            <w:tcW w:w="683" w:type="dxa"/>
            <w:tcBorders>
              <w:top w:val="nil"/>
              <w:left w:val="double" w:sz="6" w:space="0" w:color="auto"/>
              <w:bottom w:val="single" w:sz="4" w:space="0" w:color="auto"/>
              <w:right w:val="double" w:sz="6"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42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497"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97"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498"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11</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498"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98"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w:t>
            </w:r>
          </w:p>
        </w:tc>
        <w:tc>
          <w:tcPr>
            <w:tcW w:w="637" w:type="dxa"/>
            <w:tcBorders>
              <w:top w:val="nil"/>
              <w:left w:val="single" w:sz="12" w:space="0" w:color="auto"/>
              <w:bottom w:val="single" w:sz="4" w:space="0" w:color="auto"/>
              <w:right w:val="double" w:sz="6"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w:t>
            </w:r>
          </w:p>
        </w:tc>
      </w:tr>
      <w:tr w:rsidR="00AD09B4" w:rsidRPr="00EF2265" w:rsidTr="00351A8A">
        <w:trPr>
          <w:trHeight w:val="300"/>
        </w:trPr>
        <w:tc>
          <w:tcPr>
            <w:tcW w:w="683" w:type="dxa"/>
            <w:tcBorders>
              <w:top w:val="nil"/>
              <w:left w:val="double" w:sz="6" w:space="0" w:color="auto"/>
              <w:bottom w:val="single" w:sz="4" w:space="0" w:color="auto"/>
              <w:right w:val="double" w:sz="6"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42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11</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10</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w:t>
            </w: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425"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425"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497"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28</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497"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w:t>
            </w:r>
          </w:p>
        </w:tc>
        <w:tc>
          <w:tcPr>
            <w:tcW w:w="498"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35</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498"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498"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52</w:t>
            </w:r>
          </w:p>
        </w:tc>
        <w:tc>
          <w:tcPr>
            <w:tcW w:w="637" w:type="dxa"/>
            <w:tcBorders>
              <w:top w:val="nil"/>
              <w:left w:val="single" w:sz="12" w:space="0" w:color="auto"/>
              <w:bottom w:val="single" w:sz="4" w:space="0" w:color="auto"/>
              <w:right w:val="double" w:sz="6"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10</w:t>
            </w:r>
          </w:p>
        </w:tc>
      </w:tr>
      <w:tr w:rsidR="00AD09B4" w:rsidRPr="00EF2265" w:rsidTr="00351A8A">
        <w:trPr>
          <w:trHeight w:val="300"/>
        </w:trPr>
        <w:tc>
          <w:tcPr>
            <w:tcW w:w="683" w:type="dxa"/>
            <w:tcBorders>
              <w:top w:val="nil"/>
              <w:left w:val="double" w:sz="6" w:space="0" w:color="auto"/>
              <w:bottom w:val="single" w:sz="4" w:space="0" w:color="auto"/>
              <w:right w:val="double" w:sz="6"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42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424"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w:t>
            </w:r>
          </w:p>
        </w:tc>
        <w:tc>
          <w:tcPr>
            <w:tcW w:w="425"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497"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16</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97"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498" w:type="dxa"/>
            <w:tcBorders>
              <w:top w:val="nil"/>
              <w:left w:val="single" w:sz="12"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497"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18</w:t>
            </w:r>
          </w:p>
        </w:tc>
        <w:tc>
          <w:tcPr>
            <w:tcW w:w="497" w:type="dxa"/>
            <w:tcBorders>
              <w:top w:val="nil"/>
              <w:left w:val="nil"/>
              <w:bottom w:val="single" w:sz="4"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98"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98"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24</w:t>
            </w:r>
          </w:p>
        </w:tc>
        <w:tc>
          <w:tcPr>
            <w:tcW w:w="637" w:type="dxa"/>
            <w:tcBorders>
              <w:top w:val="nil"/>
              <w:left w:val="single" w:sz="12" w:space="0" w:color="auto"/>
              <w:bottom w:val="single" w:sz="4" w:space="0" w:color="auto"/>
              <w:right w:val="double" w:sz="6"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w:t>
            </w:r>
          </w:p>
        </w:tc>
      </w:tr>
      <w:tr w:rsidR="00AD09B4" w:rsidRPr="00EF2265" w:rsidTr="00351A8A">
        <w:trPr>
          <w:trHeight w:val="315"/>
        </w:trPr>
        <w:tc>
          <w:tcPr>
            <w:tcW w:w="683" w:type="dxa"/>
            <w:tcBorders>
              <w:top w:val="nil"/>
              <w:left w:val="double" w:sz="6" w:space="0" w:color="auto"/>
              <w:bottom w:val="double" w:sz="6" w:space="0" w:color="auto"/>
              <w:right w:val="double" w:sz="6" w:space="0" w:color="auto"/>
            </w:tcBorders>
            <w:shd w:val="clear" w:color="auto" w:fill="auto"/>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424" w:type="dxa"/>
            <w:tcBorders>
              <w:top w:val="nil"/>
              <w:left w:val="nil"/>
              <w:bottom w:val="double" w:sz="6"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double" w:sz="6"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double" w:sz="6"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w:t>
            </w:r>
          </w:p>
        </w:tc>
        <w:tc>
          <w:tcPr>
            <w:tcW w:w="425" w:type="dxa"/>
            <w:tcBorders>
              <w:top w:val="nil"/>
              <w:left w:val="nil"/>
              <w:bottom w:val="double" w:sz="6"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24" w:type="dxa"/>
            <w:tcBorders>
              <w:top w:val="nil"/>
              <w:left w:val="single" w:sz="12" w:space="0" w:color="auto"/>
              <w:bottom w:val="nil"/>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nil"/>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nil"/>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w:t>
            </w:r>
          </w:p>
        </w:tc>
        <w:tc>
          <w:tcPr>
            <w:tcW w:w="425" w:type="dxa"/>
            <w:tcBorders>
              <w:top w:val="nil"/>
              <w:left w:val="nil"/>
              <w:bottom w:val="double" w:sz="6"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4" w:type="dxa"/>
            <w:tcBorders>
              <w:top w:val="nil"/>
              <w:left w:val="single" w:sz="12" w:space="0" w:color="auto"/>
              <w:bottom w:val="nil"/>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nil"/>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nil"/>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w:t>
            </w:r>
          </w:p>
        </w:tc>
        <w:tc>
          <w:tcPr>
            <w:tcW w:w="425" w:type="dxa"/>
            <w:tcBorders>
              <w:top w:val="nil"/>
              <w:left w:val="nil"/>
              <w:bottom w:val="double" w:sz="6"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25"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single" w:sz="12" w:space="0" w:color="auto"/>
              <w:bottom w:val="nil"/>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nil"/>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nil"/>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w:t>
            </w:r>
          </w:p>
        </w:tc>
        <w:tc>
          <w:tcPr>
            <w:tcW w:w="425" w:type="dxa"/>
            <w:tcBorders>
              <w:top w:val="nil"/>
              <w:left w:val="nil"/>
              <w:bottom w:val="double" w:sz="6"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425"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25"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97" w:type="dxa"/>
            <w:tcBorders>
              <w:top w:val="nil"/>
              <w:left w:val="single" w:sz="12" w:space="0" w:color="auto"/>
              <w:bottom w:val="nil"/>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97"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97" w:type="dxa"/>
            <w:tcBorders>
              <w:top w:val="nil"/>
              <w:left w:val="nil"/>
              <w:bottom w:val="nil"/>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w:t>
            </w:r>
          </w:p>
        </w:tc>
        <w:tc>
          <w:tcPr>
            <w:tcW w:w="497" w:type="dxa"/>
            <w:tcBorders>
              <w:top w:val="nil"/>
              <w:left w:val="nil"/>
              <w:bottom w:val="nil"/>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97" w:type="dxa"/>
            <w:tcBorders>
              <w:top w:val="nil"/>
              <w:left w:val="nil"/>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498" w:type="dxa"/>
            <w:tcBorders>
              <w:top w:val="nil"/>
              <w:left w:val="single" w:sz="12" w:space="0" w:color="auto"/>
              <w:bottom w:val="nil"/>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497" w:type="dxa"/>
            <w:tcBorders>
              <w:top w:val="nil"/>
              <w:left w:val="nil"/>
              <w:bottom w:val="nil"/>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497" w:type="dxa"/>
            <w:tcBorders>
              <w:top w:val="nil"/>
              <w:left w:val="nil"/>
              <w:bottom w:val="nil"/>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w:t>
            </w:r>
          </w:p>
        </w:tc>
        <w:tc>
          <w:tcPr>
            <w:tcW w:w="497" w:type="dxa"/>
            <w:tcBorders>
              <w:top w:val="nil"/>
              <w:left w:val="nil"/>
              <w:bottom w:val="double" w:sz="6" w:space="0" w:color="auto"/>
              <w:right w:val="single" w:sz="8"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498"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498" w:type="dxa"/>
            <w:tcBorders>
              <w:top w:val="nil"/>
              <w:left w:val="single" w:sz="4" w:space="0" w:color="auto"/>
              <w:bottom w:val="single" w:sz="4" w:space="0" w:color="auto"/>
              <w:right w:val="single" w:sz="12"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10</w:t>
            </w:r>
          </w:p>
        </w:tc>
        <w:tc>
          <w:tcPr>
            <w:tcW w:w="637" w:type="dxa"/>
            <w:tcBorders>
              <w:top w:val="nil"/>
              <w:left w:val="single" w:sz="12" w:space="0" w:color="auto"/>
              <w:bottom w:val="nil"/>
              <w:right w:val="double" w:sz="6"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w:t>
            </w:r>
          </w:p>
        </w:tc>
      </w:tr>
      <w:tr w:rsidR="008870FE" w:rsidRPr="00EF2265" w:rsidTr="00351A8A">
        <w:trPr>
          <w:trHeight w:val="330"/>
        </w:trPr>
        <w:tc>
          <w:tcPr>
            <w:tcW w:w="683" w:type="dxa"/>
            <w:tcBorders>
              <w:top w:val="nil"/>
              <w:left w:val="double" w:sz="6" w:space="0" w:color="auto"/>
              <w:bottom w:val="double" w:sz="6" w:space="0" w:color="auto"/>
              <w:right w:val="double" w:sz="6" w:space="0" w:color="auto"/>
            </w:tcBorders>
            <w:shd w:val="clear" w:color="auto" w:fill="EEECE1" w:themeFill="background2"/>
            <w:noWrap/>
            <w:vAlign w:val="bottom"/>
            <w:hideMark/>
          </w:tcPr>
          <w:p w:rsidR="00AD09B4" w:rsidRPr="00EF2265" w:rsidRDefault="00AD09B4" w:rsidP="00E86605">
            <w:pPr>
              <w:tabs>
                <w:tab w:val="left" w:pos="9356"/>
              </w:tabs>
              <w:ind w:left="-14"/>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424" w:type="dxa"/>
            <w:tcBorders>
              <w:top w:val="nil"/>
              <w:left w:val="nil"/>
              <w:bottom w:val="double" w:sz="6"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w:t>
            </w:r>
          </w:p>
        </w:tc>
        <w:tc>
          <w:tcPr>
            <w:tcW w:w="425" w:type="dxa"/>
            <w:tcBorders>
              <w:top w:val="nil"/>
              <w:left w:val="nil"/>
              <w:bottom w:val="double" w:sz="6"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30</w:t>
            </w:r>
          </w:p>
        </w:tc>
        <w:tc>
          <w:tcPr>
            <w:tcW w:w="425" w:type="dxa"/>
            <w:tcBorders>
              <w:top w:val="nil"/>
              <w:left w:val="nil"/>
              <w:bottom w:val="double" w:sz="6"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61</w:t>
            </w:r>
          </w:p>
        </w:tc>
        <w:tc>
          <w:tcPr>
            <w:tcW w:w="425" w:type="dxa"/>
            <w:tcBorders>
              <w:top w:val="nil"/>
              <w:left w:val="nil"/>
              <w:bottom w:val="double" w:sz="6" w:space="0" w:color="auto"/>
              <w:right w:val="single" w:sz="8"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30</w:t>
            </w:r>
          </w:p>
        </w:tc>
        <w:tc>
          <w:tcPr>
            <w:tcW w:w="425" w:type="dxa"/>
            <w:tcBorders>
              <w:top w:val="double" w:sz="6" w:space="0" w:color="auto"/>
              <w:left w:val="nil"/>
              <w:bottom w:val="double" w:sz="6" w:space="0" w:color="auto"/>
              <w:right w:val="single" w:sz="12"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91</w:t>
            </w:r>
          </w:p>
        </w:tc>
        <w:tc>
          <w:tcPr>
            <w:tcW w:w="424" w:type="dxa"/>
            <w:tcBorders>
              <w:top w:val="double" w:sz="6" w:space="0" w:color="auto"/>
              <w:left w:val="single" w:sz="12" w:space="0" w:color="auto"/>
              <w:bottom w:val="double" w:sz="6"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52</w:t>
            </w:r>
          </w:p>
        </w:tc>
        <w:tc>
          <w:tcPr>
            <w:tcW w:w="425" w:type="dxa"/>
            <w:tcBorders>
              <w:top w:val="double" w:sz="6" w:space="0" w:color="auto"/>
              <w:left w:val="nil"/>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w:t>
            </w:r>
          </w:p>
        </w:tc>
        <w:tc>
          <w:tcPr>
            <w:tcW w:w="425" w:type="dxa"/>
            <w:tcBorders>
              <w:top w:val="double" w:sz="6" w:space="0" w:color="auto"/>
              <w:left w:val="single" w:sz="4"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65</w:t>
            </w:r>
          </w:p>
        </w:tc>
        <w:tc>
          <w:tcPr>
            <w:tcW w:w="425" w:type="dxa"/>
            <w:tcBorders>
              <w:top w:val="nil"/>
              <w:left w:val="single" w:sz="4" w:space="0" w:color="auto"/>
              <w:bottom w:val="double" w:sz="6" w:space="0" w:color="auto"/>
              <w:right w:val="single" w:sz="8"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32</w:t>
            </w:r>
          </w:p>
        </w:tc>
        <w:tc>
          <w:tcPr>
            <w:tcW w:w="425" w:type="dxa"/>
            <w:tcBorders>
              <w:top w:val="double" w:sz="6" w:space="0" w:color="auto"/>
              <w:left w:val="nil"/>
              <w:bottom w:val="double" w:sz="6" w:space="0" w:color="auto"/>
              <w:right w:val="single" w:sz="12"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97</w:t>
            </w:r>
          </w:p>
        </w:tc>
        <w:tc>
          <w:tcPr>
            <w:tcW w:w="424" w:type="dxa"/>
            <w:tcBorders>
              <w:top w:val="double" w:sz="6" w:space="0" w:color="auto"/>
              <w:left w:val="single" w:sz="12"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w:t>
            </w:r>
          </w:p>
        </w:tc>
        <w:tc>
          <w:tcPr>
            <w:tcW w:w="425" w:type="dxa"/>
            <w:tcBorders>
              <w:top w:val="double" w:sz="6" w:space="0" w:color="auto"/>
              <w:left w:val="single" w:sz="4"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w:t>
            </w:r>
          </w:p>
        </w:tc>
        <w:tc>
          <w:tcPr>
            <w:tcW w:w="425" w:type="dxa"/>
            <w:tcBorders>
              <w:top w:val="double" w:sz="6" w:space="0" w:color="auto"/>
              <w:left w:val="single" w:sz="4"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58</w:t>
            </w:r>
          </w:p>
        </w:tc>
        <w:tc>
          <w:tcPr>
            <w:tcW w:w="425" w:type="dxa"/>
            <w:tcBorders>
              <w:top w:val="nil"/>
              <w:left w:val="single" w:sz="4" w:space="0" w:color="auto"/>
              <w:bottom w:val="double" w:sz="6" w:space="0" w:color="auto"/>
              <w:right w:val="single" w:sz="8"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50</w:t>
            </w:r>
          </w:p>
        </w:tc>
        <w:tc>
          <w:tcPr>
            <w:tcW w:w="425" w:type="dxa"/>
            <w:tcBorders>
              <w:top w:val="double" w:sz="6" w:space="0" w:color="auto"/>
              <w:left w:val="nil"/>
              <w:bottom w:val="double" w:sz="6" w:space="0" w:color="auto"/>
              <w:right w:val="single" w:sz="12" w:space="0" w:color="auto"/>
            </w:tcBorders>
            <w:shd w:val="clear" w:color="auto" w:fill="EEECE1" w:themeFill="background2"/>
            <w:noWrap/>
            <w:vAlign w:val="center"/>
            <w:hideMark/>
          </w:tcPr>
          <w:p w:rsidR="00AD09B4" w:rsidRPr="00EF2265" w:rsidRDefault="00AD09B4" w:rsidP="00E86605">
            <w:pPr>
              <w:ind w:hanging="62"/>
              <w:jc w:val="left"/>
              <w:rPr>
                <w:rFonts w:ascii="Times New Roman" w:hAnsi="Times New Roman"/>
                <w:sz w:val="20"/>
                <w:szCs w:val="20"/>
              </w:rPr>
            </w:pPr>
            <w:r w:rsidRPr="00EF2265">
              <w:rPr>
                <w:rFonts w:ascii="Times New Roman" w:hAnsi="Times New Roman"/>
                <w:sz w:val="20"/>
                <w:szCs w:val="20"/>
              </w:rPr>
              <w:t>108</w:t>
            </w:r>
          </w:p>
        </w:tc>
        <w:tc>
          <w:tcPr>
            <w:tcW w:w="425" w:type="dxa"/>
            <w:tcBorders>
              <w:top w:val="double" w:sz="6" w:space="0" w:color="auto"/>
              <w:left w:val="single" w:sz="12"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25</w:t>
            </w:r>
          </w:p>
        </w:tc>
        <w:tc>
          <w:tcPr>
            <w:tcW w:w="425" w:type="dxa"/>
            <w:tcBorders>
              <w:top w:val="double" w:sz="6" w:space="0" w:color="auto"/>
              <w:left w:val="single" w:sz="4"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32</w:t>
            </w:r>
          </w:p>
        </w:tc>
        <w:tc>
          <w:tcPr>
            <w:tcW w:w="425" w:type="dxa"/>
            <w:tcBorders>
              <w:top w:val="double" w:sz="6" w:space="0" w:color="auto"/>
              <w:left w:val="single" w:sz="4"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57</w:t>
            </w:r>
          </w:p>
        </w:tc>
        <w:tc>
          <w:tcPr>
            <w:tcW w:w="425" w:type="dxa"/>
            <w:tcBorders>
              <w:top w:val="nil"/>
              <w:left w:val="single" w:sz="4" w:space="0" w:color="auto"/>
              <w:bottom w:val="double" w:sz="6" w:space="0" w:color="auto"/>
              <w:right w:val="single" w:sz="8"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49</w:t>
            </w:r>
          </w:p>
        </w:tc>
        <w:tc>
          <w:tcPr>
            <w:tcW w:w="425" w:type="dxa"/>
            <w:tcBorders>
              <w:top w:val="double" w:sz="6" w:space="0" w:color="auto"/>
              <w:left w:val="nil"/>
              <w:bottom w:val="double" w:sz="6" w:space="0" w:color="auto"/>
              <w:right w:val="single" w:sz="4" w:space="0" w:color="auto"/>
            </w:tcBorders>
            <w:shd w:val="clear" w:color="auto" w:fill="EEECE1" w:themeFill="background2"/>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w:t>
            </w:r>
          </w:p>
        </w:tc>
        <w:tc>
          <w:tcPr>
            <w:tcW w:w="425" w:type="dxa"/>
            <w:tcBorders>
              <w:top w:val="double" w:sz="6" w:space="0" w:color="auto"/>
              <w:left w:val="single" w:sz="4" w:space="0" w:color="auto"/>
              <w:bottom w:val="double" w:sz="6" w:space="0" w:color="auto"/>
              <w:right w:val="single" w:sz="12" w:space="0" w:color="auto"/>
            </w:tcBorders>
            <w:shd w:val="clear" w:color="auto" w:fill="EEECE1" w:themeFill="background2"/>
            <w:noWrap/>
            <w:vAlign w:val="center"/>
            <w:hideMark/>
          </w:tcPr>
          <w:p w:rsidR="00AD09B4" w:rsidRPr="00EF2265" w:rsidRDefault="00AD09B4" w:rsidP="00E86605">
            <w:pPr>
              <w:ind w:hanging="65"/>
              <w:jc w:val="left"/>
              <w:rPr>
                <w:rFonts w:ascii="Times New Roman" w:hAnsi="Times New Roman"/>
                <w:sz w:val="20"/>
                <w:szCs w:val="20"/>
              </w:rPr>
            </w:pPr>
            <w:r w:rsidRPr="00EF2265">
              <w:rPr>
                <w:rFonts w:ascii="Times New Roman" w:hAnsi="Times New Roman"/>
                <w:sz w:val="20"/>
                <w:szCs w:val="20"/>
              </w:rPr>
              <w:t>132</w:t>
            </w:r>
          </w:p>
        </w:tc>
        <w:tc>
          <w:tcPr>
            <w:tcW w:w="497" w:type="dxa"/>
            <w:tcBorders>
              <w:top w:val="double" w:sz="6" w:space="0" w:color="auto"/>
              <w:left w:val="single" w:sz="12"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119</w:t>
            </w:r>
          </w:p>
        </w:tc>
        <w:tc>
          <w:tcPr>
            <w:tcW w:w="497" w:type="dxa"/>
            <w:tcBorders>
              <w:top w:val="double" w:sz="6" w:space="0" w:color="auto"/>
              <w:left w:val="single" w:sz="4"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65</w:t>
            </w:r>
          </w:p>
        </w:tc>
        <w:tc>
          <w:tcPr>
            <w:tcW w:w="497" w:type="dxa"/>
            <w:tcBorders>
              <w:top w:val="double" w:sz="6" w:space="0" w:color="auto"/>
              <w:left w:val="single" w:sz="4"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184</w:t>
            </w:r>
          </w:p>
        </w:tc>
        <w:tc>
          <w:tcPr>
            <w:tcW w:w="497" w:type="dxa"/>
            <w:tcBorders>
              <w:top w:val="double" w:sz="6" w:space="0" w:color="auto"/>
              <w:left w:val="single" w:sz="4" w:space="0" w:color="auto"/>
              <w:bottom w:val="double" w:sz="6" w:space="0" w:color="auto"/>
              <w:right w:val="single" w:sz="8"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112</w:t>
            </w:r>
          </w:p>
        </w:tc>
        <w:tc>
          <w:tcPr>
            <w:tcW w:w="497" w:type="dxa"/>
            <w:tcBorders>
              <w:top w:val="double" w:sz="6" w:space="0" w:color="auto"/>
              <w:left w:val="nil"/>
              <w:bottom w:val="double" w:sz="6" w:space="0" w:color="auto"/>
              <w:right w:val="single" w:sz="12"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296</w:t>
            </w:r>
          </w:p>
        </w:tc>
        <w:tc>
          <w:tcPr>
            <w:tcW w:w="498" w:type="dxa"/>
            <w:tcBorders>
              <w:top w:val="double" w:sz="6" w:space="0" w:color="auto"/>
              <w:left w:val="single" w:sz="12"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144</w:t>
            </w:r>
          </w:p>
        </w:tc>
        <w:tc>
          <w:tcPr>
            <w:tcW w:w="497" w:type="dxa"/>
            <w:tcBorders>
              <w:top w:val="double" w:sz="6" w:space="0" w:color="auto"/>
              <w:left w:val="single" w:sz="4"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97</w:t>
            </w:r>
          </w:p>
        </w:tc>
        <w:tc>
          <w:tcPr>
            <w:tcW w:w="497" w:type="dxa"/>
            <w:tcBorders>
              <w:top w:val="double" w:sz="6" w:space="0" w:color="auto"/>
              <w:left w:val="single" w:sz="4" w:space="0" w:color="auto"/>
              <w:bottom w:val="double" w:sz="6" w:space="0" w:color="auto"/>
              <w:right w:val="nil"/>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241</w:t>
            </w:r>
          </w:p>
        </w:tc>
        <w:tc>
          <w:tcPr>
            <w:tcW w:w="497" w:type="dxa"/>
            <w:tcBorders>
              <w:top w:val="nil"/>
              <w:left w:val="single" w:sz="4" w:space="0" w:color="auto"/>
              <w:bottom w:val="double" w:sz="6" w:space="0" w:color="auto"/>
              <w:right w:val="single" w:sz="8"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161</w:t>
            </w:r>
          </w:p>
        </w:tc>
        <w:tc>
          <w:tcPr>
            <w:tcW w:w="498" w:type="dxa"/>
            <w:tcBorders>
              <w:top w:val="double" w:sz="6" w:space="0" w:color="auto"/>
              <w:left w:val="nil"/>
              <w:bottom w:val="double" w:sz="6" w:space="0" w:color="auto"/>
              <w:right w:val="single" w:sz="4" w:space="0" w:color="auto"/>
            </w:tcBorders>
            <w:shd w:val="clear" w:color="auto" w:fill="EEECE1" w:themeFill="background2"/>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w:t>
            </w:r>
          </w:p>
        </w:tc>
        <w:tc>
          <w:tcPr>
            <w:tcW w:w="498" w:type="dxa"/>
            <w:tcBorders>
              <w:top w:val="double" w:sz="6" w:space="0" w:color="auto"/>
              <w:left w:val="single" w:sz="4" w:space="0" w:color="auto"/>
              <w:bottom w:val="double" w:sz="6" w:space="0" w:color="auto"/>
              <w:right w:val="single" w:sz="12"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428</w:t>
            </w:r>
          </w:p>
        </w:tc>
        <w:tc>
          <w:tcPr>
            <w:tcW w:w="637" w:type="dxa"/>
            <w:tcBorders>
              <w:top w:val="double" w:sz="6" w:space="0" w:color="auto"/>
              <w:left w:val="single" w:sz="12" w:space="0" w:color="auto"/>
              <w:bottom w:val="double" w:sz="6" w:space="0" w:color="auto"/>
              <w:right w:val="double" w:sz="6"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60</w:t>
            </w:r>
          </w:p>
        </w:tc>
      </w:tr>
    </w:tbl>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Stav k 31. 08. 2018</w:t>
      </w:r>
    </w:p>
    <w:p w:rsidR="00AD09B4" w:rsidRPr="00EF2265" w:rsidRDefault="00AD09B4" w:rsidP="00E86605">
      <w:pPr>
        <w:tabs>
          <w:tab w:val="left" w:pos="9356"/>
        </w:tabs>
        <w:jc w:val="left"/>
        <w:rPr>
          <w:rFonts w:ascii="Times New Roman" w:eastAsia="Times New Roman" w:hAnsi="Times New Roman"/>
          <w:sz w:val="20"/>
          <w:szCs w:val="20"/>
          <w:lang w:eastAsia="sk-SK"/>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eastAsia="Times New Roman" w:hAnsi="Times New Roman"/>
          <w:sz w:val="20"/>
          <w:szCs w:val="20"/>
          <w:lang w:eastAsia="sk-SK"/>
        </w:rPr>
        <w:t>Vysvetlivky:</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 - existujúci študijný program uskutočňovaný v štátnom jazyku</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 - nový študijný program uskutočňovaný v štátnom jazyku</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Σ - súčet existujúcich a nových študijných programov uskutočňovaných v štátnom jazyku </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AJ - študijný program uskutočňovaný v anglickom jazyku</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 - študijný program v externej forme štúdia s pozastavenými právami od 1.9.2016 (dobiehajúci)</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1</w:t>
      </w:r>
      <w:r w:rsidRPr="00EF2265">
        <w:rPr>
          <w:rFonts w:ascii="Times New Roman" w:eastAsia="Times New Roman" w:hAnsi="Times New Roman"/>
          <w:sz w:val="20"/>
          <w:szCs w:val="20"/>
          <w:lang w:eastAsia="sk-SK"/>
        </w:rPr>
        <w:t xml:space="preserve"> - súčet všetkých študijných programov prvého stupňa</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2</w:t>
      </w:r>
      <w:r w:rsidRPr="00EF2265">
        <w:rPr>
          <w:rFonts w:ascii="Times New Roman" w:eastAsia="Times New Roman" w:hAnsi="Times New Roman"/>
          <w:sz w:val="20"/>
          <w:szCs w:val="20"/>
          <w:lang w:eastAsia="sk-SK"/>
        </w:rPr>
        <w:t xml:space="preserve"> - súčet všetkých študijných programov druhého stupňa</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3d</w:t>
      </w:r>
      <w:r w:rsidRPr="00EF2265">
        <w:rPr>
          <w:rFonts w:ascii="Times New Roman" w:eastAsia="Times New Roman" w:hAnsi="Times New Roman"/>
          <w:sz w:val="20"/>
          <w:szCs w:val="20"/>
          <w:lang w:eastAsia="sk-SK"/>
        </w:rPr>
        <w:t xml:space="preserve"> - súčet všetkých študijných programov tretieho stupňa denná forma</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3e</w:t>
      </w:r>
      <w:r w:rsidRPr="00EF2265">
        <w:rPr>
          <w:rFonts w:ascii="Times New Roman" w:eastAsia="Times New Roman" w:hAnsi="Times New Roman"/>
          <w:sz w:val="20"/>
          <w:szCs w:val="20"/>
          <w:lang w:eastAsia="sk-SK"/>
        </w:rPr>
        <w:t xml:space="preserve"> - súčet všetkých študijných programov tretieho stupňa externá forma vrátane dobiehajúcich</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DF</w:t>
      </w:r>
      <w:r w:rsidRPr="00EF2265">
        <w:rPr>
          <w:rFonts w:ascii="Times New Roman" w:eastAsia="Times New Roman" w:hAnsi="Times New Roman"/>
          <w:sz w:val="20"/>
          <w:szCs w:val="20"/>
          <w:lang w:eastAsia="sk-SK"/>
        </w:rPr>
        <w:t xml:space="preserve"> - súčet všetkých študijných programov denná forma (Σ</w:t>
      </w:r>
      <w:r w:rsidRPr="00EF2265">
        <w:rPr>
          <w:rFonts w:ascii="Times New Roman" w:eastAsia="Times New Roman" w:hAnsi="Times New Roman"/>
          <w:sz w:val="20"/>
          <w:szCs w:val="20"/>
          <w:vertAlign w:val="subscript"/>
          <w:lang w:eastAsia="sk-SK"/>
        </w:rPr>
        <w:t>1</w:t>
      </w: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2</w:t>
      </w: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3d</w:t>
      </w:r>
      <w:r w:rsidRPr="00EF2265">
        <w:rPr>
          <w:rFonts w:ascii="Times New Roman" w:eastAsia="Times New Roman" w:hAnsi="Times New Roman"/>
          <w:sz w:val="20"/>
          <w:szCs w:val="20"/>
          <w:lang w:eastAsia="sk-SK"/>
        </w:rPr>
        <w:t>)</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SP</w:t>
      </w:r>
      <w:r w:rsidRPr="00EF2265">
        <w:rPr>
          <w:rFonts w:ascii="Times New Roman" w:eastAsia="Times New Roman" w:hAnsi="Times New Roman"/>
          <w:sz w:val="20"/>
          <w:szCs w:val="20"/>
          <w:lang w:eastAsia="sk-SK"/>
        </w:rPr>
        <w:t xml:space="preserve"> - súčet všetkých študijných programov denná a externá forma vrátane dobiehajúcich (Σ</w:t>
      </w:r>
      <w:r w:rsidRPr="00EF2265">
        <w:rPr>
          <w:rFonts w:ascii="Times New Roman" w:eastAsia="Times New Roman" w:hAnsi="Times New Roman"/>
          <w:sz w:val="20"/>
          <w:szCs w:val="20"/>
          <w:vertAlign w:val="subscript"/>
          <w:lang w:eastAsia="sk-SK"/>
        </w:rPr>
        <w:t>1</w:t>
      </w: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2</w:t>
      </w: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3d</w:t>
      </w:r>
      <w:r w:rsidRPr="00EF2265">
        <w:rPr>
          <w:rFonts w:ascii="Times New Roman" w:eastAsia="Times New Roman" w:hAnsi="Times New Roman"/>
          <w:sz w:val="20"/>
          <w:szCs w:val="20"/>
          <w:lang w:eastAsia="sk-SK"/>
        </w:rPr>
        <w:t>+Σ</w:t>
      </w:r>
      <w:r w:rsidRPr="00EF2265">
        <w:rPr>
          <w:rFonts w:ascii="Times New Roman" w:eastAsia="Times New Roman" w:hAnsi="Times New Roman"/>
          <w:sz w:val="20"/>
          <w:szCs w:val="20"/>
          <w:vertAlign w:val="subscript"/>
          <w:lang w:eastAsia="sk-SK"/>
        </w:rPr>
        <w:t>3e</w:t>
      </w:r>
      <w:r w:rsidRPr="00EF2265">
        <w:rPr>
          <w:rFonts w:ascii="Times New Roman" w:eastAsia="Times New Roman" w:hAnsi="Times New Roman"/>
          <w:sz w:val="20"/>
          <w:szCs w:val="20"/>
          <w:lang w:eastAsia="sk-SK"/>
        </w:rPr>
        <w:t>)</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Študijné programy v prvom a druhom stupni štúdia majú priznané práva len v dennej forme štúdia.</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Študijné programy v treťom stupni štúdia majú priznané práva v dennej aj externej forme štúdia.</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ŠO – študijný odbor, v prípade, že študijný program sa uskutočňuje v kombinácii dvoch študijných odborov, započítané sú v rámci príslušnej fakulty obidva študijné odbory samostatne. Študijné odbory, v ktorých sa uskutočňujú len dobiehajúce študijné programy nie sú v počte zohľadnené. V 14 študijných odboroch sú priznané práva na viac ako jednej fakulte.</w:t>
      </w:r>
    </w:p>
    <w:p w:rsidR="00AD09B4" w:rsidRPr="00EF2265" w:rsidRDefault="00AD09B4" w:rsidP="00E86605">
      <w:pPr>
        <w:tabs>
          <w:tab w:val="left" w:pos="9356"/>
        </w:tabs>
        <w:jc w:val="left"/>
        <w:rPr>
          <w:rFonts w:ascii="Times New Roman" w:hAnsi="Times New Roman"/>
          <w:sz w:val="20"/>
          <w:szCs w:val="20"/>
        </w:rPr>
        <w:sectPr w:rsidR="00AD09B4" w:rsidRPr="00EF2265" w:rsidSect="00351A8A">
          <w:headerReference w:type="default" r:id="rId17"/>
          <w:pgSz w:w="16838" w:h="11906" w:orient="landscape"/>
          <w:pgMar w:top="1418" w:right="1559" w:bottom="851" w:left="567" w:header="709" w:footer="544" w:gutter="0"/>
          <w:cols w:space="708"/>
        </w:sectPr>
      </w:pPr>
    </w:p>
    <w:p w:rsidR="00AD09B4" w:rsidRPr="00EF2265" w:rsidRDefault="00AD09B4" w:rsidP="00E86605">
      <w:pPr>
        <w:pStyle w:val="Nadpis1"/>
        <w:numPr>
          <w:ilvl w:val="1"/>
          <w:numId w:val="7"/>
        </w:numPr>
        <w:tabs>
          <w:tab w:val="left" w:pos="9356"/>
        </w:tabs>
        <w:spacing w:after="120"/>
        <w:rPr>
          <w:rFonts w:ascii="Times New Roman" w:hAnsi="Times New Roman" w:cs="Times New Roman"/>
          <w:color w:val="auto"/>
          <w:sz w:val="20"/>
          <w:szCs w:val="20"/>
        </w:rPr>
      </w:pPr>
      <w:bookmarkStart w:id="11" w:name="_Počty_a_štruktúra"/>
      <w:bookmarkStart w:id="12" w:name="_Toc534722875"/>
      <w:bookmarkEnd w:id="11"/>
      <w:r w:rsidRPr="00EF2265">
        <w:rPr>
          <w:rFonts w:ascii="Times New Roman" w:hAnsi="Times New Roman" w:cs="Times New Roman"/>
          <w:color w:val="auto"/>
          <w:sz w:val="20"/>
          <w:szCs w:val="20"/>
        </w:rPr>
        <w:lastRenderedPageBreak/>
        <w:t>Počty a štruktúra študentov na STU</w:t>
      </w:r>
      <w:bookmarkEnd w:id="12"/>
    </w:p>
    <w:p w:rsidR="00AD09B4" w:rsidRPr="00EF2265" w:rsidRDefault="00AD09B4" w:rsidP="00E86605">
      <w:pPr>
        <w:tabs>
          <w:tab w:val="left" w:pos="9498"/>
        </w:tabs>
        <w:jc w:val="left"/>
        <w:rPr>
          <w:rFonts w:ascii="Times New Roman" w:hAnsi="Times New Roman"/>
          <w:sz w:val="20"/>
          <w:szCs w:val="20"/>
        </w:rPr>
      </w:pPr>
      <w:r w:rsidRPr="00EF2265">
        <w:rPr>
          <w:rFonts w:ascii="Times New Roman" w:hAnsi="Times New Roman"/>
          <w:sz w:val="20"/>
          <w:szCs w:val="20"/>
        </w:rPr>
        <w:t xml:space="preserve">STU mala v akademickom roku 2017/2018 celkovo </w:t>
      </w:r>
      <w:r w:rsidRPr="00EF2265">
        <w:rPr>
          <w:rFonts w:ascii="Times New Roman" w:hAnsi="Times New Roman"/>
          <w:b/>
          <w:sz w:val="20"/>
          <w:szCs w:val="20"/>
        </w:rPr>
        <w:t>11 748 študentov</w:t>
      </w:r>
      <w:r w:rsidRPr="00EF2265">
        <w:rPr>
          <w:rFonts w:ascii="Times New Roman" w:hAnsi="Times New Roman"/>
          <w:sz w:val="20"/>
          <w:szCs w:val="20"/>
        </w:rPr>
        <w:t xml:space="preserve">; </w:t>
      </w:r>
      <w:r w:rsidRPr="00EF2265">
        <w:rPr>
          <w:rFonts w:ascii="Times New Roman" w:hAnsi="Times New Roman"/>
          <w:b/>
          <w:sz w:val="20"/>
          <w:szCs w:val="20"/>
        </w:rPr>
        <w:t xml:space="preserve">7 136 na prvom stupni, 3 815 na druhom stupni a 797 na treťom stupni štúdia, z toho 576 v dennej forme a 221 v externej forme </w:t>
      </w:r>
      <w:r w:rsidRPr="00EF2265">
        <w:rPr>
          <w:rFonts w:ascii="Times New Roman" w:hAnsi="Times New Roman"/>
          <w:sz w:val="20"/>
          <w:szCs w:val="20"/>
        </w:rPr>
        <w:t xml:space="preserve">(stav k 31. 10. 2017). Prehľad o počtoch a štruktúre študentov v akad. roku 2017/2018 uvádza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_Ref474776608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4</w:t>
      </w:r>
      <w:r w:rsidRPr="00EF2265">
        <w:rPr>
          <w:rFonts w:ascii="Times New Roman" w:hAnsi="Times New Roman"/>
          <w:sz w:val="20"/>
          <w:szCs w:val="20"/>
        </w:rPr>
        <w:fldChar w:fldCharType="end"/>
      </w:r>
      <w:r w:rsidRPr="00EF2265">
        <w:rPr>
          <w:rFonts w:ascii="Times New Roman" w:hAnsi="Times New Roman"/>
          <w:sz w:val="20"/>
          <w:szCs w:val="20"/>
        </w:rPr>
        <w:t>.</w:t>
      </w:r>
      <w:r w:rsidRPr="00EF2265">
        <w:rPr>
          <w:rFonts w:ascii="Times New Roman" w:hAnsi="Times New Roman"/>
          <w:b/>
          <w:sz w:val="20"/>
          <w:szCs w:val="20"/>
        </w:rPr>
        <w:t xml:space="preserve"> V ďalšom texte sa bude bližšie analyzovať stav študentov v akademickom roku 2017/2018,</w:t>
      </w:r>
      <w:r w:rsidRPr="00EF2265">
        <w:rPr>
          <w:rFonts w:ascii="Times New Roman" w:hAnsi="Times New Roman"/>
          <w:sz w:val="20"/>
          <w:szCs w:val="20"/>
        </w:rPr>
        <w:t xml:space="preserve"> avšak pre porovnanie je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_Ref474776621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5</w:t>
      </w:r>
      <w:r w:rsidRPr="00EF2265">
        <w:rPr>
          <w:rFonts w:ascii="Times New Roman" w:hAnsi="Times New Roman"/>
          <w:sz w:val="20"/>
          <w:szCs w:val="20"/>
        </w:rPr>
        <w:fldChar w:fldCharType="end"/>
      </w:r>
      <w:r w:rsidRPr="00EF2265">
        <w:rPr>
          <w:rFonts w:ascii="Times New Roman" w:hAnsi="Times New Roman"/>
          <w:sz w:val="20"/>
          <w:szCs w:val="20"/>
        </w:rPr>
        <w:t xml:space="preserve"> uvedený aj prehľad o počtoch a štruktúre študentov v akademickom roku 2018/2019 a rovnako pri niektorých ďalších ukazovateľoch sa uvádzajú aj informácie platné pre akademický rok 2018/2019. </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13" w:name="_Ref474776608"/>
      <w:bookmarkStart w:id="14" w:name="_Toc534793943"/>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w:t>
      </w:r>
      <w:r w:rsidRPr="00EF2265">
        <w:rPr>
          <w:rFonts w:ascii="Times New Roman" w:hAnsi="Times New Roman"/>
          <w:sz w:val="20"/>
          <w:szCs w:val="20"/>
        </w:rPr>
        <w:fldChar w:fldCharType="end"/>
      </w:r>
      <w:bookmarkEnd w:id="13"/>
      <w:r w:rsidRPr="00EF2265">
        <w:rPr>
          <w:rFonts w:ascii="Times New Roman" w:hAnsi="Times New Roman"/>
          <w:sz w:val="20"/>
          <w:szCs w:val="20"/>
        </w:rPr>
        <w:t xml:space="preserve">: Počet študentov STU v akademickom roku </w:t>
      </w:r>
      <w:r w:rsidRPr="00EF2265">
        <w:rPr>
          <w:rFonts w:ascii="Times New Roman" w:hAnsi="Times New Roman"/>
          <w:b/>
          <w:sz w:val="20"/>
          <w:szCs w:val="20"/>
        </w:rPr>
        <w:t>2017/2018</w:t>
      </w:r>
      <w:r w:rsidRPr="00EF2265">
        <w:rPr>
          <w:rFonts w:ascii="Times New Roman" w:hAnsi="Times New Roman"/>
          <w:sz w:val="20"/>
          <w:szCs w:val="20"/>
        </w:rPr>
        <w:t xml:space="preserve"> k 31. 10. 2017</w:t>
      </w:r>
      <w:bookmarkEnd w:id="14"/>
    </w:p>
    <w:tbl>
      <w:tblPr>
        <w:tblW w:w="9498" w:type="dxa"/>
        <w:tblInd w:w="-5" w:type="dxa"/>
        <w:tblLayout w:type="fixed"/>
        <w:tblCellMar>
          <w:left w:w="70" w:type="dxa"/>
          <w:right w:w="70" w:type="dxa"/>
        </w:tblCellMar>
        <w:tblLook w:val="04A0" w:firstRow="1" w:lastRow="0" w:firstColumn="1" w:lastColumn="0" w:noHBand="0" w:noVBand="1"/>
      </w:tblPr>
      <w:tblGrid>
        <w:gridCol w:w="960"/>
        <w:gridCol w:w="1145"/>
        <w:gridCol w:w="1145"/>
        <w:gridCol w:w="1003"/>
        <w:gridCol w:w="992"/>
        <w:gridCol w:w="992"/>
        <w:gridCol w:w="993"/>
        <w:gridCol w:w="850"/>
        <w:gridCol w:w="1418"/>
      </w:tblGrid>
      <w:tr w:rsidR="00AD09B4" w:rsidRPr="00EF2265" w:rsidTr="00351A8A">
        <w:trPr>
          <w:trHeight w:val="636"/>
        </w:trPr>
        <w:tc>
          <w:tcPr>
            <w:tcW w:w="960" w:type="dxa"/>
            <w:vMerge w:val="restart"/>
            <w:tcBorders>
              <w:top w:val="single" w:sz="4" w:space="0" w:color="auto"/>
              <w:left w:val="single" w:sz="4" w:space="0" w:color="auto"/>
              <w:right w:val="single" w:sz="4" w:space="0" w:color="auto"/>
            </w:tcBorders>
            <w:shd w:val="clear" w:color="auto" w:fill="auto"/>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Fakulta</w:t>
            </w:r>
          </w:p>
        </w:tc>
        <w:tc>
          <w:tcPr>
            <w:tcW w:w="3293" w:type="dxa"/>
            <w:gridSpan w:val="3"/>
            <w:tcBorders>
              <w:top w:val="single" w:sz="4" w:space="0" w:color="auto"/>
              <w:left w:val="nil"/>
              <w:bottom w:val="single" w:sz="4" w:space="0" w:color="auto"/>
              <w:right w:val="single" w:sz="8"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Denné štúdium</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(Slováci + cudzinci)</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Externé štúdium</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(Slováci + cudzinci)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Cudzinci všetky stupne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STU celkom (Slováci</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cudzinci)</w:t>
            </w:r>
          </w:p>
        </w:tc>
      </w:tr>
      <w:tr w:rsidR="00AD09B4" w:rsidRPr="00EF2265" w:rsidTr="00351A8A">
        <w:trPr>
          <w:trHeight w:val="300"/>
        </w:trPr>
        <w:tc>
          <w:tcPr>
            <w:tcW w:w="960" w:type="dxa"/>
            <w:vMerge/>
            <w:tcBorders>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stupeň</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stupeň</w:t>
            </w:r>
          </w:p>
        </w:tc>
        <w:tc>
          <w:tcPr>
            <w:tcW w:w="1003" w:type="dxa"/>
            <w:tcBorders>
              <w:top w:val="nil"/>
              <w:left w:val="nil"/>
              <w:bottom w:val="single" w:sz="4" w:space="0" w:color="auto"/>
              <w:right w:val="single" w:sz="8"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 stupeň</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stupeň</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stupeň</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 stupeň</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D+E</w:t>
            </w:r>
          </w:p>
        </w:tc>
      </w:tr>
      <w:tr w:rsidR="00AD09B4" w:rsidRPr="00EF2265" w:rsidTr="00351A8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SvF</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1 433</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818</w:t>
            </w:r>
          </w:p>
        </w:tc>
        <w:tc>
          <w:tcPr>
            <w:tcW w:w="1003" w:type="dxa"/>
            <w:tcBorders>
              <w:top w:val="nil"/>
              <w:left w:val="nil"/>
              <w:bottom w:val="single" w:sz="4" w:space="0" w:color="auto"/>
              <w:right w:val="single" w:sz="8"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87</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2 423</w:t>
            </w:r>
          </w:p>
        </w:tc>
      </w:tr>
      <w:tr w:rsidR="00AD09B4" w:rsidRPr="00EF2265" w:rsidTr="00351A8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SjF</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527</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336</w:t>
            </w:r>
          </w:p>
        </w:tc>
        <w:tc>
          <w:tcPr>
            <w:tcW w:w="1003" w:type="dxa"/>
            <w:tcBorders>
              <w:top w:val="nil"/>
              <w:left w:val="nil"/>
              <w:bottom w:val="single" w:sz="4" w:space="0" w:color="auto"/>
              <w:right w:val="single" w:sz="8"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42</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65</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936</w:t>
            </w:r>
          </w:p>
        </w:tc>
      </w:tr>
      <w:tr w:rsidR="00AD09B4" w:rsidRPr="00EF2265" w:rsidTr="00351A8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FEI</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1 466</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656</w:t>
            </w:r>
          </w:p>
        </w:tc>
        <w:tc>
          <w:tcPr>
            <w:tcW w:w="1003" w:type="dxa"/>
            <w:tcBorders>
              <w:top w:val="nil"/>
              <w:left w:val="nil"/>
              <w:bottom w:val="single" w:sz="4" w:space="0" w:color="auto"/>
              <w:right w:val="single" w:sz="8"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73</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94</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2 248</w:t>
            </w:r>
          </w:p>
        </w:tc>
      </w:tr>
      <w:tr w:rsidR="00AD09B4" w:rsidRPr="00EF2265" w:rsidTr="00351A8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FCHPT</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962</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502</w:t>
            </w:r>
          </w:p>
        </w:tc>
        <w:tc>
          <w:tcPr>
            <w:tcW w:w="1003" w:type="dxa"/>
            <w:tcBorders>
              <w:top w:val="nil"/>
              <w:left w:val="nil"/>
              <w:bottom w:val="single" w:sz="4" w:space="0" w:color="auto"/>
              <w:right w:val="single" w:sz="8"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137</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47</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1 631</w:t>
            </w:r>
          </w:p>
        </w:tc>
      </w:tr>
      <w:tr w:rsidR="00AD09B4" w:rsidRPr="00EF2265" w:rsidTr="00351A8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FA</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607</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262</w:t>
            </w:r>
          </w:p>
        </w:tc>
        <w:tc>
          <w:tcPr>
            <w:tcW w:w="1003" w:type="dxa"/>
            <w:tcBorders>
              <w:top w:val="nil"/>
              <w:left w:val="nil"/>
              <w:bottom w:val="single" w:sz="4" w:space="0" w:color="auto"/>
              <w:right w:val="single" w:sz="8"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63</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954</w:t>
            </w:r>
          </w:p>
        </w:tc>
      </w:tr>
      <w:tr w:rsidR="00AD09B4" w:rsidRPr="00EF2265" w:rsidTr="00351A8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MTF</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1 286</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854</w:t>
            </w:r>
          </w:p>
        </w:tc>
        <w:tc>
          <w:tcPr>
            <w:tcW w:w="1003" w:type="dxa"/>
            <w:tcBorders>
              <w:top w:val="nil"/>
              <w:left w:val="nil"/>
              <w:bottom w:val="single" w:sz="4" w:space="0" w:color="auto"/>
              <w:right w:val="single" w:sz="8"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59</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2 234</w:t>
            </w:r>
          </w:p>
        </w:tc>
      </w:tr>
      <w:tr w:rsidR="00AD09B4" w:rsidRPr="00EF2265" w:rsidTr="00351A8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FIIT</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767</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348</w:t>
            </w:r>
          </w:p>
        </w:tc>
        <w:tc>
          <w:tcPr>
            <w:tcW w:w="1003" w:type="dxa"/>
            <w:tcBorders>
              <w:top w:val="nil"/>
              <w:left w:val="nil"/>
              <w:bottom w:val="single" w:sz="4" w:space="0" w:color="auto"/>
              <w:right w:val="single" w:sz="8"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47</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1 162</w:t>
            </w:r>
          </w:p>
        </w:tc>
      </w:tr>
      <w:tr w:rsidR="00AD09B4" w:rsidRPr="00EF2265" w:rsidTr="00351A8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ÚM</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88</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w:t>
            </w:r>
          </w:p>
        </w:tc>
        <w:tc>
          <w:tcPr>
            <w:tcW w:w="1003" w:type="dxa"/>
            <w:tcBorders>
              <w:top w:val="nil"/>
              <w:left w:val="nil"/>
              <w:bottom w:val="single" w:sz="4" w:space="0" w:color="auto"/>
              <w:right w:val="single" w:sz="8"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160</w:t>
            </w:r>
          </w:p>
        </w:tc>
      </w:tr>
      <w:tr w:rsidR="00AD09B4" w:rsidRPr="00EF2265" w:rsidTr="00351A8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7 136</w:t>
            </w:r>
          </w:p>
        </w:tc>
        <w:tc>
          <w:tcPr>
            <w:tcW w:w="11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3 815</w:t>
            </w:r>
          </w:p>
        </w:tc>
        <w:tc>
          <w:tcPr>
            <w:tcW w:w="1003" w:type="dxa"/>
            <w:tcBorders>
              <w:top w:val="nil"/>
              <w:left w:val="nil"/>
              <w:bottom w:val="single" w:sz="4" w:space="0" w:color="auto"/>
              <w:right w:val="single" w:sz="8"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576</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389</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11 748</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15" w:name="_Ref474776621"/>
      <w:bookmarkStart w:id="16" w:name="_Toc534793944"/>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5</w:t>
      </w:r>
      <w:r w:rsidRPr="00EF2265">
        <w:rPr>
          <w:rFonts w:ascii="Times New Roman" w:hAnsi="Times New Roman"/>
          <w:sz w:val="20"/>
          <w:szCs w:val="20"/>
        </w:rPr>
        <w:fldChar w:fldCharType="end"/>
      </w:r>
      <w:bookmarkEnd w:id="15"/>
      <w:r w:rsidRPr="00EF2265">
        <w:rPr>
          <w:rFonts w:ascii="Times New Roman" w:hAnsi="Times New Roman"/>
          <w:sz w:val="20"/>
          <w:szCs w:val="20"/>
        </w:rPr>
        <w:t xml:space="preserve">: Počet študentov STU v akademickom roku </w:t>
      </w:r>
      <w:r w:rsidRPr="00EF2265">
        <w:rPr>
          <w:rFonts w:ascii="Times New Roman" w:hAnsi="Times New Roman"/>
          <w:b/>
          <w:sz w:val="20"/>
          <w:szCs w:val="20"/>
        </w:rPr>
        <w:t>2018/2019</w:t>
      </w:r>
      <w:r w:rsidRPr="00EF2265">
        <w:rPr>
          <w:rFonts w:ascii="Times New Roman" w:hAnsi="Times New Roman"/>
          <w:sz w:val="20"/>
          <w:szCs w:val="20"/>
        </w:rPr>
        <w:t xml:space="preserve"> k 31. 10. 2018</w:t>
      </w:r>
      <w:bookmarkEnd w:id="16"/>
    </w:p>
    <w:tbl>
      <w:tblPr>
        <w:tblW w:w="9495" w:type="dxa"/>
        <w:tblInd w:w="-5" w:type="dxa"/>
        <w:tblLayout w:type="fixed"/>
        <w:tblCellMar>
          <w:left w:w="70" w:type="dxa"/>
          <w:right w:w="70" w:type="dxa"/>
        </w:tblCellMar>
        <w:tblLook w:val="04A0" w:firstRow="1" w:lastRow="0" w:firstColumn="1" w:lastColumn="0" w:noHBand="0" w:noVBand="1"/>
      </w:tblPr>
      <w:tblGrid>
        <w:gridCol w:w="959"/>
        <w:gridCol w:w="1144"/>
        <w:gridCol w:w="1144"/>
        <w:gridCol w:w="1003"/>
        <w:gridCol w:w="992"/>
        <w:gridCol w:w="992"/>
        <w:gridCol w:w="993"/>
        <w:gridCol w:w="850"/>
        <w:gridCol w:w="1418"/>
      </w:tblGrid>
      <w:tr w:rsidR="00AD09B4" w:rsidRPr="00EF2265" w:rsidTr="00351A8A">
        <w:trPr>
          <w:trHeight w:val="636"/>
        </w:trPr>
        <w:tc>
          <w:tcPr>
            <w:tcW w:w="959" w:type="dxa"/>
            <w:vMerge w:val="restart"/>
            <w:tcBorders>
              <w:top w:val="single" w:sz="4" w:space="0" w:color="auto"/>
              <w:left w:val="single" w:sz="4" w:space="0" w:color="auto"/>
              <w:bottom w:val="single" w:sz="4" w:space="0" w:color="000000"/>
              <w:right w:val="single" w:sz="4"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Fakulta</w:t>
            </w:r>
          </w:p>
        </w:tc>
        <w:tc>
          <w:tcPr>
            <w:tcW w:w="3291" w:type="dxa"/>
            <w:gridSpan w:val="3"/>
            <w:tcBorders>
              <w:top w:val="single" w:sz="4" w:space="0" w:color="auto"/>
              <w:left w:val="nil"/>
              <w:bottom w:val="single" w:sz="4" w:space="0" w:color="auto"/>
              <w:right w:val="single" w:sz="8" w:space="0" w:color="000000"/>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Denné štúdium</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(Slováci + cudzinci)</w:t>
            </w:r>
          </w:p>
        </w:tc>
        <w:tc>
          <w:tcPr>
            <w:tcW w:w="2977" w:type="dxa"/>
            <w:gridSpan w:val="3"/>
            <w:tcBorders>
              <w:top w:val="single" w:sz="4" w:space="0" w:color="auto"/>
              <w:left w:val="nil"/>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Externé štúdium</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(Slováci + cudzinci)</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Cudzinci všetky stupne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STU celkom (Slováci</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cudzinci)</w:t>
            </w:r>
          </w:p>
        </w:tc>
      </w:tr>
      <w:tr w:rsidR="00AD09B4" w:rsidRPr="00EF2265" w:rsidTr="00351A8A">
        <w:trPr>
          <w:trHeight w:val="300"/>
        </w:trPr>
        <w:tc>
          <w:tcPr>
            <w:tcW w:w="959"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stupeň</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stupeň</w:t>
            </w:r>
          </w:p>
        </w:tc>
        <w:tc>
          <w:tcPr>
            <w:tcW w:w="1003" w:type="dxa"/>
            <w:tcBorders>
              <w:top w:val="nil"/>
              <w:left w:val="nil"/>
              <w:bottom w:val="single" w:sz="4" w:space="0" w:color="auto"/>
              <w:right w:val="single" w:sz="8"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 stupeň</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stupeň</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stupeň</w:t>
            </w:r>
          </w:p>
        </w:tc>
        <w:tc>
          <w:tcPr>
            <w:tcW w:w="993" w:type="dxa"/>
            <w:tcBorders>
              <w:top w:val="nil"/>
              <w:left w:val="nil"/>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 stupeň</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D+E</w:t>
            </w:r>
          </w:p>
        </w:tc>
      </w:tr>
      <w:tr w:rsidR="00AD09B4" w:rsidRPr="00EF2265" w:rsidTr="00351A8A">
        <w:trPr>
          <w:trHeight w:val="300"/>
        </w:trPr>
        <w:tc>
          <w:tcPr>
            <w:tcW w:w="95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SvF</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1 385</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687</w:t>
            </w:r>
          </w:p>
        </w:tc>
        <w:tc>
          <w:tcPr>
            <w:tcW w:w="1003"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137</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85</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2 230</w:t>
            </w:r>
          </w:p>
        </w:tc>
      </w:tr>
      <w:tr w:rsidR="00AD09B4" w:rsidRPr="00EF2265" w:rsidTr="00351A8A">
        <w:trPr>
          <w:trHeight w:val="300"/>
        </w:trPr>
        <w:tc>
          <w:tcPr>
            <w:tcW w:w="95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SjF</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501</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321</w:t>
            </w:r>
          </w:p>
        </w:tc>
        <w:tc>
          <w:tcPr>
            <w:tcW w:w="1003"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38</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71</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891</w:t>
            </w:r>
          </w:p>
        </w:tc>
      </w:tr>
      <w:tr w:rsidR="00AD09B4" w:rsidRPr="00EF2265" w:rsidTr="00351A8A">
        <w:trPr>
          <w:trHeight w:val="300"/>
        </w:trPr>
        <w:tc>
          <w:tcPr>
            <w:tcW w:w="95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FEI</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1 567</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566</w:t>
            </w:r>
          </w:p>
        </w:tc>
        <w:tc>
          <w:tcPr>
            <w:tcW w:w="1003"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89</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51</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132</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2 273</w:t>
            </w:r>
          </w:p>
        </w:tc>
      </w:tr>
      <w:tr w:rsidR="00AD09B4" w:rsidRPr="00EF2265" w:rsidTr="00351A8A">
        <w:trPr>
          <w:trHeight w:val="300"/>
        </w:trPr>
        <w:tc>
          <w:tcPr>
            <w:tcW w:w="95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FCHPT</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853</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443</w:t>
            </w:r>
          </w:p>
        </w:tc>
        <w:tc>
          <w:tcPr>
            <w:tcW w:w="1003"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140</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62</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1 464</w:t>
            </w:r>
          </w:p>
        </w:tc>
      </w:tr>
      <w:tr w:rsidR="00AD09B4" w:rsidRPr="00EF2265" w:rsidTr="00351A8A">
        <w:trPr>
          <w:trHeight w:val="300"/>
        </w:trPr>
        <w:tc>
          <w:tcPr>
            <w:tcW w:w="95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FA</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565</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275</w:t>
            </w:r>
          </w:p>
        </w:tc>
        <w:tc>
          <w:tcPr>
            <w:tcW w:w="1003"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66</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25</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927</w:t>
            </w:r>
          </w:p>
        </w:tc>
      </w:tr>
      <w:tr w:rsidR="00AD09B4" w:rsidRPr="00EF2265" w:rsidTr="00351A8A">
        <w:trPr>
          <w:trHeight w:val="300"/>
        </w:trPr>
        <w:tc>
          <w:tcPr>
            <w:tcW w:w="95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MTF</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1 136</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712</w:t>
            </w:r>
          </w:p>
        </w:tc>
        <w:tc>
          <w:tcPr>
            <w:tcW w:w="1003"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57</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1 932</w:t>
            </w:r>
          </w:p>
        </w:tc>
      </w:tr>
      <w:tr w:rsidR="00AD09B4" w:rsidRPr="00EF2265" w:rsidTr="00351A8A">
        <w:trPr>
          <w:trHeight w:val="300"/>
        </w:trPr>
        <w:tc>
          <w:tcPr>
            <w:tcW w:w="95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FIIT</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826</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382</w:t>
            </w:r>
          </w:p>
        </w:tc>
        <w:tc>
          <w:tcPr>
            <w:tcW w:w="1003"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46</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1 254</w:t>
            </w:r>
          </w:p>
        </w:tc>
      </w:tr>
      <w:tr w:rsidR="00AD09B4" w:rsidRPr="00EF2265" w:rsidTr="00351A8A">
        <w:trPr>
          <w:trHeight w:val="300"/>
        </w:trPr>
        <w:tc>
          <w:tcPr>
            <w:tcW w:w="95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ÚM</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85</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44</w:t>
            </w:r>
          </w:p>
        </w:tc>
        <w:tc>
          <w:tcPr>
            <w:tcW w:w="1003"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159</w:t>
            </w:r>
          </w:p>
        </w:tc>
      </w:tr>
      <w:tr w:rsidR="00AD09B4" w:rsidRPr="00EF2265" w:rsidTr="00351A8A">
        <w:trPr>
          <w:trHeight w:val="300"/>
        </w:trPr>
        <w:tc>
          <w:tcPr>
            <w:tcW w:w="95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6 918</w:t>
            </w:r>
          </w:p>
        </w:tc>
        <w:tc>
          <w:tcPr>
            <w:tcW w:w="11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3 430</w:t>
            </w:r>
          </w:p>
        </w:tc>
        <w:tc>
          <w:tcPr>
            <w:tcW w:w="1003"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578</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w:t>
            </w:r>
          </w:p>
        </w:tc>
        <w:tc>
          <w:tcPr>
            <w:tcW w:w="9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w:t>
            </w:r>
          </w:p>
        </w:tc>
        <w:tc>
          <w:tcPr>
            <w:tcW w:w="99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204</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447</w:t>
            </w:r>
          </w:p>
        </w:tc>
        <w:tc>
          <w:tcPr>
            <w:tcW w:w="141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11 130</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Porovnanie počtu študentov k počtu zamestnancov (počet vysokoškolských učiteľov a výskumných a umeleckých pracovníkov) v akademickom roku 2017/2018 a 2018/2019 (stav k 31. 10. príslušného akademického roka) na jednotlivých súčastiach STU je uvedené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_Ref474776672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6</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sectPr w:rsidR="00AD09B4" w:rsidRPr="00EF2265" w:rsidSect="00351A8A">
          <w:headerReference w:type="default" r:id="rId18"/>
          <w:pgSz w:w="11906" w:h="16838"/>
          <w:pgMar w:top="1560" w:right="991" w:bottom="851" w:left="1417" w:header="708" w:footer="545" w:gutter="0"/>
          <w:cols w:space="708"/>
        </w:sectPr>
      </w:pPr>
    </w:p>
    <w:p w:rsidR="00AD09B4" w:rsidRPr="00EF2265" w:rsidRDefault="00AD09B4" w:rsidP="00E86605">
      <w:pPr>
        <w:tabs>
          <w:tab w:val="left" w:pos="9356"/>
        </w:tabs>
        <w:jc w:val="left"/>
        <w:rPr>
          <w:rFonts w:ascii="Times New Roman" w:hAnsi="Times New Roman"/>
          <w:sz w:val="20"/>
          <w:szCs w:val="20"/>
        </w:rPr>
      </w:pPr>
      <w:bookmarkStart w:id="17" w:name="_Ref474776672"/>
      <w:bookmarkStart w:id="18" w:name="_Toc534793945"/>
      <w:r w:rsidRPr="00EF2265">
        <w:rPr>
          <w:rFonts w:ascii="Times New Roman" w:hAnsi="Times New Roman"/>
          <w:sz w:val="20"/>
          <w:szCs w:val="20"/>
        </w:rPr>
        <w:lastRenderedPageBreak/>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6</w:t>
      </w:r>
      <w:r w:rsidRPr="00EF2265">
        <w:rPr>
          <w:rFonts w:ascii="Times New Roman" w:hAnsi="Times New Roman"/>
          <w:sz w:val="20"/>
          <w:szCs w:val="20"/>
        </w:rPr>
        <w:fldChar w:fldCharType="end"/>
      </w:r>
      <w:bookmarkEnd w:id="17"/>
      <w:r w:rsidRPr="00EF2265">
        <w:rPr>
          <w:rFonts w:ascii="Times New Roman" w:hAnsi="Times New Roman"/>
          <w:sz w:val="20"/>
          <w:szCs w:val="20"/>
        </w:rPr>
        <w:t>: Prehľad počtu študentov a zamestnancov STU v akademickom roku 2017/2018 a 2018/2019</w:t>
      </w:r>
      <w:bookmarkEnd w:id="18"/>
    </w:p>
    <w:tbl>
      <w:tblPr>
        <w:tblW w:w="15147" w:type="dxa"/>
        <w:tblInd w:w="-10" w:type="dxa"/>
        <w:tblLayout w:type="fixed"/>
        <w:tblCellMar>
          <w:left w:w="70" w:type="dxa"/>
          <w:right w:w="70" w:type="dxa"/>
        </w:tblCellMar>
        <w:tblLook w:val="04A0" w:firstRow="1" w:lastRow="0" w:firstColumn="1" w:lastColumn="0" w:noHBand="0" w:noVBand="1"/>
      </w:tblPr>
      <w:tblGrid>
        <w:gridCol w:w="851"/>
        <w:gridCol w:w="792"/>
        <w:gridCol w:w="792"/>
        <w:gridCol w:w="844"/>
        <w:gridCol w:w="844"/>
        <w:gridCol w:w="844"/>
        <w:gridCol w:w="845"/>
        <w:gridCol w:w="1067"/>
        <w:gridCol w:w="1068"/>
        <w:gridCol w:w="849"/>
        <w:gridCol w:w="849"/>
        <w:gridCol w:w="849"/>
        <w:gridCol w:w="849"/>
        <w:gridCol w:w="849"/>
        <w:gridCol w:w="849"/>
        <w:gridCol w:w="1053"/>
        <w:gridCol w:w="1053"/>
      </w:tblGrid>
      <w:tr w:rsidR="00AD09B4" w:rsidRPr="00EF2265" w:rsidTr="00351A8A">
        <w:trPr>
          <w:trHeight w:val="300"/>
        </w:trPr>
        <w:tc>
          <w:tcPr>
            <w:tcW w:w="851" w:type="dxa"/>
            <w:vMerge w:val="restart"/>
            <w:tcBorders>
              <w:top w:val="single" w:sz="8" w:space="0" w:color="auto"/>
              <w:left w:val="single" w:sz="8" w:space="0" w:color="auto"/>
              <w:bottom w:val="single" w:sz="4" w:space="0" w:color="000000"/>
              <w:right w:val="double" w:sz="6"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7096" w:type="dxa"/>
            <w:gridSpan w:val="8"/>
            <w:tcBorders>
              <w:top w:val="single" w:sz="8" w:space="0" w:color="auto"/>
              <w:left w:val="nil"/>
              <w:bottom w:val="single" w:sz="4" w:space="0" w:color="auto"/>
              <w:right w:val="double" w:sz="6" w:space="0" w:color="000000"/>
            </w:tcBorders>
            <w:noWrap/>
            <w:vAlign w:val="bottom"/>
            <w:hideMark/>
          </w:tcPr>
          <w:p w:rsidR="00AD09B4" w:rsidRPr="00EF2265" w:rsidRDefault="00AD09B4" w:rsidP="00E86605">
            <w:pPr>
              <w:tabs>
                <w:tab w:val="left" w:pos="9356"/>
              </w:tabs>
              <w:jc w:val="left"/>
              <w:rPr>
                <w:rFonts w:ascii="Times New Roman" w:hAnsi="Times New Roman"/>
                <w:b/>
                <w:bCs/>
                <w:color w:val="000000"/>
                <w:sz w:val="20"/>
                <w:szCs w:val="20"/>
              </w:rPr>
            </w:pPr>
            <w:r w:rsidRPr="00EF2265">
              <w:rPr>
                <w:rFonts w:ascii="Times New Roman" w:hAnsi="Times New Roman"/>
                <w:b/>
                <w:bCs/>
                <w:color w:val="000000"/>
                <w:sz w:val="20"/>
                <w:szCs w:val="20"/>
              </w:rPr>
              <w:t>2017/2018</w:t>
            </w:r>
          </w:p>
        </w:tc>
        <w:tc>
          <w:tcPr>
            <w:tcW w:w="7200" w:type="dxa"/>
            <w:gridSpan w:val="8"/>
            <w:tcBorders>
              <w:top w:val="single" w:sz="8" w:space="0" w:color="auto"/>
              <w:left w:val="nil"/>
              <w:bottom w:val="single" w:sz="4" w:space="0" w:color="auto"/>
              <w:right w:val="double" w:sz="6" w:space="0" w:color="000000"/>
            </w:tcBorders>
            <w:noWrap/>
            <w:vAlign w:val="bottom"/>
          </w:tcPr>
          <w:p w:rsidR="00AD09B4" w:rsidRPr="00EF2265" w:rsidRDefault="00AD09B4" w:rsidP="00E86605">
            <w:pPr>
              <w:tabs>
                <w:tab w:val="left" w:pos="9356"/>
              </w:tabs>
              <w:jc w:val="left"/>
              <w:rPr>
                <w:rFonts w:ascii="Times New Roman" w:hAnsi="Times New Roman"/>
                <w:b/>
                <w:bCs/>
                <w:color w:val="000000"/>
                <w:sz w:val="20"/>
                <w:szCs w:val="20"/>
              </w:rPr>
            </w:pPr>
            <w:r w:rsidRPr="00EF2265">
              <w:rPr>
                <w:rFonts w:ascii="Times New Roman" w:hAnsi="Times New Roman"/>
                <w:b/>
                <w:bCs/>
                <w:color w:val="000000"/>
                <w:sz w:val="20"/>
                <w:szCs w:val="20"/>
              </w:rPr>
              <w:t>2018/2019</w:t>
            </w:r>
          </w:p>
        </w:tc>
      </w:tr>
      <w:tr w:rsidR="00AD09B4" w:rsidRPr="00EF2265" w:rsidTr="00351A8A">
        <w:trPr>
          <w:trHeight w:val="550"/>
        </w:trPr>
        <w:tc>
          <w:tcPr>
            <w:tcW w:w="851" w:type="dxa"/>
            <w:vMerge/>
            <w:tcBorders>
              <w:top w:val="single" w:sz="8" w:space="0" w:color="auto"/>
              <w:left w:val="single" w:sz="8" w:space="0" w:color="auto"/>
              <w:bottom w:val="single" w:sz="4" w:space="0" w:color="000000"/>
              <w:right w:val="double" w:sz="6"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584" w:type="dxa"/>
            <w:gridSpan w:val="2"/>
            <w:tcBorders>
              <w:top w:val="single" w:sz="4" w:space="0" w:color="auto"/>
              <w:left w:val="nil"/>
              <w:bottom w:val="single" w:sz="4" w:space="0" w:color="auto"/>
              <w:right w:val="single" w:sz="8" w:space="0" w:color="000000"/>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VŠ učitelia</w:t>
            </w:r>
          </w:p>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k 31.10.2017</w:t>
            </w:r>
          </w:p>
        </w:tc>
        <w:tc>
          <w:tcPr>
            <w:tcW w:w="1688" w:type="dxa"/>
            <w:gridSpan w:val="2"/>
            <w:tcBorders>
              <w:top w:val="single" w:sz="4" w:space="0" w:color="auto"/>
              <w:left w:val="nil"/>
              <w:bottom w:val="single" w:sz="4" w:space="0" w:color="auto"/>
              <w:right w:val="single" w:sz="8" w:space="0" w:color="000000"/>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VUP 31.10.2017</w:t>
            </w:r>
          </w:p>
        </w:tc>
        <w:tc>
          <w:tcPr>
            <w:tcW w:w="1689" w:type="dxa"/>
            <w:gridSpan w:val="2"/>
            <w:tcBorders>
              <w:top w:val="single" w:sz="4" w:space="0" w:color="auto"/>
              <w:left w:val="single" w:sz="4" w:space="0" w:color="auto"/>
              <w:bottom w:val="single" w:sz="4" w:space="0" w:color="auto"/>
              <w:right w:val="single" w:sz="8" w:space="0" w:color="000000"/>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 zamestnanci (VŠ učitelia a VUP) 31.10.2017</w:t>
            </w:r>
          </w:p>
        </w:tc>
        <w:tc>
          <w:tcPr>
            <w:tcW w:w="1067" w:type="dxa"/>
            <w:vMerge w:val="restart"/>
            <w:tcBorders>
              <w:top w:val="nil"/>
              <w:left w:val="single" w:sz="8"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študent.</w:t>
            </w:r>
          </w:p>
          <w:p w:rsidR="00AD09B4" w:rsidRPr="00EF2265" w:rsidRDefault="00AD09B4" w:rsidP="00E86605">
            <w:pPr>
              <w:tabs>
                <w:tab w:val="left" w:pos="9356"/>
              </w:tabs>
              <w:ind w:hanging="68"/>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k 31.10.2017</w:t>
            </w:r>
          </w:p>
        </w:tc>
        <w:tc>
          <w:tcPr>
            <w:tcW w:w="1068" w:type="dxa"/>
            <w:vMerge w:val="restart"/>
            <w:tcBorders>
              <w:top w:val="nil"/>
              <w:left w:val="nil"/>
              <w:right w:val="double" w:sz="6"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pomer študentov</w:t>
            </w:r>
          </w:p>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k prepoč. počtu zamestn.</w:t>
            </w:r>
          </w:p>
        </w:tc>
        <w:tc>
          <w:tcPr>
            <w:tcW w:w="1698" w:type="dxa"/>
            <w:gridSpan w:val="2"/>
            <w:tcBorders>
              <w:top w:val="single" w:sz="4" w:space="0" w:color="auto"/>
              <w:left w:val="single" w:sz="8" w:space="0" w:color="auto"/>
              <w:bottom w:val="single" w:sz="4" w:space="0" w:color="auto"/>
              <w:right w:val="single" w:sz="8" w:space="0" w:color="000000"/>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VŠ učitelia</w:t>
            </w:r>
          </w:p>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k 31.10.2018</w:t>
            </w:r>
          </w:p>
        </w:tc>
        <w:tc>
          <w:tcPr>
            <w:tcW w:w="1698" w:type="dxa"/>
            <w:gridSpan w:val="2"/>
            <w:tcBorders>
              <w:top w:val="single" w:sz="4" w:space="0" w:color="auto"/>
              <w:left w:val="nil"/>
              <w:bottom w:val="single" w:sz="4" w:space="0" w:color="auto"/>
              <w:right w:val="single" w:sz="8" w:space="0" w:color="000000"/>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VUP 31.10.2018</w:t>
            </w:r>
          </w:p>
        </w:tc>
        <w:tc>
          <w:tcPr>
            <w:tcW w:w="1698" w:type="dxa"/>
            <w:gridSpan w:val="2"/>
            <w:tcBorders>
              <w:top w:val="single" w:sz="4" w:space="0" w:color="auto"/>
              <w:left w:val="nil"/>
              <w:bottom w:val="single" w:sz="4" w:space="0" w:color="auto"/>
              <w:right w:val="single" w:sz="8" w:space="0" w:color="000000"/>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 zamestnanci (VŠ učitelia a VUP) 31.10.2018</w:t>
            </w:r>
          </w:p>
        </w:tc>
        <w:tc>
          <w:tcPr>
            <w:tcW w:w="1053" w:type="dxa"/>
            <w:vMerge w:val="restart"/>
            <w:tcBorders>
              <w:top w:val="nil"/>
              <w:left w:val="single" w:sz="8"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celkový počet študentov</w:t>
            </w:r>
          </w:p>
          <w:p w:rsidR="00AD09B4" w:rsidRPr="00EF2265" w:rsidRDefault="00AD09B4" w:rsidP="00E86605">
            <w:pPr>
              <w:tabs>
                <w:tab w:val="left" w:pos="9356"/>
              </w:tabs>
              <w:ind w:hanging="75"/>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k 31.10.2018</w:t>
            </w:r>
          </w:p>
        </w:tc>
        <w:tc>
          <w:tcPr>
            <w:tcW w:w="1053" w:type="dxa"/>
            <w:vMerge w:val="restart"/>
            <w:tcBorders>
              <w:top w:val="nil"/>
              <w:left w:val="single" w:sz="4" w:space="0" w:color="auto"/>
              <w:right w:val="double" w:sz="6"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pomer študentov</w:t>
            </w:r>
          </w:p>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k prepoč. počtu zamestn.</w:t>
            </w:r>
          </w:p>
        </w:tc>
      </w:tr>
      <w:tr w:rsidR="00AD09B4" w:rsidRPr="00EF2265" w:rsidTr="00351A8A">
        <w:trPr>
          <w:trHeight w:val="302"/>
        </w:trPr>
        <w:tc>
          <w:tcPr>
            <w:tcW w:w="851" w:type="dxa"/>
            <w:vMerge/>
            <w:tcBorders>
              <w:top w:val="single" w:sz="8" w:space="0" w:color="auto"/>
              <w:left w:val="single" w:sz="8" w:space="0" w:color="auto"/>
              <w:bottom w:val="single" w:sz="4" w:space="0" w:color="000000"/>
              <w:right w:val="double" w:sz="6"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792" w:type="dxa"/>
            <w:tcBorders>
              <w:top w:val="nil"/>
              <w:left w:val="nil"/>
              <w:bottom w:val="single" w:sz="4" w:space="0" w:color="auto"/>
              <w:right w:val="single" w:sz="4"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fyzické osoby</w:t>
            </w:r>
          </w:p>
        </w:tc>
        <w:tc>
          <w:tcPr>
            <w:tcW w:w="792" w:type="dxa"/>
            <w:tcBorders>
              <w:top w:val="nil"/>
              <w:left w:val="nil"/>
              <w:bottom w:val="single" w:sz="4" w:space="0" w:color="auto"/>
              <w:right w:val="single" w:sz="8"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prepoč. počet</w:t>
            </w:r>
          </w:p>
        </w:tc>
        <w:tc>
          <w:tcPr>
            <w:tcW w:w="844" w:type="dxa"/>
            <w:tcBorders>
              <w:top w:val="nil"/>
              <w:left w:val="nil"/>
              <w:bottom w:val="single" w:sz="4" w:space="0" w:color="auto"/>
              <w:right w:val="single" w:sz="4"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fyzické osoby</w:t>
            </w:r>
          </w:p>
        </w:tc>
        <w:tc>
          <w:tcPr>
            <w:tcW w:w="844" w:type="dxa"/>
            <w:tcBorders>
              <w:top w:val="nil"/>
              <w:left w:val="nil"/>
              <w:bottom w:val="single" w:sz="4" w:space="0" w:color="auto"/>
              <w:right w:val="single" w:sz="8"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prepoč. počet</w:t>
            </w:r>
          </w:p>
        </w:tc>
        <w:tc>
          <w:tcPr>
            <w:tcW w:w="844" w:type="dxa"/>
            <w:tcBorders>
              <w:top w:val="nil"/>
              <w:left w:val="single" w:sz="4" w:space="0" w:color="auto"/>
              <w:bottom w:val="single" w:sz="4" w:space="0" w:color="auto"/>
              <w:right w:val="single" w:sz="4"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fyzické osoby</w:t>
            </w:r>
          </w:p>
        </w:tc>
        <w:tc>
          <w:tcPr>
            <w:tcW w:w="845" w:type="dxa"/>
            <w:tcBorders>
              <w:top w:val="nil"/>
              <w:left w:val="nil"/>
              <w:bottom w:val="single" w:sz="4" w:space="0" w:color="auto"/>
              <w:right w:val="single" w:sz="8"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prepoč. počet</w:t>
            </w:r>
          </w:p>
        </w:tc>
        <w:tc>
          <w:tcPr>
            <w:tcW w:w="1067" w:type="dxa"/>
            <w:vMerge/>
            <w:tcBorders>
              <w:left w:val="single" w:sz="8"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068" w:type="dxa"/>
            <w:vMerge/>
            <w:tcBorders>
              <w:left w:val="nil"/>
              <w:bottom w:val="single" w:sz="4" w:space="0" w:color="auto"/>
              <w:right w:val="double" w:sz="6"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sz w:val="20"/>
                <w:szCs w:val="20"/>
                <w:lang w:eastAsia="sk-SK"/>
              </w:rPr>
            </w:pPr>
          </w:p>
        </w:tc>
        <w:tc>
          <w:tcPr>
            <w:tcW w:w="849" w:type="dxa"/>
            <w:tcBorders>
              <w:top w:val="nil"/>
              <w:left w:val="nil"/>
              <w:bottom w:val="single" w:sz="4" w:space="0" w:color="auto"/>
              <w:right w:val="single" w:sz="4"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fyzické osoby</w:t>
            </w:r>
          </w:p>
        </w:tc>
        <w:tc>
          <w:tcPr>
            <w:tcW w:w="849" w:type="dxa"/>
            <w:tcBorders>
              <w:top w:val="nil"/>
              <w:left w:val="nil"/>
              <w:bottom w:val="single" w:sz="4" w:space="0" w:color="auto"/>
              <w:right w:val="single" w:sz="8"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prepoč. počet</w:t>
            </w:r>
          </w:p>
        </w:tc>
        <w:tc>
          <w:tcPr>
            <w:tcW w:w="849" w:type="dxa"/>
            <w:tcBorders>
              <w:top w:val="nil"/>
              <w:left w:val="nil"/>
              <w:bottom w:val="single" w:sz="4" w:space="0" w:color="auto"/>
              <w:right w:val="single" w:sz="4"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fyzické osoby</w:t>
            </w:r>
          </w:p>
        </w:tc>
        <w:tc>
          <w:tcPr>
            <w:tcW w:w="849" w:type="dxa"/>
            <w:tcBorders>
              <w:top w:val="nil"/>
              <w:left w:val="nil"/>
              <w:bottom w:val="single" w:sz="4" w:space="0" w:color="auto"/>
              <w:right w:val="single" w:sz="8"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prepoč. počet</w:t>
            </w:r>
          </w:p>
        </w:tc>
        <w:tc>
          <w:tcPr>
            <w:tcW w:w="849" w:type="dxa"/>
            <w:tcBorders>
              <w:top w:val="nil"/>
              <w:left w:val="single" w:sz="4" w:space="0" w:color="auto"/>
              <w:bottom w:val="single" w:sz="4" w:space="0" w:color="auto"/>
              <w:right w:val="single" w:sz="4"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fyzické osoby</w:t>
            </w:r>
          </w:p>
        </w:tc>
        <w:tc>
          <w:tcPr>
            <w:tcW w:w="849" w:type="dxa"/>
            <w:tcBorders>
              <w:top w:val="nil"/>
              <w:left w:val="nil"/>
              <w:bottom w:val="single" w:sz="4" w:space="0" w:color="auto"/>
              <w:right w:val="single" w:sz="8"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prepoč. počet</w:t>
            </w:r>
          </w:p>
        </w:tc>
        <w:tc>
          <w:tcPr>
            <w:tcW w:w="1053" w:type="dxa"/>
            <w:vMerge/>
            <w:tcBorders>
              <w:left w:val="single" w:sz="8"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053" w:type="dxa"/>
            <w:vMerge/>
            <w:tcBorders>
              <w:left w:val="single" w:sz="4" w:space="0" w:color="auto"/>
              <w:bottom w:val="single" w:sz="4" w:space="0" w:color="auto"/>
              <w:right w:val="double" w:sz="6"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sz w:val="20"/>
                <w:szCs w:val="20"/>
                <w:lang w:eastAsia="sk-SK"/>
              </w:rPr>
            </w:pPr>
          </w:p>
        </w:tc>
      </w:tr>
      <w:tr w:rsidR="00AD09B4" w:rsidRPr="00EF2265" w:rsidTr="00351A8A">
        <w:trPr>
          <w:trHeight w:val="300"/>
        </w:trPr>
        <w:tc>
          <w:tcPr>
            <w:tcW w:w="851" w:type="dxa"/>
            <w:tcBorders>
              <w:top w:val="nil"/>
              <w:left w:val="single" w:sz="8" w:space="0" w:color="auto"/>
              <w:bottom w:val="single" w:sz="4" w:space="0" w:color="auto"/>
              <w:right w:val="double" w:sz="6"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SvF</w:t>
            </w:r>
          </w:p>
        </w:tc>
        <w:tc>
          <w:tcPr>
            <w:tcW w:w="7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215</w:t>
            </w:r>
          </w:p>
        </w:tc>
        <w:tc>
          <w:tcPr>
            <w:tcW w:w="792"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206,2</w:t>
            </w:r>
          </w:p>
        </w:tc>
        <w:tc>
          <w:tcPr>
            <w:tcW w:w="8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63</w:t>
            </w:r>
          </w:p>
        </w:tc>
        <w:tc>
          <w:tcPr>
            <w:tcW w:w="844"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44,0</w:t>
            </w:r>
          </w:p>
        </w:tc>
        <w:tc>
          <w:tcPr>
            <w:tcW w:w="844"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278</w:t>
            </w:r>
          </w:p>
        </w:tc>
        <w:tc>
          <w:tcPr>
            <w:tcW w:w="845" w:type="dxa"/>
            <w:tcBorders>
              <w:top w:val="single" w:sz="4" w:space="0" w:color="auto"/>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250,2</w:t>
            </w:r>
          </w:p>
        </w:tc>
        <w:tc>
          <w:tcPr>
            <w:tcW w:w="1067" w:type="dxa"/>
            <w:tcBorders>
              <w:top w:val="single" w:sz="4" w:space="0" w:color="auto"/>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2 423</w:t>
            </w:r>
          </w:p>
        </w:tc>
        <w:tc>
          <w:tcPr>
            <w:tcW w:w="1068" w:type="dxa"/>
            <w:tcBorders>
              <w:top w:val="single" w:sz="4" w:space="0" w:color="auto"/>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9,7</w:t>
            </w:r>
          </w:p>
        </w:tc>
        <w:tc>
          <w:tcPr>
            <w:tcW w:w="849" w:type="dxa"/>
            <w:tcBorders>
              <w:top w:val="single" w:sz="4" w:space="0" w:color="auto"/>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215</w:t>
            </w:r>
          </w:p>
        </w:tc>
        <w:tc>
          <w:tcPr>
            <w:tcW w:w="849" w:type="dxa"/>
            <w:tcBorders>
              <w:top w:val="single" w:sz="4" w:space="0" w:color="auto"/>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207,2</w:t>
            </w:r>
          </w:p>
        </w:tc>
        <w:tc>
          <w:tcPr>
            <w:tcW w:w="849" w:type="dxa"/>
            <w:tcBorders>
              <w:top w:val="single" w:sz="4" w:space="0" w:color="auto"/>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62</w:t>
            </w:r>
          </w:p>
        </w:tc>
        <w:tc>
          <w:tcPr>
            <w:tcW w:w="849" w:type="dxa"/>
            <w:tcBorders>
              <w:top w:val="single" w:sz="4" w:space="0" w:color="auto"/>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42,0</w:t>
            </w:r>
          </w:p>
        </w:tc>
        <w:tc>
          <w:tcPr>
            <w:tcW w:w="849"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277</w:t>
            </w:r>
          </w:p>
        </w:tc>
        <w:tc>
          <w:tcPr>
            <w:tcW w:w="849" w:type="dxa"/>
            <w:tcBorders>
              <w:top w:val="single" w:sz="4" w:space="0" w:color="auto"/>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249,2</w:t>
            </w:r>
          </w:p>
        </w:tc>
        <w:tc>
          <w:tcPr>
            <w:tcW w:w="1053" w:type="dxa"/>
            <w:tcBorders>
              <w:top w:val="single" w:sz="4" w:space="0" w:color="auto"/>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2 230</w:t>
            </w:r>
          </w:p>
        </w:tc>
        <w:tc>
          <w:tcPr>
            <w:tcW w:w="1053" w:type="dxa"/>
            <w:tcBorders>
              <w:top w:val="single" w:sz="4" w:space="0" w:color="auto"/>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8,9</w:t>
            </w:r>
          </w:p>
        </w:tc>
      </w:tr>
      <w:tr w:rsidR="00AD09B4" w:rsidRPr="00EF2265" w:rsidTr="00351A8A">
        <w:trPr>
          <w:trHeight w:val="300"/>
        </w:trPr>
        <w:tc>
          <w:tcPr>
            <w:tcW w:w="851" w:type="dxa"/>
            <w:tcBorders>
              <w:top w:val="nil"/>
              <w:left w:val="single" w:sz="8" w:space="0" w:color="auto"/>
              <w:bottom w:val="single" w:sz="4" w:space="0" w:color="auto"/>
              <w:right w:val="double" w:sz="6"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SjF</w:t>
            </w:r>
          </w:p>
        </w:tc>
        <w:tc>
          <w:tcPr>
            <w:tcW w:w="7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103</w:t>
            </w:r>
          </w:p>
        </w:tc>
        <w:tc>
          <w:tcPr>
            <w:tcW w:w="792"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99,6</w:t>
            </w:r>
          </w:p>
        </w:tc>
        <w:tc>
          <w:tcPr>
            <w:tcW w:w="8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28</w:t>
            </w:r>
          </w:p>
        </w:tc>
        <w:tc>
          <w:tcPr>
            <w:tcW w:w="844"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22,2</w:t>
            </w:r>
          </w:p>
        </w:tc>
        <w:tc>
          <w:tcPr>
            <w:tcW w:w="844"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131</w:t>
            </w:r>
          </w:p>
        </w:tc>
        <w:tc>
          <w:tcPr>
            <w:tcW w:w="845"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121,8</w:t>
            </w:r>
          </w:p>
        </w:tc>
        <w:tc>
          <w:tcPr>
            <w:tcW w:w="1067"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936</w:t>
            </w:r>
          </w:p>
        </w:tc>
        <w:tc>
          <w:tcPr>
            <w:tcW w:w="1068"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7,7</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101</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97,3</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30</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21,7</w:t>
            </w:r>
          </w:p>
        </w:tc>
        <w:tc>
          <w:tcPr>
            <w:tcW w:w="84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131</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119,0</w:t>
            </w:r>
          </w:p>
        </w:tc>
        <w:tc>
          <w:tcPr>
            <w:tcW w:w="105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891</w:t>
            </w:r>
          </w:p>
        </w:tc>
        <w:tc>
          <w:tcPr>
            <w:tcW w:w="1053"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7,5</w:t>
            </w:r>
          </w:p>
        </w:tc>
      </w:tr>
      <w:tr w:rsidR="00AD09B4" w:rsidRPr="00EF2265" w:rsidTr="00351A8A">
        <w:trPr>
          <w:trHeight w:val="300"/>
        </w:trPr>
        <w:tc>
          <w:tcPr>
            <w:tcW w:w="851" w:type="dxa"/>
            <w:tcBorders>
              <w:top w:val="nil"/>
              <w:left w:val="single" w:sz="8" w:space="0" w:color="auto"/>
              <w:bottom w:val="single" w:sz="4" w:space="0" w:color="auto"/>
              <w:right w:val="double" w:sz="6"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FEI</w:t>
            </w:r>
          </w:p>
        </w:tc>
        <w:tc>
          <w:tcPr>
            <w:tcW w:w="7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180</w:t>
            </w:r>
          </w:p>
        </w:tc>
        <w:tc>
          <w:tcPr>
            <w:tcW w:w="792"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170,0</w:t>
            </w:r>
          </w:p>
        </w:tc>
        <w:tc>
          <w:tcPr>
            <w:tcW w:w="8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95</w:t>
            </w:r>
          </w:p>
        </w:tc>
        <w:tc>
          <w:tcPr>
            <w:tcW w:w="844"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69,8</w:t>
            </w:r>
          </w:p>
        </w:tc>
        <w:tc>
          <w:tcPr>
            <w:tcW w:w="844"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275</w:t>
            </w:r>
          </w:p>
        </w:tc>
        <w:tc>
          <w:tcPr>
            <w:tcW w:w="845"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239,8</w:t>
            </w:r>
          </w:p>
        </w:tc>
        <w:tc>
          <w:tcPr>
            <w:tcW w:w="1067"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2 248</w:t>
            </w:r>
          </w:p>
        </w:tc>
        <w:tc>
          <w:tcPr>
            <w:tcW w:w="1068"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9,4</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173</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161,7</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101</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74,5</w:t>
            </w:r>
          </w:p>
        </w:tc>
        <w:tc>
          <w:tcPr>
            <w:tcW w:w="84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274</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236,2</w:t>
            </w:r>
          </w:p>
        </w:tc>
        <w:tc>
          <w:tcPr>
            <w:tcW w:w="105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2 273</w:t>
            </w:r>
          </w:p>
        </w:tc>
        <w:tc>
          <w:tcPr>
            <w:tcW w:w="1053"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9,6</w:t>
            </w:r>
          </w:p>
        </w:tc>
      </w:tr>
      <w:tr w:rsidR="00AD09B4" w:rsidRPr="00EF2265" w:rsidTr="00351A8A">
        <w:trPr>
          <w:trHeight w:val="300"/>
        </w:trPr>
        <w:tc>
          <w:tcPr>
            <w:tcW w:w="851" w:type="dxa"/>
            <w:tcBorders>
              <w:top w:val="nil"/>
              <w:left w:val="single" w:sz="8" w:space="0" w:color="auto"/>
              <w:bottom w:val="single" w:sz="4" w:space="0" w:color="auto"/>
              <w:right w:val="double" w:sz="6"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FCHPT</w:t>
            </w:r>
          </w:p>
        </w:tc>
        <w:tc>
          <w:tcPr>
            <w:tcW w:w="7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205</w:t>
            </w:r>
          </w:p>
        </w:tc>
        <w:tc>
          <w:tcPr>
            <w:tcW w:w="792"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193,3</w:t>
            </w:r>
          </w:p>
        </w:tc>
        <w:tc>
          <w:tcPr>
            <w:tcW w:w="8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101</w:t>
            </w:r>
          </w:p>
        </w:tc>
        <w:tc>
          <w:tcPr>
            <w:tcW w:w="844"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89,5</w:t>
            </w:r>
          </w:p>
        </w:tc>
        <w:tc>
          <w:tcPr>
            <w:tcW w:w="844"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306</w:t>
            </w:r>
          </w:p>
        </w:tc>
        <w:tc>
          <w:tcPr>
            <w:tcW w:w="845"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282,8</w:t>
            </w:r>
          </w:p>
        </w:tc>
        <w:tc>
          <w:tcPr>
            <w:tcW w:w="1067"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1 631</w:t>
            </w:r>
          </w:p>
        </w:tc>
        <w:tc>
          <w:tcPr>
            <w:tcW w:w="1068"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5,8</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204</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192,6</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108</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87,5</w:t>
            </w:r>
          </w:p>
        </w:tc>
        <w:tc>
          <w:tcPr>
            <w:tcW w:w="84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312</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280,1</w:t>
            </w:r>
          </w:p>
        </w:tc>
        <w:tc>
          <w:tcPr>
            <w:tcW w:w="105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1 464</w:t>
            </w:r>
          </w:p>
        </w:tc>
        <w:tc>
          <w:tcPr>
            <w:tcW w:w="1053"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5,2</w:t>
            </w:r>
          </w:p>
        </w:tc>
      </w:tr>
      <w:tr w:rsidR="00AD09B4" w:rsidRPr="00EF2265" w:rsidTr="00351A8A">
        <w:trPr>
          <w:trHeight w:val="300"/>
        </w:trPr>
        <w:tc>
          <w:tcPr>
            <w:tcW w:w="851" w:type="dxa"/>
            <w:tcBorders>
              <w:top w:val="nil"/>
              <w:left w:val="single" w:sz="8" w:space="0" w:color="auto"/>
              <w:bottom w:val="nil"/>
              <w:right w:val="double" w:sz="6"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FA</w:t>
            </w:r>
          </w:p>
        </w:tc>
        <w:tc>
          <w:tcPr>
            <w:tcW w:w="7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90</w:t>
            </w:r>
          </w:p>
        </w:tc>
        <w:tc>
          <w:tcPr>
            <w:tcW w:w="792"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85,7</w:t>
            </w:r>
          </w:p>
        </w:tc>
        <w:tc>
          <w:tcPr>
            <w:tcW w:w="8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w:t>
            </w:r>
          </w:p>
        </w:tc>
        <w:tc>
          <w:tcPr>
            <w:tcW w:w="844"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18,6</w:t>
            </w:r>
          </w:p>
        </w:tc>
        <w:tc>
          <w:tcPr>
            <w:tcW w:w="844"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110</w:t>
            </w:r>
          </w:p>
        </w:tc>
        <w:tc>
          <w:tcPr>
            <w:tcW w:w="845"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104,3</w:t>
            </w:r>
          </w:p>
        </w:tc>
        <w:tc>
          <w:tcPr>
            <w:tcW w:w="1067"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954</w:t>
            </w:r>
          </w:p>
        </w:tc>
        <w:tc>
          <w:tcPr>
            <w:tcW w:w="1068"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9,1</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89</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84,5</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18</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17,8</w:t>
            </w:r>
          </w:p>
        </w:tc>
        <w:tc>
          <w:tcPr>
            <w:tcW w:w="84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107</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102,3</w:t>
            </w:r>
          </w:p>
        </w:tc>
        <w:tc>
          <w:tcPr>
            <w:tcW w:w="105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927</w:t>
            </w:r>
          </w:p>
        </w:tc>
        <w:tc>
          <w:tcPr>
            <w:tcW w:w="1053"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9,1</w:t>
            </w:r>
          </w:p>
        </w:tc>
      </w:tr>
      <w:tr w:rsidR="00AD09B4" w:rsidRPr="00EF2265" w:rsidTr="00351A8A">
        <w:trPr>
          <w:trHeight w:val="300"/>
        </w:trPr>
        <w:tc>
          <w:tcPr>
            <w:tcW w:w="851" w:type="dxa"/>
            <w:tcBorders>
              <w:top w:val="single" w:sz="4" w:space="0" w:color="auto"/>
              <w:left w:val="single" w:sz="8" w:space="0" w:color="auto"/>
              <w:bottom w:val="single" w:sz="4" w:space="0" w:color="auto"/>
              <w:right w:val="double" w:sz="6"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MTF</w:t>
            </w:r>
          </w:p>
        </w:tc>
        <w:tc>
          <w:tcPr>
            <w:tcW w:w="7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161</w:t>
            </w:r>
          </w:p>
        </w:tc>
        <w:tc>
          <w:tcPr>
            <w:tcW w:w="792"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153,9</w:t>
            </w:r>
          </w:p>
        </w:tc>
        <w:tc>
          <w:tcPr>
            <w:tcW w:w="8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53</w:t>
            </w:r>
          </w:p>
        </w:tc>
        <w:tc>
          <w:tcPr>
            <w:tcW w:w="844"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51,8</w:t>
            </w:r>
          </w:p>
        </w:tc>
        <w:tc>
          <w:tcPr>
            <w:tcW w:w="844"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214</w:t>
            </w:r>
          </w:p>
        </w:tc>
        <w:tc>
          <w:tcPr>
            <w:tcW w:w="845"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205,7</w:t>
            </w:r>
          </w:p>
        </w:tc>
        <w:tc>
          <w:tcPr>
            <w:tcW w:w="1067"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2 234</w:t>
            </w:r>
          </w:p>
        </w:tc>
        <w:tc>
          <w:tcPr>
            <w:tcW w:w="1068"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10,9</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160</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154,9</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63</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62,1</w:t>
            </w:r>
          </w:p>
        </w:tc>
        <w:tc>
          <w:tcPr>
            <w:tcW w:w="84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223</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217,0</w:t>
            </w:r>
          </w:p>
        </w:tc>
        <w:tc>
          <w:tcPr>
            <w:tcW w:w="105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1 932</w:t>
            </w:r>
          </w:p>
        </w:tc>
        <w:tc>
          <w:tcPr>
            <w:tcW w:w="1053"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8,9</w:t>
            </w:r>
          </w:p>
        </w:tc>
      </w:tr>
      <w:tr w:rsidR="00AD09B4" w:rsidRPr="00EF2265" w:rsidTr="00351A8A">
        <w:trPr>
          <w:trHeight w:val="300"/>
        </w:trPr>
        <w:tc>
          <w:tcPr>
            <w:tcW w:w="851" w:type="dxa"/>
            <w:tcBorders>
              <w:top w:val="nil"/>
              <w:left w:val="single" w:sz="8" w:space="0" w:color="auto"/>
              <w:bottom w:val="single" w:sz="4" w:space="0" w:color="auto"/>
              <w:right w:val="double" w:sz="6"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FIIT</w:t>
            </w:r>
          </w:p>
        </w:tc>
        <w:tc>
          <w:tcPr>
            <w:tcW w:w="792"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55</w:t>
            </w:r>
          </w:p>
        </w:tc>
        <w:tc>
          <w:tcPr>
            <w:tcW w:w="792"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37,6</w:t>
            </w:r>
          </w:p>
        </w:tc>
        <w:tc>
          <w:tcPr>
            <w:tcW w:w="844"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14</w:t>
            </w:r>
          </w:p>
        </w:tc>
        <w:tc>
          <w:tcPr>
            <w:tcW w:w="844"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7,1</w:t>
            </w:r>
          </w:p>
        </w:tc>
        <w:tc>
          <w:tcPr>
            <w:tcW w:w="844"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69</w:t>
            </w:r>
          </w:p>
        </w:tc>
        <w:tc>
          <w:tcPr>
            <w:tcW w:w="845"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44,7</w:t>
            </w:r>
          </w:p>
        </w:tc>
        <w:tc>
          <w:tcPr>
            <w:tcW w:w="1067"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1 162</w:t>
            </w:r>
          </w:p>
        </w:tc>
        <w:tc>
          <w:tcPr>
            <w:tcW w:w="1068"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26,0</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52</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38,3</w:t>
            </w:r>
          </w:p>
        </w:tc>
        <w:tc>
          <w:tcPr>
            <w:tcW w:w="849"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16</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6,6</w:t>
            </w:r>
          </w:p>
        </w:tc>
        <w:tc>
          <w:tcPr>
            <w:tcW w:w="84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68</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44,9</w:t>
            </w:r>
          </w:p>
        </w:tc>
        <w:tc>
          <w:tcPr>
            <w:tcW w:w="105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1 254</w:t>
            </w:r>
          </w:p>
        </w:tc>
        <w:tc>
          <w:tcPr>
            <w:tcW w:w="1053"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27,9</w:t>
            </w:r>
          </w:p>
        </w:tc>
      </w:tr>
      <w:tr w:rsidR="00AD09B4" w:rsidRPr="00EF2265" w:rsidTr="00351A8A">
        <w:trPr>
          <w:trHeight w:val="300"/>
        </w:trPr>
        <w:tc>
          <w:tcPr>
            <w:tcW w:w="851" w:type="dxa"/>
            <w:tcBorders>
              <w:top w:val="nil"/>
              <w:left w:val="single" w:sz="8" w:space="0" w:color="auto"/>
              <w:bottom w:val="nil"/>
              <w:right w:val="double" w:sz="6"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ÚM</w:t>
            </w:r>
          </w:p>
        </w:tc>
        <w:tc>
          <w:tcPr>
            <w:tcW w:w="792" w:type="dxa"/>
            <w:tcBorders>
              <w:top w:val="nil"/>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34</w:t>
            </w:r>
          </w:p>
        </w:tc>
        <w:tc>
          <w:tcPr>
            <w:tcW w:w="792" w:type="dxa"/>
            <w:tcBorders>
              <w:top w:val="nil"/>
              <w:left w:val="nil"/>
              <w:bottom w:val="nil"/>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30,0</w:t>
            </w:r>
          </w:p>
        </w:tc>
        <w:tc>
          <w:tcPr>
            <w:tcW w:w="844" w:type="dxa"/>
            <w:tcBorders>
              <w:top w:val="nil"/>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w:t>
            </w:r>
          </w:p>
        </w:tc>
        <w:tc>
          <w:tcPr>
            <w:tcW w:w="844" w:type="dxa"/>
            <w:tcBorders>
              <w:top w:val="nil"/>
              <w:left w:val="nil"/>
              <w:bottom w:val="nil"/>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4,0</w:t>
            </w:r>
          </w:p>
        </w:tc>
        <w:tc>
          <w:tcPr>
            <w:tcW w:w="844"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38</w:t>
            </w:r>
          </w:p>
        </w:tc>
        <w:tc>
          <w:tcPr>
            <w:tcW w:w="845"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34,0</w:t>
            </w:r>
          </w:p>
        </w:tc>
        <w:tc>
          <w:tcPr>
            <w:tcW w:w="1067"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160</w:t>
            </w:r>
          </w:p>
        </w:tc>
        <w:tc>
          <w:tcPr>
            <w:tcW w:w="1068"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4,7</w:t>
            </w:r>
          </w:p>
        </w:tc>
        <w:tc>
          <w:tcPr>
            <w:tcW w:w="849" w:type="dxa"/>
            <w:tcBorders>
              <w:top w:val="nil"/>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33</w:t>
            </w:r>
          </w:p>
        </w:tc>
        <w:tc>
          <w:tcPr>
            <w:tcW w:w="849" w:type="dxa"/>
            <w:tcBorders>
              <w:top w:val="nil"/>
              <w:left w:val="nil"/>
              <w:bottom w:val="nil"/>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30,2</w:t>
            </w:r>
          </w:p>
        </w:tc>
        <w:tc>
          <w:tcPr>
            <w:tcW w:w="849" w:type="dxa"/>
            <w:tcBorders>
              <w:top w:val="nil"/>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w:t>
            </w:r>
          </w:p>
        </w:tc>
        <w:tc>
          <w:tcPr>
            <w:tcW w:w="849" w:type="dxa"/>
            <w:tcBorders>
              <w:top w:val="nil"/>
              <w:left w:val="nil"/>
              <w:bottom w:val="nil"/>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4,0</w:t>
            </w:r>
          </w:p>
        </w:tc>
        <w:tc>
          <w:tcPr>
            <w:tcW w:w="84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37</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34,2</w:t>
            </w:r>
          </w:p>
        </w:tc>
        <w:tc>
          <w:tcPr>
            <w:tcW w:w="1053"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159</w:t>
            </w:r>
          </w:p>
        </w:tc>
        <w:tc>
          <w:tcPr>
            <w:tcW w:w="1053"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4,6</w:t>
            </w:r>
          </w:p>
        </w:tc>
      </w:tr>
      <w:tr w:rsidR="00AD09B4" w:rsidRPr="00EF2265" w:rsidTr="00351A8A">
        <w:trPr>
          <w:trHeight w:val="315"/>
        </w:trPr>
        <w:tc>
          <w:tcPr>
            <w:tcW w:w="851" w:type="dxa"/>
            <w:tcBorders>
              <w:top w:val="single" w:sz="4" w:space="0" w:color="auto"/>
              <w:left w:val="single" w:sz="8" w:space="0" w:color="auto"/>
              <w:bottom w:val="nil"/>
              <w:right w:val="double" w:sz="6" w:space="0" w:color="auto"/>
            </w:tcBorders>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UVP STU</w:t>
            </w:r>
          </w:p>
        </w:tc>
        <w:tc>
          <w:tcPr>
            <w:tcW w:w="792" w:type="dxa"/>
            <w:tcBorders>
              <w:top w:val="single" w:sz="4" w:space="0" w:color="auto"/>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p>
        </w:tc>
        <w:tc>
          <w:tcPr>
            <w:tcW w:w="792" w:type="dxa"/>
            <w:tcBorders>
              <w:top w:val="single" w:sz="4" w:space="0" w:color="auto"/>
              <w:left w:val="nil"/>
              <w:bottom w:val="nil"/>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p>
        </w:tc>
        <w:tc>
          <w:tcPr>
            <w:tcW w:w="844" w:type="dxa"/>
            <w:tcBorders>
              <w:top w:val="single" w:sz="4" w:space="0" w:color="auto"/>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w:t>
            </w:r>
          </w:p>
        </w:tc>
        <w:tc>
          <w:tcPr>
            <w:tcW w:w="844" w:type="dxa"/>
            <w:tcBorders>
              <w:top w:val="single" w:sz="4" w:space="0" w:color="auto"/>
              <w:left w:val="nil"/>
              <w:bottom w:val="nil"/>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8,6</w:t>
            </w:r>
          </w:p>
        </w:tc>
        <w:tc>
          <w:tcPr>
            <w:tcW w:w="844" w:type="dxa"/>
            <w:tcBorders>
              <w:top w:val="nil"/>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w:t>
            </w:r>
          </w:p>
        </w:tc>
        <w:tc>
          <w:tcPr>
            <w:tcW w:w="845" w:type="dxa"/>
            <w:tcBorders>
              <w:top w:val="nil"/>
              <w:left w:val="nil"/>
              <w:bottom w:val="nil"/>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8,6</w:t>
            </w:r>
          </w:p>
        </w:tc>
        <w:tc>
          <w:tcPr>
            <w:tcW w:w="1067" w:type="dxa"/>
            <w:tcBorders>
              <w:top w:val="nil"/>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1068" w:type="dxa"/>
            <w:tcBorders>
              <w:top w:val="nil"/>
              <w:left w:val="nil"/>
              <w:bottom w:val="single" w:sz="4"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0,0</w:t>
            </w:r>
          </w:p>
        </w:tc>
        <w:tc>
          <w:tcPr>
            <w:tcW w:w="849" w:type="dxa"/>
            <w:tcBorders>
              <w:top w:val="single" w:sz="4" w:space="0" w:color="auto"/>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p>
        </w:tc>
        <w:tc>
          <w:tcPr>
            <w:tcW w:w="849" w:type="dxa"/>
            <w:tcBorders>
              <w:top w:val="single" w:sz="4" w:space="0" w:color="auto"/>
              <w:left w:val="nil"/>
              <w:bottom w:val="nil"/>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p>
        </w:tc>
        <w:tc>
          <w:tcPr>
            <w:tcW w:w="849" w:type="dxa"/>
            <w:tcBorders>
              <w:top w:val="single" w:sz="4" w:space="0" w:color="auto"/>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w:t>
            </w:r>
          </w:p>
        </w:tc>
        <w:tc>
          <w:tcPr>
            <w:tcW w:w="849" w:type="dxa"/>
            <w:tcBorders>
              <w:top w:val="single" w:sz="4" w:space="0" w:color="auto"/>
              <w:left w:val="nil"/>
              <w:bottom w:val="single" w:sz="8"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7,7</w:t>
            </w:r>
          </w:p>
        </w:tc>
        <w:tc>
          <w:tcPr>
            <w:tcW w:w="849"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9</w:t>
            </w:r>
          </w:p>
        </w:tc>
        <w:tc>
          <w:tcPr>
            <w:tcW w:w="849" w:type="dxa"/>
            <w:tcBorders>
              <w:top w:val="nil"/>
              <w:left w:val="nil"/>
              <w:bottom w:val="single" w:sz="4" w:space="0" w:color="auto"/>
              <w:right w:val="single" w:sz="8"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7,7</w:t>
            </w:r>
          </w:p>
        </w:tc>
        <w:tc>
          <w:tcPr>
            <w:tcW w:w="1053" w:type="dxa"/>
            <w:tcBorders>
              <w:top w:val="nil"/>
              <w:left w:val="nil"/>
              <w:bottom w:val="nil"/>
              <w:right w:val="single" w:sz="4" w:space="0" w:color="auto"/>
            </w:tcBorders>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1053" w:type="dxa"/>
            <w:tcBorders>
              <w:top w:val="nil"/>
              <w:left w:val="nil"/>
              <w:bottom w:val="nil"/>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0,0</w:t>
            </w:r>
          </w:p>
        </w:tc>
      </w:tr>
      <w:tr w:rsidR="00AD09B4" w:rsidRPr="00EF2265" w:rsidTr="00351A8A">
        <w:trPr>
          <w:trHeight w:val="315"/>
        </w:trPr>
        <w:tc>
          <w:tcPr>
            <w:tcW w:w="851" w:type="dxa"/>
            <w:tcBorders>
              <w:top w:val="single" w:sz="8" w:space="0" w:color="auto"/>
              <w:left w:val="single" w:sz="8" w:space="0" w:color="auto"/>
              <w:bottom w:val="single" w:sz="8" w:space="0" w:color="auto"/>
              <w:right w:val="double" w:sz="6"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792" w:type="dxa"/>
            <w:tcBorders>
              <w:top w:val="single" w:sz="8" w:space="0" w:color="auto"/>
              <w:left w:val="nil"/>
              <w:bottom w:val="single" w:sz="8" w:space="0" w:color="auto"/>
              <w:right w:val="nil"/>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1 043</w:t>
            </w:r>
          </w:p>
        </w:tc>
        <w:tc>
          <w:tcPr>
            <w:tcW w:w="792" w:type="dxa"/>
            <w:tcBorders>
              <w:top w:val="single" w:sz="8" w:space="0" w:color="auto"/>
              <w:left w:val="single" w:sz="4" w:space="0" w:color="auto"/>
              <w:bottom w:val="single" w:sz="8" w:space="0" w:color="auto"/>
              <w:right w:val="single" w:sz="8" w:space="0" w:color="auto"/>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976,3</w:t>
            </w:r>
          </w:p>
        </w:tc>
        <w:tc>
          <w:tcPr>
            <w:tcW w:w="844" w:type="dxa"/>
            <w:tcBorders>
              <w:top w:val="single" w:sz="8" w:space="0" w:color="auto"/>
              <w:left w:val="nil"/>
              <w:bottom w:val="single" w:sz="8" w:space="0" w:color="auto"/>
              <w:right w:val="nil"/>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387</w:t>
            </w:r>
          </w:p>
        </w:tc>
        <w:tc>
          <w:tcPr>
            <w:tcW w:w="844" w:type="dxa"/>
            <w:tcBorders>
              <w:top w:val="single" w:sz="8" w:space="0" w:color="auto"/>
              <w:left w:val="single" w:sz="4" w:space="0" w:color="auto"/>
              <w:bottom w:val="single" w:sz="8" w:space="0" w:color="auto"/>
              <w:right w:val="single" w:sz="8" w:space="0" w:color="auto"/>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315,6</w:t>
            </w:r>
          </w:p>
        </w:tc>
        <w:tc>
          <w:tcPr>
            <w:tcW w:w="844" w:type="dxa"/>
            <w:tcBorders>
              <w:top w:val="single" w:sz="8" w:space="0" w:color="auto"/>
              <w:left w:val="nil"/>
              <w:bottom w:val="single" w:sz="8" w:space="0" w:color="auto"/>
              <w:right w:val="nil"/>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1 430</w:t>
            </w:r>
          </w:p>
        </w:tc>
        <w:tc>
          <w:tcPr>
            <w:tcW w:w="845" w:type="dxa"/>
            <w:tcBorders>
              <w:top w:val="single" w:sz="8" w:space="0" w:color="auto"/>
              <w:left w:val="single" w:sz="4" w:space="0" w:color="auto"/>
              <w:bottom w:val="single" w:sz="8" w:space="0" w:color="auto"/>
              <w:right w:val="single" w:sz="8" w:space="0" w:color="auto"/>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1 291,9</w:t>
            </w:r>
          </w:p>
        </w:tc>
        <w:tc>
          <w:tcPr>
            <w:tcW w:w="1067" w:type="dxa"/>
            <w:tcBorders>
              <w:top w:val="single" w:sz="8" w:space="0" w:color="auto"/>
              <w:left w:val="nil"/>
              <w:bottom w:val="single" w:sz="8" w:space="0" w:color="auto"/>
              <w:right w:val="nil"/>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11 748</w:t>
            </w:r>
          </w:p>
        </w:tc>
        <w:tc>
          <w:tcPr>
            <w:tcW w:w="1068" w:type="dxa"/>
            <w:tcBorders>
              <w:top w:val="single" w:sz="8" w:space="0" w:color="auto"/>
              <w:left w:val="single" w:sz="4" w:space="0" w:color="auto"/>
              <w:bottom w:val="single" w:sz="8"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9,1</w:t>
            </w:r>
          </w:p>
        </w:tc>
        <w:tc>
          <w:tcPr>
            <w:tcW w:w="849" w:type="dxa"/>
            <w:tcBorders>
              <w:top w:val="single" w:sz="8" w:space="0" w:color="auto"/>
              <w:left w:val="nil"/>
              <w:bottom w:val="single" w:sz="8" w:space="0" w:color="auto"/>
              <w:right w:val="nil"/>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1 027</w:t>
            </w:r>
          </w:p>
        </w:tc>
        <w:tc>
          <w:tcPr>
            <w:tcW w:w="849" w:type="dxa"/>
            <w:tcBorders>
              <w:top w:val="single" w:sz="8" w:space="0" w:color="auto"/>
              <w:left w:val="single" w:sz="4" w:space="0" w:color="auto"/>
              <w:bottom w:val="single" w:sz="8" w:space="0" w:color="auto"/>
              <w:right w:val="single" w:sz="8" w:space="0" w:color="auto"/>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966,7</w:t>
            </w:r>
          </w:p>
        </w:tc>
        <w:tc>
          <w:tcPr>
            <w:tcW w:w="849" w:type="dxa"/>
            <w:tcBorders>
              <w:top w:val="single" w:sz="8" w:space="0" w:color="auto"/>
              <w:left w:val="nil"/>
              <w:bottom w:val="single" w:sz="8" w:space="0" w:color="auto"/>
              <w:right w:val="nil"/>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411</w:t>
            </w:r>
          </w:p>
        </w:tc>
        <w:tc>
          <w:tcPr>
            <w:tcW w:w="849" w:type="dxa"/>
            <w:tcBorders>
              <w:top w:val="nil"/>
              <w:left w:val="single" w:sz="4" w:space="0" w:color="auto"/>
              <w:bottom w:val="single" w:sz="8" w:space="0" w:color="auto"/>
              <w:right w:val="single" w:sz="8" w:space="0" w:color="auto"/>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323,9</w:t>
            </w:r>
          </w:p>
        </w:tc>
        <w:tc>
          <w:tcPr>
            <w:tcW w:w="849" w:type="dxa"/>
            <w:tcBorders>
              <w:top w:val="single" w:sz="8" w:space="0" w:color="auto"/>
              <w:left w:val="nil"/>
              <w:bottom w:val="single" w:sz="8" w:space="0" w:color="auto"/>
              <w:right w:val="nil"/>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1 438</w:t>
            </w:r>
          </w:p>
        </w:tc>
        <w:tc>
          <w:tcPr>
            <w:tcW w:w="849" w:type="dxa"/>
            <w:tcBorders>
              <w:top w:val="single" w:sz="8" w:space="0" w:color="auto"/>
              <w:left w:val="single" w:sz="4" w:space="0" w:color="auto"/>
              <w:bottom w:val="single" w:sz="8" w:space="0" w:color="auto"/>
              <w:right w:val="single" w:sz="8" w:space="0" w:color="auto"/>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1 290,6</w:t>
            </w:r>
          </w:p>
        </w:tc>
        <w:tc>
          <w:tcPr>
            <w:tcW w:w="1053" w:type="dxa"/>
            <w:tcBorders>
              <w:top w:val="single" w:sz="8" w:space="0" w:color="auto"/>
              <w:left w:val="nil"/>
              <w:bottom w:val="single" w:sz="8" w:space="0" w:color="auto"/>
              <w:right w:val="nil"/>
            </w:tcBorders>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11 130</w:t>
            </w:r>
          </w:p>
        </w:tc>
        <w:tc>
          <w:tcPr>
            <w:tcW w:w="1053" w:type="dxa"/>
            <w:tcBorders>
              <w:top w:val="single" w:sz="8" w:space="0" w:color="auto"/>
              <w:left w:val="single" w:sz="4" w:space="0" w:color="auto"/>
              <w:bottom w:val="single" w:sz="8" w:space="0" w:color="auto"/>
              <w:right w:val="double" w:sz="6"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8,6</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Vysvetlivky:</w:t>
      </w:r>
      <w:r w:rsidRPr="00EF2265">
        <w:rPr>
          <w:rFonts w:ascii="Times New Roman" w:hAnsi="Times New Roman"/>
          <w:sz w:val="20"/>
          <w:szCs w:val="20"/>
        </w:rPr>
        <w:tab/>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Zdroj: Počty študentov - AIS k 31. 10. príslušného akademického roka; Počty zamestnancov - IS MAGION k 31. 10. príslušného akademického roka</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prepočítaný počet - počet zamestnancov v evidenčnom stave prepočítaný na plný úväzok (ustanovený týždenný pracovný čas) zaokrúhlený na 1 desatinné miesto</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VŠ učitelia – podľa § 75 ods. 1 zákona (profesor, hosťujúci profesor, docent, odborný asistent, asistent a lektor)</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VUP – podľa § 80 zákona (zahŕňa len výskumných pracovníkov a umeleckých pracovníkov s vysokoškolským vzdelaním I., II. alebo III. stupňa)</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UVP STU - zahŕňa všetkých zamestnancov zaradených na pracoviskách Univerzitného vedeckého parku STU</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sectPr w:rsidR="00AD09B4" w:rsidRPr="00EF2265" w:rsidSect="00351A8A">
          <w:headerReference w:type="default" r:id="rId19"/>
          <w:pgSz w:w="16838" w:h="11906" w:orient="landscape"/>
          <w:pgMar w:top="1560" w:right="1560" w:bottom="991" w:left="851" w:header="705" w:footer="545" w:gutter="0"/>
          <w:cols w:space="708"/>
          <w:docGrid w:linePitch="326"/>
        </w:sect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lastRenderedPageBreak/>
        <w:t xml:space="preserve">Porovnanie celkového počtu študentov na vybraných vysokých školách v Slovenskej republike znázorňuje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_Ref474779611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bCs/>
          <w:sz w:val="20"/>
          <w:szCs w:val="20"/>
        </w:rPr>
        <w:t xml:space="preserve">Graf č. </w:t>
      </w:r>
      <w:r w:rsidR="001C349F">
        <w:rPr>
          <w:rFonts w:ascii="Times New Roman" w:hAnsi="Times New Roman"/>
          <w:sz w:val="20"/>
          <w:szCs w:val="20"/>
        </w:rPr>
        <w:t>2</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bCs/>
          <w:sz w:val="20"/>
          <w:szCs w:val="20"/>
        </w:rPr>
      </w:pPr>
      <w:bookmarkStart w:id="19" w:name="_Ref474779611"/>
      <w:bookmarkStart w:id="20" w:name="_Toc534724789"/>
      <w:r w:rsidRPr="00EF2265">
        <w:rPr>
          <w:rFonts w:ascii="Times New Roman" w:hAnsi="Times New Roman"/>
          <w:bCs/>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w:t>
      </w:r>
      <w:r w:rsidRPr="00EF2265">
        <w:rPr>
          <w:rFonts w:ascii="Times New Roman" w:hAnsi="Times New Roman"/>
          <w:sz w:val="20"/>
          <w:szCs w:val="20"/>
        </w:rPr>
        <w:fldChar w:fldCharType="end"/>
      </w:r>
      <w:bookmarkEnd w:id="19"/>
      <w:r w:rsidRPr="00EF2265">
        <w:rPr>
          <w:rFonts w:ascii="Times New Roman" w:hAnsi="Times New Roman"/>
          <w:bCs/>
          <w:sz w:val="20"/>
          <w:szCs w:val="20"/>
        </w:rPr>
        <w:t>: Porovnanie celkového počtu študentov na vybraných vysokých školách v SR</w:t>
      </w:r>
      <w:bookmarkEnd w:id="20"/>
      <w:r w:rsidRPr="00EF2265">
        <w:rPr>
          <w:rFonts w:ascii="Times New Roman" w:hAnsi="Times New Roman"/>
          <w:bCs/>
          <w:sz w:val="20"/>
          <w:szCs w:val="20"/>
        </w:rPr>
        <w:t xml:space="preserve"> </w:t>
      </w:r>
    </w:p>
    <w:p w:rsidR="00AD09B4" w:rsidRPr="00EF2265" w:rsidRDefault="00AD09B4" w:rsidP="00E86605">
      <w:pPr>
        <w:tabs>
          <w:tab w:val="left" w:pos="9356"/>
        </w:tabs>
        <w:jc w:val="left"/>
        <w:rPr>
          <w:rFonts w:ascii="Times New Roman" w:hAnsi="Times New Roman"/>
          <w:bCs/>
          <w:sz w:val="20"/>
          <w:szCs w:val="20"/>
        </w:rPr>
      </w:pPr>
      <w:r w:rsidRPr="00EF2265">
        <w:rPr>
          <w:rFonts w:ascii="Times New Roman" w:hAnsi="Times New Roman"/>
          <w:noProof/>
          <w:sz w:val="20"/>
          <w:szCs w:val="20"/>
          <w:lang w:eastAsia="sk-SK"/>
        </w:rPr>
        <w:drawing>
          <wp:inline distT="0" distB="0" distL="0" distR="0" wp14:anchorId="2538A36F" wp14:editId="08E291D3">
            <wp:extent cx="6003985" cy="2854960"/>
            <wp:effectExtent l="0" t="0" r="0" b="254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Vysvetlivky:</w:t>
      </w:r>
      <w:r w:rsidRPr="00EF2265">
        <w:rPr>
          <w:rFonts w:ascii="Times New Roman" w:hAnsi="Times New Roman"/>
          <w:sz w:val="20"/>
          <w:szCs w:val="20"/>
        </w:rPr>
        <w:tab/>
      </w:r>
    </w:p>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 xml:space="preserve">Zdroj: Štatistické ročenky CVTI SR, </w:t>
      </w:r>
      <w:hyperlink r:id="rId21" w:history="1">
        <w:r w:rsidRPr="00EF2265">
          <w:rPr>
            <w:rStyle w:val="Hypertextovprepojenie"/>
            <w:rFonts w:ascii="Times New Roman" w:hAnsi="Times New Roman"/>
            <w:color w:val="auto"/>
            <w:sz w:val="20"/>
            <w:szCs w:val="20"/>
          </w:rPr>
          <w:t>www.cvtisr.sk</w:t>
        </w:r>
      </w:hyperlink>
      <w:r w:rsidRPr="00EF2265">
        <w:rPr>
          <w:rFonts w:ascii="Times New Roman" w:hAnsi="Times New Roman"/>
          <w:sz w:val="20"/>
          <w:szCs w:val="20"/>
        </w:rPr>
        <w:t xml:space="preserve">  </w:t>
      </w:r>
    </w:p>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UK</w:t>
      </w:r>
      <w:r w:rsidRPr="00EF2265">
        <w:rPr>
          <w:rFonts w:ascii="Times New Roman" w:hAnsi="Times New Roman"/>
          <w:sz w:val="20"/>
          <w:szCs w:val="20"/>
        </w:rPr>
        <w:tab/>
        <w:t xml:space="preserve">Univerzita Komenského v Bratislave </w:t>
      </w:r>
    </w:p>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STU</w:t>
      </w:r>
      <w:r w:rsidRPr="00EF2265">
        <w:rPr>
          <w:rFonts w:ascii="Times New Roman" w:hAnsi="Times New Roman"/>
          <w:sz w:val="20"/>
          <w:szCs w:val="20"/>
        </w:rPr>
        <w:tab/>
        <w:t>Slovenská technická univerzita v Bratislave</w:t>
      </w:r>
    </w:p>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TU KE</w:t>
      </w:r>
      <w:r w:rsidRPr="00EF2265">
        <w:rPr>
          <w:rFonts w:ascii="Times New Roman" w:hAnsi="Times New Roman"/>
          <w:sz w:val="20"/>
          <w:szCs w:val="20"/>
        </w:rPr>
        <w:tab/>
        <w:t>Technická univerzita v Košiciach</w:t>
      </w:r>
    </w:p>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 xml:space="preserve">ŽU </w:t>
      </w:r>
      <w:r w:rsidRPr="00EF2265">
        <w:rPr>
          <w:rFonts w:ascii="Times New Roman" w:hAnsi="Times New Roman"/>
          <w:sz w:val="20"/>
          <w:szCs w:val="20"/>
        </w:rPr>
        <w:tab/>
        <w:t>Žilinská univerzita v Žiline</w:t>
      </w:r>
    </w:p>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SPU</w:t>
      </w:r>
      <w:r w:rsidRPr="00EF2265">
        <w:rPr>
          <w:rFonts w:ascii="Times New Roman" w:hAnsi="Times New Roman"/>
          <w:sz w:val="20"/>
          <w:szCs w:val="20"/>
        </w:rPr>
        <w:tab/>
        <w:t>Slovenská poľnohospodárska univerzita v Nitre</w:t>
      </w:r>
    </w:p>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TU ZV</w:t>
      </w:r>
      <w:r w:rsidRPr="00EF2265">
        <w:rPr>
          <w:rFonts w:ascii="Times New Roman" w:hAnsi="Times New Roman"/>
          <w:sz w:val="20"/>
          <w:szCs w:val="20"/>
        </w:rPr>
        <w:tab/>
        <w:t xml:space="preserve">Technická univerzita vo Zvolene </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Vývoj celkového počtu študentov STU a počtov študentov v dennej a externej forme štúdia v jednotlivých stupňoch vysokoškolského vzdelávania uvádza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_Ref474776703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7</w:t>
      </w:r>
      <w:r w:rsidRPr="00EF2265">
        <w:rPr>
          <w:rFonts w:ascii="Times New Roman" w:hAnsi="Times New Roman"/>
          <w:sz w:val="20"/>
          <w:szCs w:val="20"/>
        </w:rPr>
        <w:fldChar w:fldCharType="end"/>
      </w:r>
      <w:r w:rsidRPr="00EF2265">
        <w:rPr>
          <w:rFonts w:ascii="Times New Roman" w:hAnsi="Times New Roman"/>
          <w:sz w:val="20"/>
          <w:szCs w:val="20"/>
        </w:rPr>
        <w:t xml:space="preserve">,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_Ref474776741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8</w:t>
      </w:r>
      <w:r w:rsidRPr="00EF2265">
        <w:rPr>
          <w:rFonts w:ascii="Times New Roman" w:hAnsi="Times New Roman"/>
          <w:sz w:val="20"/>
          <w:szCs w:val="20"/>
        </w:rPr>
        <w:fldChar w:fldCharType="end"/>
      </w:r>
      <w:r w:rsidRPr="00EF2265">
        <w:rPr>
          <w:rFonts w:ascii="Times New Roman" w:hAnsi="Times New Roman"/>
          <w:sz w:val="20"/>
          <w:szCs w:val="20"/>
        </w:rPr>
        <w:t>,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_Ref474776756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9</w:t>
      </w:r>
      <w:r w:rsidRPr="00EF2265">
        <w:rPr>
          <w:rFonts w:ascii="Times New Roman" w:hAnsi="Times New Roman"/>
          <w:sz w:val="20"/>
          <w:szCs w:val="20"/>
        </w:rPr>
        <w:fldChar w:fldCharType="end"/>
      </w:r>
      <w:r w:rsidRPr="00EF2265">
        <w:rPr>
          <w:rFonts w:ascii="Times New Roman" w:hAnsi="Times New Roman"/>
          <w:sz w:val="20"/>
          <w:szCs w:val="20"/>
        </w:rPr>
        <w:t xml:space="preserve"> a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_Ref474779664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bCs/>
          <w:sz w:val="20"/>
          <w:szCs w:val="20"/>
        </w:rPr>
        <w:t xml:space="preserve">Graf č. </w:t>
      </w:r>
      <w:r w:rsidR="001C349F">
        <w:rPr>
          <w:rFonts w:ascii="Times New Roman" w:hAnsi="Times New Roman"/>
          <w:noProof/>
          <w:sz w:val="20"/>
          <w:szCs w:val="20"/>
        </w:rPr>
        <w:t>3</w:t>
      </w:r>
      <w:r w:rsidRPr="00EF2265">
        <w:rPr>
          <w:rFonts w:ascii="Times New Roman" w:hAnsi="Times New Roman"/>
          <w:sz w:val="20"/>
          <w:szCs w:val="20"/>
        </w:rPr>
        <w:fldChar w:fldCharType="end"/>
      </w:r>
      <w:r w:rsidRPr="00EF2265">
        <w:rPr>
          <w:rFonts w:ascii="Times New Roman" w:hAnsi="Times New Roman"/>
          <w:sz w:val="20"/>
          <w:szCs w:val="20"/>
        </w:rPr>
        <w:t xml:space="preserve">,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_Ref474779684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Graf č. </w:t>
      </w:r>
      <w:r w:rsidR="001C349F">
        <w:rPr>
          <w:rFonts w:ascii="Times New Roman" w:hAnsi="Times New Roman"/>
          <w:sz w:val="20"/>
          <w:szCs w:val="20"/>
        </w:rPr>
        <w:t>4</w:t>
      </w:r>
      <w:r w:rsidRPr="00EF2265">
        <w:rPr>
          <w:rFonts w:ascii="Times New Roman" w:hAnsi="Times New Roman"/>
          <w:sz w:val="20"/>
          <w:szCs w:val="20"/>
        </w:rPr>
        <w:fldChar w:fldCharType="end"/>
      </w:r>
      <w:r w:rsidRPr="00EF2265">
        <w:rPr>
          <w:rFonts w:ascii="Times New Roman" w:hAnsi="Times New Roman"/>
          <w:sz w:val="20"/>
          <w:szCs w:val="20"/>
        </w:rPr>
        <w:t xml:space="preserve"> 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_Ref474779701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Graf č. </w:t>
      </w:r>
      <w:r w:rsidR="001C349F">
        <w:rPr>
          <w:rFonts w:ascii="Times New Roman" w:hAnsi="Times New Roman"/>
          <w:sz w:val="20"/>
          <w:szCs w:val="20"/>
        </w:rPr>
        <w:t>5</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bCs/>
          <w:sz w:val="20"/>
          <w:szCs w:val="20"/>
        </w:rPr>
      </w:pPr>
      <w:bookmarkStart w:id="21" w:name="_Ref474776703"/>
      <w:bookmarkStart w:id="22" w:name="_Toc534793946"/>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7</w:t>
      </w:r>
      <w:r w:rsidRPr="00EF2265">
        <w:rPr>
          <w:rFonts w:ascii="Times New Roman" w:hAnsi="Times New Roman"/>
          <w:sz w:val="20"/>
          <w:szCs w:val="20"/>
        </w:rPr>
        <w:fldChar w:fldCharType="end"/>
      </w:r>
      <w:bookmarkEnd w:id="21"/>
      <w:r w:rsidRPr="00EF2265">
        <w:rPr>
          <w:rFonts w:ascii="Times New Roman" w:hAnsi="Times New Roman"/>
          <w:sz w:val="20"/>
          <w:szCs w:val="20"/>
        </w:rPr>
        <w:t xml:space="preserve">: </w:t>
      </w:r>
      <w:r w:rsidRPr="00EF2265">
        <w:rPr>
          <w:rFonts w:ascii="Times New Roman" w:hAnsi="Times New Roman"/>
          <w:bCs/>
          <w:sz w:val="20"/>
          <w:szCs w:val="20"/>
        </w:rPr>
        <w:t xml:space="preserve">Porovnanie </w:t>
      </w:r>
      <w:r w:rsidRPr="00EF2265">
        <w:rPr>
          <w:rFonts w:ascii="Times New Roman" w:hAnsi="Times New Roman"/>
          <w:b/>
          <w:bCs/>
          <w:sz w:val="20"/>
          <w:szCs w:val="20"/>
        </w:rPr>
        <w:t>celkového počtu študentov STU</w:t>
      </w:r>
      <w:r w:rsidRPr="00EF2265">
        <w:rPr>
          <w:rFonts w:ascii="Times New Roman" w:hAnsi="Times New Roman"/>
          <w:bCs/>
          <w:sz w:val="20"/>
          <w:szCs w:val="20"/>
        </w:rPr>
        <w:t xml:space="preserve"> na jednotlivých stupňoch štúdia</w:t>
      </w:r>
      <w:bookmarkEnd w:id="22"/>
    </w:p>
    <w:tbl>
      <w:tblPr>
        <w:tblW w:w="9528" w:type="dxa"/>
        <w:tblInd w:w="55" w:type="dxa"/>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AD09B4" w:rsidRPr="00EF2265" w:rsidTr="00351A8A">
        <w:trPr>
          <w:trHeight w:val="315"/>
        </w:trPr>
        <w:tc>
          <w:tcPr>
            <w:tcW w:w="1191"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Stupeň</w:t>
            </w:r>
          </w:p>
        </w:tc>
        <w:tc>
          <w:tcPr>
            <w:tcW w:w="1191" w:type="dxa"/>
            <w:tcBorders>
              <w:top w:val="single" w:sz="4" w:space="0" w:color="auto"/>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2011/2012</w:t>
            </w:r>
          </w:p>
        </w:tc>
        <w:tc>
          <w:tcPr>
            <w:tcW w:w="1191" w:type="dxa"/>
            <w:tcBorders>
              <w:top w:val="single" w:sz="4" w:space="0" w:color="auto"/>
              <w:left w:val="single" w:sz="4" w:space="0" w:color="auto"/>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2012/2013</w:t>
            </w:r>
          </w:p>
        </w:tc>
        <w:tc>
          <w:tcPr>
            <w:tcW w:w="1191" w:type="dxa"/>
            <w:tcBorders>
              <w:top w:val="single" w:sz="4" w:space="0" w:color="auto"/>
              <w:left w:val="single" w:sz="4" w:space="0" w:color="auto"/>
              <w:bottom w:val="single" w:sz="4" w:space="0" w:color="auto"/>
              <w:right w:val="single" w:sz="4" w:space="0" w:color="auto"/>
            </w:tcBorders>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2013/2014</w:t>
            </w:r>
          </w:p>
        </w:tc>
        <w:tc>
          <w:tcPr>
            <w:tcW w:w="1191" w:type="dxa"/>
            <w:tcBorders>
              <w:top w:val="single" w:sz="4" w:space="0" w:color="auto"/>
              <w:left w:val="nil"/>
              <w:bottom w:val="single" w:sz="4" w:space="0" w:color="auto"/>
              <w:right w:val="single" w:sz="4" w:space="0" w:color="auto"/>
            </w:tcBorders>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2014/2015</w:t>
            </w:r>
          </w:p>
        </w:tc>
        <w:tc>
          <w:tcPr>
            <w:tcW w:w="1191" w:type="dxa"/>
            <w:tcBorders>
              <w:top w:val="single" w:sz="4" w:space="0" w:color="auto"/>
              <w:left w:val="nil"/>
              <w:bottom w:val="single" w:sz="4" w:space="0" w:color="auto"/>
              <w:right w:val="single" w:sz="4" w:space="0" w:color="auto"/>
            </w:tcBorders>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2015/2016</w:t>
            </w:r>
          </w:p>
        </w:tc>
        <w:tc>
          <w:tcPr>
            <w:tcW w:w="1191" w:type="dxa"/>
            <w:tcBorders>
              <w:top w:val="single" w:sz="4" w:space="0" w:color="auto"/>
              <w:left w:val="nil"/>
              <w:bottom w:val="single" w:sz="4" w:space="0" w:color="auto"/>
              <w:right w:val="single" w:sz="4" w:space="0" w:color="auto"/>
            </w:tcBorders>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2016/2017</w:t>
            </w:r>
          </w:p>
        </w:tc>
        <w:tc>
          <w:tcPr>
            <w:tcW w:w="1191" w:type="dxa"/>
            <w:tcBorders>
              <w:top w:val="single" w:sz="4" w:space="0" w:color="auto"/>
              <w:left w:val="nil"/>
              <w:bottom w:val="single" w:sz="4" w:space="0" w:color="auto"/>
              <w:right w:val="single" w:sz="4" w:space="0" w:color="auto"/>
            </w:tcBorders>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2017/2018</w:t>
            </w:r>
          </w:p>
        </w:tc>
      </w:tr>
      <w:tr w:rsidR="00AD09B4" w:rsidRPr="00EF2265" w:rsidTr="00351A8A">
        <w:trPr>
          <w:trHeight w:val="315"/>
        </w:trPr>
        <w:tc>
          <w:tcPr>
            <w:tcW w:w="1191"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stupeň</w:t>
            </w:r>
          </w:p>
        </w:tc>
        <w:tc>
          <w:tcPr>
            <w:tcW w:w="1191" w:type="dxa"/>
            <w:tcBorders>
              <w:top w:val="single" w:sz="4" w:space="0" w:color="auto"/>
              <w:left w:val="nil"/>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10 825</w:t>
            </w:r>
          </w:p>
        </w:tc>
        <w:tc>
          <w:tcPr>
            <w:tcW w:w="1191"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10 883</w:t>
            </w:r>
          </w:p>
        </w:tc>
        <w:tc>
          <w:tcPr>
            <w:tcW w:w="1191"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10 619</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9 936</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8 977</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8 020</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7 136</w:t>
            </w:r>
          </w:p>
        </w:tc>
      </w:tr>
      <w:tr w:rsidR="00AD09B4" w:rsidRPr="00EF2265" w:rsidTr="00351A8A">
        <w:trPr>
          <w:trHeight w:val="315"/>
        </w:trPr>
        <w:tc>
          <w:tcPr>
            <w:tcW w:w="1191"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stupeň</w:t>
            </w:r>
          </w:p>
        </w:tc>
        <w:tc>
          <w:tcPr>
            <w:tcW w:w="1191" w:type="dxa"/>
            <w:tcBorders>
              <w:top w:val="single" w:sz="4" w:space="0" w:color="auto"/>
              <w:left w:val="nil"/>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5 220</w:t>
            </w:r>
          </w:p>
        </w:tc>
        <w:tc>
          <w:tcPr>
            <w:tcW w:w="1191"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4 640</w:t>
            </w:r>
          </w:p>
        </w:tc>
        <w:tc>
          <w:tcPr>
            <w:tcW w:w="1191"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4 419</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4 239</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4 289</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4 205</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3 815</w:t>
            </w:r>
          </w:p>
        </w:tc>
      </w:tr>
      <w:tr w:rsidR="00AD09B4" w:rsidRPr="00EF2265" w:rsidTr="00351A8A">
        <w:trPr>
          <w:trHeight w:val="315"/>
        </w:trPr>
        <w:tc>
          <w:tcPr>
            <w:tcW w:w="1191"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 stupeň</w:t>
            </w:r>
          </w:p>
        </w:tc>
        <w:tc>
          <w:tcPr>
            <w:tcW w:w="1191" w:type="dxa"/>
            <w:tcBorders>
              <w:top w:val="single" w:sz="4" w:space="0" w:color="auto"/>
              <w:left w:val="nil"/>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1 691</w:t>
            </w:r>
          </w:p>
        </w:tc>
        <w:tc>
          <w:tcPr>
            <w:tcW w:w="1191"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1 536</w:t>
            </w:r>
          </w:p>
        </w:tc>
        <w:tc>
          <w:tcPr>
            <w:tcW w:w="1191" w:type="dxa"/>
            <w:tcBorders>
              <w:top w:val="single" w:sz="4" w:space="0" w:color="auto"/>
              <w:left w:val="single" w:sz="4" w:space="0" w:color="auto"/>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1 364</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1 228</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1 020</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883</w:t>
            </w:r>
          </w:p>
        </w:tc>
        <w:tc>
          <w:tcPr>
            <w:tcW w:w="1191" w:type="dxa"/>
            <w:tcBorders>
              <w:top w:val="nil"/>
              <w:left w:val="nil"/>
              <w:bottom w:val="single" w:sz="4" w:space="0" w:color="auto"/>
              <w:right w:val="single" w:sz="4" w:space="0" w:color="auto"/>
            </w:tcBorders>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797</w:t>
            </w:r>
          </w:p>
        </w:tc>
      </w:tr>
      <w:tr w:rsidR="00AD09B4" w:rsidRPr="00EF2265" w:rsidTr="00351A8A">
        <w:trPr>
          <w:trHeight w:val="315"/>
        </w:trPr>
        <w:tc>
          <w:tcPr>
            <w:tcW w:w="1191"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Spolu</w:t>
            </w:r>
          </w:p>
        </w:tc>
        <w:tc>
          <w:tcPr>
            <w:tcW w:w="1191" w:type="dxa"/>
            <w:tcBorders>
              <w:top w:val="single" w:sz="4" w:space="0" w:color="auto"/>
              <w:left w:val="nil"/>
              <w:bottom w:val="single" w:sz="4" w:space="0" w:color="auto"/>
              <w:right w:val="single" w:sz="4" w:space="0" w:color="auto"/>
            </w:tcBorders>
            <w:shd w:val="clear" w:color="auto" w:fill="EEECE1" w:themeFill="background2"/>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17 736</w:t>
            </w:r>
          </w:p>
        </w:tc>
        <w:tc>
          <w:tcPr>
            <w:tcW w:w="119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17 059</w:t>
            </w:r>
          </w:p>
        </w:tc>
        <w:tc>
          <w:tcPr>
            <w:tcW w:w="1191"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16 402</w:t>
            </w:r>
          </w:p>
        </w:tc>
        <w:tc>
          <w:tcPr>
            <w:tcW w:w="119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15 403</w:t>
            </w:r>
          </w:p>
        </w:tc>
        <w:tc>
          <w:tcPr>
            <w:tcW w:w="119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14 286</w:t>
            </w:r>
          </w:p>
        </w:tc>
        <w:tc>
          <w:tcPr>
            <w:tcW w:w="119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13 108</w:t>
            </w:r>
          </w:p>
        </w:tc>
        <w:tc>
          <w:tcPr>
            <w:tcW w:w="119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11 748</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br w:type="page"/>
      </w:r>
    </w:p>
    <w:p w:rsidR="00AD09B4" w:rsidRPr="00EF2265" w:rsidRDefault="00AD09B4" w:rsidP="00E86605">
      <w:pPr>
        <w:tabs>
          <w:tab w:val="left" w:pos="9356"/>
        </w:tabs>
        <w:jc w:val="left"/>
        <w:rPr>
          <w:rFonts w:ascii="Times New Roman" w:hAnsi="Times New Roman"/>
          <w:bCs/>
          <w:sz w:val="20"/>
          <w:szCs w:val="20"/>
        </w:rPr>
      </w:pPr>
      <w:bookmarkStart w:id="23" w:name="_Ref474779664"/>
      <w:bookmarkStart w:id="24" w:name="_Toc534724790"/>
      <w:r w:rsidRPr="00EF2265">
        <w:rPr>
          <w:rFonts w:ascii="Times New Roman" w:hAnsi="Times New Roman"/>
          <w:bCs/>
          <w:sz w:val="20"/>
          <w:szCs w:val="20"/>
        </w:rPr>
        <w:lastRenderedPageBreak/>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w:t>
      </w:r>
      <w:r w:rsidRPr="00EF2265">
        <w:rPr>
          <w:rFonts w:ascii="Times New Roman" w:hAnsi="Times New Roman"/>
          <w:sz w:val="20"/>
          <w:szCs w:val="20"/>
        </w:rPr>
        <w:fldChar w:fldCharType="end"/>
      </w:r>
      <w:bookmarkEnd w:id="23"/>
      <w:r w:rsidRPr="00EF2265">
        <w:rPr>
          <w:rFonts w:ascii="Times New Roman" w:hAnsi="Times New Roman"/>
          <w:bCs/>
          <w:sz w:val="20"/>
          <w:szCs w:val="20"/>
        </w:rPr>
        <w:t>: Vývoj celkového počtu študentov STU na jednotlivých stupňoch štúdia</w:t>
      </w:r>
      <w:bookmarkEnd w:id="24"/>
    </w:p>
    <w:p w:rsidR="00AD09B4" w:rsidRPr="00EF2265" w:rsidRDefault="00AD09B4" w:rsidP="00E86605">
      <w:pPr>
        <w:tabs>
          <w:tab w:val="left" w:pos="9356"/>
        </w:tabs>
        <w:jc w:val="left"/>
        <w:rPr>
          <w:rFonts w:ascii="Times New Roman" w:hAnsi="Times New Roman"/>
          <w:bCs/>
          <w:sz w:val="20"/>
          <w:szCs w:val="20"/>
        </w:rPr>
      </w:pPr>
      <w:r w:rsidRPr="00EF2265">
        <w:rPr>
          <w:rFonts w:ascii="Times New Roman" w:hAnsi="Times New Roman"/>
          <w:noProof/>
          <w:sz w:val="20"/>
          <w:szCs w:val="20"/>
          <w:lang w:eastAsia="sk-SK"/>
        </w:rPr>
        <w:drawing>
          <wp:inline distT="0" distB="0" distL="0" distR="0" wp14:anchorId="7700FD7A" wp14:editId="7C092980">
            <wp:extent cx="5201728" cy="3157268"/>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25" w:name="_Ref474776741"/>
      <w:bookmarkStart w:id="26" w:name="_Toc534793947"/>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8</w:t>
      </w:r>
      <w:r w:rsidRPr="00EF2265">
        <w:rPr>
          <w:rFonts w:ascii="Times New Roman" w:hAnsi="Times New Roman"/>
          <w:sz w:val="20"/>
          <w:szCs w:val="20"/>
        </w:rPr>
        <w:fldChar w:fldCharType="end"/>
      </w:r>
      <w:bookmarkEnd w:id="25"/>
      <w:r w:rsidRPr="00EF2265">
        <w:rPr>
          <w:rFonts w:ascii="Times New Roman" w:hAnsi="Times New Roman"/>
          <w:sz w:val="20"/>
          <w:szCs w:val="20"/>
        </w:rPr>
        <w:t xml:space="preserve">: Porovnanie počtu študentov STU v </w:t>
      </w:r>
      <w:r w:rsidRPr="00EF2265">
        <w:rPr>
          <w:rFonts w:ascii="Times New Roman" w:hAnsi="Times New Roman"/>
          <w:b/>
          <w:sz w:val="20"/>
          <w:szCs w:val="20"/>
        </w:rPr>
        <w:t>dennej forme štúdia</w:t>
      </w:r>
      <w:bookmarkEnd w:id="26"/>
    </w:p>
    <w:tbl>
      <w:tblPr>
        <w:tblW w:w="9528" w:type="dxa"/>
        <w:tblInd w:w="55" w:type="dxa"/>
        <w:tblCellMar>
          <w:left w:w="70" w:type="dxa"/>
          <w:right w:w="70" w:type="dxa"/>
        </w:tblCellMar>
        <w:tblLook w:val="04A0" w:firstRow="1" w:lastRow="0" w:firstColumn="1" w:lastColumn="0" w:noHBand="0" w:noVBand="1"/>
      </w:tblPr>
      <w:tblGrid>
        <w:gridCol w:w="1074"/>
        <w:gridCol w:w="1308"/>
        <w:gridCol w:w="1191"/>
        <w:gridCol w:w="1191"/>
        <w:gridCol w:w="1191"/>
        <w:gridCol w:w="1191"/>
        <w:gridCol w:w="1191"/>
        <w:gridCol w:w="1191"/>
      </w:tblGrid>
      <w:tr w:rsidR="00AD09B4" w:rsidRPr="00EF2265" w:rsidTr="00351A8A">
        <w:trPr>
          <w:trHeight w:val="31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Stupeň</w:t>
            </w:r>
          </w:p>
        </w:tc>
        <w:tc>
          <w:tcPr>
            <w:tcW w:w="1308" w:type="dxa"/>
            <w:tcBorders>
              <w:top w:val="single" w:sz="4" w:space="0" w:color="auto"/>
              <w:left w:val="single" w:sz="4" w:space="0" w:color="auto"/>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2011/2012</w:t>
            </w:r>
          </w:p>
        </w:tc>
        <w:tc>
          <w:tcPr>
            <w:tcW w:w="1191" w:type="dxa"/>
            <w:tcBorders>
              <w:top w:val="single" w:sz="4" w:space="0" w:color="auto"/>
              <w:left w:val="single" w:sz="4" w:space="0" w:color="auto"/>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2012/2013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2013/2014</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2014/2015</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2015/2016</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2016/2017</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2017/2018</w:t>
            </w:r>
          </w:p>
        </w:tc>
      </w:tr>
      <w:tr w:rsidR="00AD09B4" w:rsidRPr="00EF2265" w:rsidTr="00351A8A">
        <w:trPr>
          <w:trHeight w:val="31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stupeň</w:t>
            </w:r>
          </w:p>
        </w:tc>
        <w:tc>
          <w:tcPr>
            <w:tcW w:w="1308"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10 573</w:t>
            </w:r>
          </w:p>
        </w:tc>
        <w:tc>
          <w:tcPr>
            <w:tcW w:w="1191"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10 780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10 582</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9 929</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8 977</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8 020</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7 136</w:t>
            </w:r>
          </w:p>
        </w:tc>
      </w:tr>
      <w:tr w:rsidR="00AD09B4" w:rsidRPr="00EF2265" w:rsidTr="00351A8A">
        <w:trPr>
          <w:trHeight w:val="31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stupeň</w:t>
            </w:r>
          </w:p>
        </w:tc>
        <w:tc>
          <w:tcPr>
            <w:tcW w:w="1308"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5 197</w:t>
            </w:r>
          </w:p>
        </w:tc>
        <w:tc>
          <w:tcPr>
            <w:tcW w:w="1191"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4 640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4 419</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4 239</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4 289</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4 205</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3 815</w:t>
            </w:r>
          </w:p>
        </w:tc>
      </w:tr>
      <w:tr w:rsidR="00AD09B4" w:rsidRPr="00EF2265" w:rsidTr="00351A8A">
        <w:trPr>
          <w:trHeight w:val="31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 stupeň</w:t>
            </w:r>
          </w:p>
        </w:tc>
        <w:tc>
          <w:tcPr>
            <w:tcW w:w="1308"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1 198</w:t>
            </w:r>
          </w:p>
        </w:tc>
        <w:tc>
          <w:tcPr>
            <w:tcW w:w="1191"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1 093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957</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851</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717</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635</w:t>
            </w:r>
          </w:p>
        </w:tc>
        <w:tc>
          <w:tcPr>
            <w:tcW w:w="119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576</w:t>
            </w:r>
          </w:p>
        </w:tc>
      </w:tr>
      <w:tr w:rsidR="00AD09B4" w:rsidRPr="00EF2265" w:rsidTr="00351A8A">
        <w:trPr>
          <w:trHeight w:val="315"/>
        </w:trPr>
        <w:tc>
          <w:tcPr>
            <w:tcW w:w="107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Spolu</w:t>
            </w:r>
          </w:p>
        </w:tc>
        <w:tc>
          <w:tcPr>
            <w:tcW w:w="1308"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16 968</w:t>
            </w:r>
          </w:p>
        </w:tc>
        <w:tc>
          <w:tcPr>
            <w:tcW w:w="1191"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16 513</w:t>
            </w:r>
          </w:p>
        </w:tc>
        <w:tc>
          <w:tcPr>
            <w:tcW w:w="1191"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15 958</w:t>
            </w:r>
          </w:p>
        </w:tc>
        <w:tc>
          <w:tcPr>
            <w:tcW w:w="119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15 019</w:t>
            </w:r>
          </w:p>
        </w:tc>
        <w:tc>
          <w:tcPr>
            <w:tcW w:w="119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13 983</w:t>
            </w:r>
          </w:p>
        </w:tc>
        <w:tc>
          <w:tcPr>
            <w:tcW w:w="119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12 860</w:t>
            </w:r>
          </w:p>
        </w:tc>
        <w:tc>
          <w:tcPr>
            <w:tcW w:w="119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11 527</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27" w:name="_Ref474779684"/>
      <w:bookmarkStart w:id="28" w:name="_Toc534724791"/>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w:t>
      </w:r>
      <w:r w:rsidRPr="00EF2265">
        <w:rPr>
          <w:rFonts w:ascii="Times New Roman" w:hAnsi="Times New Roman"/>
          <w:sz w:val="20"/>
          <w:szCs w:val="20"/>
        </w:rPr>
        <w:fldChar w:fldCharType="end"/>
      </w:r>
      <w:bookmarkEnd w:id="27"/>
      <w:r w:rsidRPr="00EF2265">
        <w:rPr>
          <w:rFonts w:ascii="Times New Roman" w:hAnsi="Times New Roman"/>
          <w:sz w:val="20"/>
          <w:szCs w:val="20"/>
        </w:rPr>
        <w:t xml:space="preserve">: </w:t>
      </w:r>
      <w:r w:rsidRPr="00EF2265">
        <w:rPr>
          <w:rFonts w:ascii="Times New Roman" w:hAnsi="Times New Roman"/>
          <w:bCs/>
          <w:sz w:val="20"/>
          <w:szCs w:val="20"/>
        </w:rPr>
        <w:t>Vývoj</w:t>
      </w:r>
      <w:r w:rsidRPr="00EF2265">
        <w:rPr>
          <w:rFonts w:ascii="Times New Roman" w:hAnsi="Times New Roman"/>
          <w:sz w:val="20"/>
          <w:szCs w:val="20"/>
        </w:rPr>
        <w:t xml:space="preserve"> počtu študentov </w:t>
      </w:r>
      <w:r w:rsidRPr="00EF2265">
        <w:rPr>
          <w:rFonts w:ascii="Times New Roman" w:hAnsi="Times New Roman"/>
          <w:b/>
          <w:sz w:val="20"/>
          <w:szCs w:val="20"/>
        </w:rPr>
        <w:t xml:space="preserve">dennej formy </w:t>
      </w:r>
      <w:r w:rsidRPr="00EF2265">
        <w:rPr>
          <w:rFonts w:ascii="Times New Roman" w:hAnsi="Times New Roman"/>
          <w:bCs/>
          <w:sz w:val="20"/>
          <w:szCs w:val="20"/>
        </w:rPr>
        <w:t>na jednotlivých stupňoch</w:t>
      </w:r>
      <w:r w:rsidRPr="00EF2265">
        <w:rPr>
          <w:rFonts w:ascii="Times New Roman" w:hAnsi="Times New Roman"/>
          <w:b/>
          <w:sz w:val="20"/>
          <w:szCs w:val="20"/>
        </w:rPr>
        <w:t xml:space="preserve"> </w:t>
      </w:r>
      <w:r w:rsidRPr="00EF2265">
        <w:rPr>
          <w:rFonts w:ascii="Times New Roman" w:hAnsi="Times New Roman"/>
          <w:sz w:val="20"/>
          <w:szCs w:val="20"/>
        </w:rPr>
        <w:t>štúdia</w:t>
      </w:r>
      <w:bookmarkEnd w:id="28"/>
      <w:r w:rsidRPr="00EF2265">
        <w:rPr>
          <w:rFonts w:ascii="Times New Roman" w:hAnsi="Times New Roman"/>
          <w:sz w:val="20"/>
          <w:szCs w:val="20"/>
        </w:rPr>
        <w:t xml:space="preserve"> </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068A2131" wp14:editId="7C281ADB">
            <wp:extent cx="4977442" cy="313944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14:shadow w14:blurRad="63500" w14:dist="0" w14:dir="0" w14:sx="102000" w14:sy="102000" w14:kx="0" w14:ky="0" w14:algn="ctr">
            <w14:srgbClr w14:val="000000">
              <w14:alpha w14:val="60000"/>
            </w14:srgbClr>
          </w14:shadow>
        </w:rPr>
      </w:pPr>
      <w:r w:rsidRPr="00EF2265">
        <w:rPr>
          <w:rFonts w:ascii="Times New Roman" w:hAnsi="Times New Roman"/>
          <w:sz w:val="20"/>
          <w:szCs w:val="20"/>
          <w14:shadow w14:blurRad="63500" w14:dist="0" w14:dir="0" w14:sx="102000" w14:sy="102000" w14:kx="0" w14:ky="0" w14:algn="ctr">
            <w14:srgbClr w14:val="000000">
              <w14:alpha w14:val="60000"/>
            </w14:srgbClr>
          </w14:shadow>
        </w:rPr>
        <w:br w:type="page"/>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lastRenderedPageBreak/>
        <w:t xml:space="preserve">Z grafov je vidieť pokles celkového počtu študentov. </w:t>
      </w:r>
      <w:r w:rsidRPr="00EF2265">
        <w:rPr>
          <w:rFonts w:ascii="Times New Roman" w:hAnsi="Times New Roman"/>
          <w:b/>
          <w:sz w:val="20"/>
          <w:szCs w:val="20"/>
        </w:rPr>
        <w:t>V dennej forme</w:t>
      </w:r>
      <w:r w:rsidRPr="00EF2265">
        <w:rPr>
          <w:rFonts w:ascii="Times New Roman" w:hAnsi="Times New Roman"/>
          <w:sz w:val="20"/>
          <w:szCs w:val="20"/>
        </w:rPr>
        <w:t xml:space="preserve"> sa na všetkých troch stupňoch štúdia zaznamenal v akademickom roku 2017/2018 medziročný pokles študentov </w:t>
      </w:r>
      <w:r w:rsidRPr="00EF2265">
        <w:rPr>
          <w:rFonts w:ascii="Times New Roman" w:hAnsi="Times New Roman"/>
          <w:b/>
          <w:sz w:val="20"/>
          <w:szCs w:val="20"/>
        </w:rPr>
        <w:t xml:space="preserve">11 % na prvom stupni a po 9 % na druhom a treťom stupni </w:t>
      </w:r>
      <w:r w:rsidRPr="00EF2265">
        <w:rPr>
          <w:rFonts w:ascii="Times New Roman" w:hAnsi="Times New Roman"/>
          <w:sz w:val="20"/>
          <w:szCs w:val="20"/>
        </w:rPr>
        <w:t>štúdia.</w:t>
      </w:r>
      <w:r w:rsidRPr="00EF2265">
        <w:rPr>
          <w:rFonts w:ascii="Times New Roman" w:hAnsi="Times New Roman"/>
          <w:b/>
          <w:sz w:val="20"/>
          <w:szCs w:val="20"/>
        </w:rPr>
        <w:t xml:space="preserve">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Celkove je medziročný pokles študentov v akademickom roku 2017/2018 v dennej forme </w:t>
      </w:r>
      <w:r w:rsidRPr="00EF2265">
        <w:rPr>
          <w:rFonts w:ascii="Times New Roman" w:hAnsi="Times New Roman"/>
          <w:b/>
          <w:sz w:val="20"/>
          <w:szCs w:val="20"/>
        </w:rPr>
        <w:t>10 %</w:t>
      </w:r>
      <w:r w:rsidRPr="00EF2265">
        <w:rPr>
          <w:rFonts w:ascii="Times New Roman" w:hAnsi="Times New Roman"/>
          <w:sz w:val="20"/>
          <w:szCs w:val="20"/>
        </w:rPr>
        <w:t xml:space="preserve">. Je to dôsledok celkového poklesu počtu študentov v súvislosti s klesajúcim demografickým vývojom v Slovenskej republike a tiež dlhodobo narastajúci záujem maturantov o štúdium v zahraničí, a to najmä v Českej republike.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V  externej forme štúdia je zrejmý výrazný pokles počtu študentov na všetkých troch stupňoch štúdia. Celkovo sa znížil počet študentov v externej forme štúdia za sledovaných 7 rokov o 71,2 %, pričom od akademického roku 2015/2016 sa na STU uskutočňuje externá forma štúdia len na treťom stupni štúdia.</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29" w:name="_Ref474776756"/>
      <w:bookmarkStart w:id="30" w:name="_Toc534793948"/>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9</w:t>
      </w:r>
      <w:r w:rsidRPr="00EF2265">
        <w:rPr>
          <w:rFonts w:ascii="Times New Roman" w:hAnsi="Times New Roman"/>
          <w:sz w:val="20"/>
          <w:szCs w:val="20"/>
        </w:rPr>
        <w:fldChar w:fldCharType="end"/>
      </w:r>
      <w:bookmarkEnd w:id="29"/>
      <w:r w:rsidRPr="00EF2265">
        <w:rPr>
          <w:rFonts w:ascii="Times New Roman" w:hAnsi="Times New Roman"/>
          <w:sz w:val="20"/>
          <w:szCs w:val="20"/>
        </w:rPr>
        <w:t xml:space="preserve">: Porovnanie počtu študentov STU v </w:t>
      </w:r>
      <w:r w:rsidRPr="00EF2265">
        <w:rPr>
          <w:rFonts w:ascii="Times New Roman" w:hAnsi="Times New Roman"/>
          <w:b/>
          <w:sz w:val="20"/>
          <w:szCs w:val="20"/>
        </w:rPr>
        <w:t>externej forme štúdia</w:t>
      </w:r>
      <w:bookmarkEnd w:id="30"/>
    </w:p>
    <w:tbl>
      <w:tblPr>
        <w:tblW w:w="952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AD09B4" w:rsidRPr="00EF2265" w:rsidTr="00351A8A">
        <w:trPr>
          <w:trHeight w:val="315"/>
        </w:trPr>
        <w:tc>
          <w:tcPr>
            <w:tcW w:w="1191" w:type="dxa"/>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Stupeň</w:t>
            </w:r>
          </w:p>
        </w:tc>
        <w:tc>
          <w:tcPr>
            <w:tcW w:w="1191" w:type="dxa"/>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2011/2012</w:t>
            </w:r>
          </w:p>
        </w:tc>
        <w:tc>
          <w:tcPr>
            <w:tcW w:w="1191" w:type="dxa"/>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2012/2013</w:t>
            </w:r>
          </w:p>
        </w:tc>
        <w:tc>
          <w:tcPr>
            <w:tcW w:w="1191" w:type="dxa"/>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2013/2014</w:t>
            </w:r>
          </w:p>
        </w:tc>
        <w:tc>
          <w:tcPr>
            <w:tcW w:w="1191" w:type="dxa"/>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2014/2015</w:t>
            </w:r>
          </w:p>
        </w:tc>
        <w:tc>
          <w:tcPr>
            <w:tcW w:w="1191" w:type="dxa"/>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2015/2016</w:t>
            </w:r>
          </w:p>
        </w:tc>
        <w:tc>
          <w:tcPr>
            <w:tcW w:w="1191" w:type="dxa"/>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2016/2017</w:t>
            </w:r>
          </w:p>
        </w:tc>
        <w:tc>
          <w:tcPr>
            <w:tcW w:w="1191" w:type="dxa"/>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2017/2018</w:t>
            </w:r>
          </w:p>
        </w:tc>
      </w:tr>
      <w:tr w:rsidR="00AD09B4" w:rsidRPr="00EF2265" w:rsidTr="00351A8A">
        <w:trPr>
          <w:trHeight w:val="315"/>
        </w:trPr>
        <w:tc>
          <w:tcPr>
            <w:tcW w:w="1191" w:type="dxa"/>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stupeň</w:t>
            </w:r>
          </w:p>
        </w:tc>
        <w:tc>
          <w:tcPr>
            <w:tcW w:w="1191" w:type="dxa"/>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252</w:t>
            </w:r>
          </w:p>
        </w:tc>
        <w:tc>
          <w:tcPr>
            <w:tcW w:w="1191" w:type="dxa"/>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103</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37</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315"/>
        </w:trPr>
        <w:tc>
          <w:tcPr>
            <w:tcW w:w="1191" w:type="dxa"/>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stupeň</w:t>
            </w:r>
          </w:p>
        </w:tc>
        <w:tc>
          <w:tcPr>
            <w:tcW w:w="1191" w:type="dxa"/>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23</w:t>
            </w:r>
          </w:p>
        </w:tc>
        <w:tc>
          <w:tcPr>
            <w:tcW w:w="1191" w:type="dxa"/>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315"/>
        </w:trPr>
        <w:tc>
          <w:tcPr>
            <w:tcW w:w="1191" w:type="dxa"/>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 stupeň</w:t>
            </w:r>
          </w:p>
        </w:tc>
        <w:tc>
          <w:tcPr>
            <w:tcW w:w="1191" w:type="dxa"/>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493</w:t>
            </w:r>
          </w:p>
        </w:tc>
        <w:tc>
          <w:tcPr>
            <w:tcW w:w="1191" w:type="dxa"/>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443</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407</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377</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303</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248</w:t>
            </w:r>
          </w:p>
        </w:tc>
        <w:tc>
          <w:tcPr>
            <w:tcW w:w="1191" w:type="dxa"/>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221</w:t>
            </w:r>
          </w:p>
        </w:tc>
      </w:tr>
      <w:tr w:rsidR="00AD09B4" w:rsidRPr="00EF2265" w:rsidTr="00351A8A">
        <w:trPr>
          <w:trHeight w:val="315"/>
        </w:trPr>
        <w:tc>
          <w:tcPr>
            <w:tcW w:w="1191" w:type="dxa"/>
            <w:shd w:val="clear" w:color="auto" w:fill="EEECE1" w:themeFill="background2"/>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Spolu</w:t>
            </w:r>
          </w:p>
        </w:tc>
        <w:tc>
          <w:tcPr>
            <w:tcW w:w="1191" w:type="dxa"/>
            <w:shd w:val="clear" w:color="auto" w:fill="EEECE1" w:themeFill="background2"/>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768</w:t>
            </w:r>
          </w:p>
        </w:tc>
        <w:tc>
          <w:tcPr>
            <w:tcW w:w="1191" w:type="dxa"/>
            <w:shd w:val="clear" w:color="auto" w:fill="EEECE1" w:themeFill="background2"/>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546</w:t>
            </w:r>
          </w:p>
        </w:tc>
        <w:tc>
          <w:tcPr>
            <w:tcW w:w="1191" w:type="dxa"/>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444</w:t>
            </w:r>
          </w:p>
        </w:tc>
        <w:tc>
          <w:tcPr>
            <w:tcW w:w="1191" w:type="dxa"/>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384</w:t>
            </w:r>
          </w:p>
        </w:tc>
        <w:tc>
          <w:tcPr>
            <w:tcW w:w="1191" w:type="dxa"/>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303</w:t>
            </w:r>
          </w:p>
        </w:tc>
        <w:tc>
          <w:tcPr>
            <w:tcW w:w="1191" w:type="dxa"/>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248</w:t>
            </w:r>
          </w:p>
        </w:tc>
        <w:tc>
          <w:tcPr>
            <w:tcW w:w="1191" w:type="dxa"/>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221</w:t>
            </w:r>
          </w:p>
        </w:tc>
      </w:tr>
    </w:tbl>
    <w:p w:rsidR="00AD09B4" w:rsidRPr="00EF2265" w:rsidRDefault="00AD09B4" w:rsidP="00E86605">
      <w:pPr>
        <w:tabs>
          <w:tab w:val="left" w:pos="9356"/>
        </w:tabs>
        <w:jc w:val="left"/>
        <w:rPr>
          <w:rFonts w:ascii="Times New Roman" w:hAnsi="Times New Roman"/>
          <w:b/>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31" w:name="_Ref474779701"/>
      <w:bookmarkStart w:id="32" w:name="_Toc534724792"/>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5</w:t>
      </w:r>
      <w:r w:rsidRPr="00EF2265">
        <w:rPr>
          <w:rFonts w:ascii="Times New Roman" w:hAnsi="Times New Roman"/>
          <w:sz w:val="20"/>
          <w:szCs w:val="20"/>
        </w:rPr>
        <w:fldChar w:fldCharType="end"/>
      </w:r>
      <w:bookmarkEnd w:id="31"/>
      <w:r w:rsidRPr="00EF2265">
        <w:rPr>
          <w:rFonts w:ascii="Times New Roman" w:hAnsi="Times New Roman"/>
          <w:sz w:val="20"/>
          <w:szCs w:val="20"/>
        </w:rPr>
        <w:t xml:space="preserve">: Vývoj počtu študentov </w:t>
      </w:r>
      <w:r w:rsidRPr="00EF2265">
        <w:rPr>
          <w:rFonts w:ascii="Times New Roman" w:hAnsi="Times New Roman"/>
          <w:b/>
          <w:sz w:val="20"/>
          <w:szCs w:val="20"/>
        </w:rPr>
        <w:t>externej formy</w:t>
      </w:r>
      <w:r w:rsidRPr="00EF2265">
        <w:rPr>
          <w:rFonts w:ascii="Times New Roman" w:hAnsi="Times New Roman"/>
          <w:sz w:val="20"/>
          <w:szCs w:val="20"/>
        </w:rPr>
        <w:t xml:space="preserve"> </w:t>
      </w:r>
      <w:r w:rsidRPr="00EF2265">
        <w:rPr>
          <w:rFonts w:ascii="Times New Roman" w:hAnsi="Times New Roman"/>
          <w:bCs/>
          <w:sz w:val="20"/>
          <w:szCs w:val="20"/>
        </w:rPr>
        <w:t xml:space="preserve">na jednotlivých stupňoch </w:t>
      </w:r>
      <w:r w:rsidRPr="00EF2265">
        <w:rPr>
          <w:rFonts w:ascii="Times New Roman" w:hAnsi="Times New Roman"/>
          <w:sz w:val="20"/>
          <w:szCs w:val="20"/>
        </w:rPr>
        <w:t>štúdia</w:t>
      </w:r>
      <w:bookmarkEnd w:id="32"/>
      <w:r w:rsidRPr="00EF2265">
        <w:rPr>
          <w:rFonts w:ascii="Times New Roman" w:hAnsi="Times New Roman"/>
          <w:sz w:val="20"/>
          <w:szCs w:val="20"/>
        </w:rPr>
        <w:t xml:space="preserve">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299B3D65" wp14:editId="438F0C81">
            <wp:extent cx="5089585" cy="3416061"/>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Pokles študentov v externej forme na prvom a druhom stupni štúdia je dôsledkom orientácie sa STU predovšetkým na dennú formu z dôvodu špecifických nárokov štúdia v technických študijných odboroch na laboratórnu a seminárnu prácu, ktorej organizácia je pri veľkých počtoch externých študentov náročná. Pokles študentov doktorandských študijných programov v externej forme štúdia je aj v dôsledkom spoplatňovania štúdia, ktoré je od akademického roku 2011/2012 upravené zákonom.</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Podrobnejší pohľad na štruktúru a počet študentov na STU v jednotlivých stupňoch a formách štúdia a pohľad na ich úbytok po jednotlivých rokoch štúdia je uvedený v nasledujúcich častiach.</w:t>
      </w:r>
      <w:r w:rsidRPr="00EF2265">
        <w:rPr>
          <w:rFonts w:ascii="Times New Roman" w:hAnsi="Times New Roman"/>
          <w:sz w:val="20"/>
          <w:szCs w:val="20"/>
        </w:rPr>
        <w:br w:type="page"/>
      </w:r>
    </w:p>
    <w:p w:rsidR="00AD09B4" w:rsidRPr="00EF2265" w:rsidRDefault="00AD09B4" w:rsidP="00E86605">
      <w:pPr>
        <w:pStyle w:val="Nadpis2"/>
        <w:numPr>
          <w:ilvl w:val="2"/>
          <w:numId w:val="7"/>
        </w:numPr>
        <w:tabs>
          <w:tab w:val="left" w:pos="9356"/>
        </w:tabs>
        <w:rPr>
          <w:rFonts w:ascii="Times New Roman" w:hAnsi="Times New Roman" w:cs="Times New Roman"/>
          <w:color w:val="auto"/>
          <w:sz w:val="20"/>
          <w:szCs w:val="20"/>
        </w:rPr>
      </w:pPr>
      <w:bookmarkStart w:id="33" w:name="_Toc534722876"/>
      <w:r w:rsidRPr="00EF2265">
        <w:rPr>
          <w:rFonts w:ascii="Times New Roman" w:hAnsi="Times New Roman" w:cs="Times New Roman"/>
          <w:color w:val="auto"/>
          <w:sz w:val="20"/>
          <w:szCs w:val="20"/>
        </w:rPr>
        <w:lastRenderedPageBreak/>
        <w:t>Prvý stupeň štúdia - počet a úbytok študentov</w:t>
      </w:r>
      <w:bookmarkEnd w:id="33"/>
    </w:p>
    <w:p w:rsidR="00AD09B4" w:rsidRPr="00EF2265" w:rsidRDefault="00AD09B4" w:rsidP="00E86605">
      <w:pPr>
        <w:tabs>
          <w:tab w:val="left" w:pos="9356"/>
        </w:tabs>
        <w:jc w:val="left"/>
        <w:rPr>
          <w:rFonts w:ascii="Times New Roman" w:hAnsi="Times New Roman"/>
          <w:sz w:val="20"/>
          <w:szCs w:val="20"/>
        </w:rPr>
      </w:pPr>
      <w:bookmarkStart w:id="34" w:name="_Ref474776799"/>
      <w:bookmarkStart w:id="35" w:name="_Toc534793949"/>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10</w:t>
      </w:r>
      <w:r w:rsidRPr="00EF2265">
        <w:rPr>
          <w:rFonts w:ascii="Times New Roman" w:hAnsi="Times New Roman"/>
          <w:sz w:val="20"/>
          <w:szCs w:val="20"/>
        </w:rPr>
        <w:fldChar w:fldCharType="end"/>
      </w:r>
      <w:bookmarkEnd w:id="34"/>
      <w:r w:rsidRPr="00EF2265">
        <w:rPr>
          <w:rFonts w:ascii="Times New Roman" w:hAnsi="Times New Roman"/>
          <w:sz w:val="20"/>
          <w:szCs w:val="20"/>
        </w:rPr>
        <w:t xml:space="preserve">: Počet a úbytok študentov </w:t>
      </w:r>
      <w:r w:rsidRPr="00EF2265">
        <w:rPr>
          <w:rFonts w:ascii="Times New Roman" w:hAnsi="Times New Roman"/>
          <w:b/>
          <w:sz w:val="20"/>
          <w:szCs w:val="20"/>
        </w:rPr>
        <w:t>prvého stupňa štúdia v dennej forme</w:t>
      </w:r>
      <w:r w:rsidRPr="00EF2265">
        <w:rPr>
          <w:rFonts w:ascii="Times New Roman" w:hAnsi="Times New Roman"/>
          <w:sz w:val="20"/>
          <w:szCs w:val="20"/>
        </w:rPr>
        <w:t xml:space="preserve"> v akademickom roku 2017/2018</w:t>
      </w:r>
      <w:bookmarkEnd w:id="35"/>
    </w:p>
    <w:tbl>
      <w:tblPr>
        <w:tblW w:w="9438" w:type="dxa"/>
        <w:tblInd w:w="55" w:type="dxa"/>
        <w:tblCellMar>
          <w:left w:w="70" w:type="dxa"/>
          <w:right w:w="70" w:type="dxa"/>
        </w:tblCellMar>
        <w:tblLook w:val="04A0" w:firstRow="1" w:lastRow="0" w:firstColumn="1" w:lastColumn="0" w:noHBand="0" w:noVBand="1"/>
      </w:tblPr>
      <w:tblGrid>
        <w:gridCol w:w="818"/>
        <w:gridCol w:w="895"/>
        <w:gridCol w:w="786"/>
        <w:gridCol w:w="786"/>
        <w:gridCol w:w="1246"/>
        <w:gridCol w:w="1094"/>
        <w:gridCol w:w="1180"/>
        <w:gridCol w:w="877"/>
        <w:gridCol w:w="878"/>
        <w:gridCol w:w="878"/>
      </w:tblGrid>
      <w:tr w:rsidR="00AD09B4" w:rsidRPr="00EF2265" w:rsidTr="00351A8A">
        <w:trPr>
          <w:trHeight w:val="20"/>
        </w:trPr>
        <w:tc>
          <w:tcPr>
            <w:tcW w:w="8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Fakulta</w:t>
            </w:r>
          </w:p>
        </w:tc>
        <w:tc>
          <w:tcPr>
            <w:tcW w:w="3713" w:type="dxa"/>
            <w:gridSpan w:val="4"/>
            <w:tcBorders>
              <w:top w:val="single" w:sz="4" w:space="0" w:color="auto"/>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 ročník</w:t>
            </w:r>
          </w:p>
        </w:tc>
        <w:tc>
          <w:tcPr>
            <w:tcW w:w="2274" w:type="dxa"/>
            <w:gridSpan w:val="2"/>
            <w:tcBorders>
              <w:top w:val="single" w:sz="4" w:space="0" w:color="auto"/>
              <w:left w:val="nil"/>
              <w:bottom w:val="single" w:sz="4" w:space="0" w:color="auto"/>
              <w:right w:val="single" w:sz="4" w:space="0" w:color="000000"/>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 ročník</w:t>
            </w:r>
          </w:p>
        </w:tc>
        <w:tc>
          <w:tcPr>
            <w:tcW w:w="87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 ročník zapísaní</w:t>
            </w:r>
          </w:p>
        </w:tc>
        <w:tc>
          <w:tcPr>
            <w:tcW w:w="8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4. ročník zapísaní</w:t>
            </w:r>
          </w:p>
        </w:tc>
        <w:tc>
          <w:tcPr>
            <w:tcW w:w="8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w:t>
            </w:r>
            <w:r w:rsidRPr="00EF2265">
              <w:rPr>
                <w:rFonts w:ascii="Times New Roman" w:eastAsia="Times New Roman" w:hAnsi="Times New Roman"/>
                <w:b/>
                <w:bCs/>
                <w:sz w:val="20"/>
                <w:szCs w:val="20"/>
                <w:vertAlign w:val="subscript"/>
                <w:lang w:eastAsia="sk-SK"/>
              </w:rPr>
              <w:t>Z</w:t>
            </w:r>
          </w:p>
        </w:tc>
      </w:tr>
      <w:tr w:rsidR="00AD09B4" w:rsidRPr="00EF2265" w:rsidTr="00351A8A">
        <w:trPr>
          <w:trHeight w:val="20"/>
        </w:trPr>
        <w:tc>
          <w:tcPr>
            <w:tcW w:w="818"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89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Zapísaní</w:t>
            </w:r>
          </w:p>
        </w:tc>
        <w:tc>
          <w:tcPr>
            <w:tcW w:w="1572" w:type="dxa"/>
            <w:gridSpan w:val="2"/>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Úbytok</w:t>
            </w:r>
          </w:p>
        </w:tc>
        <w:tc>
          <w:tcPr>
            <w:tcW w:w="1246" w:type="dxa"/>
            <w:vMerge w:val="restart"/>
            <w:tcBorders>
              <w:top w:val="nil"/>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Celkový úbytok po</w:t>
            </w:r>
          </w:p>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 roč.</w:t>
            </w:r>
          </w:p>
        </w:tc>
        <w:tc>
          <w:tcPr>
            <w:tcW w:w="109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Zapísaní</w:t>
            </w:r>
          </w:p>
        </w:tc>
        <w:tc>
          <w:tcPr>
            <w:tcW w:w="1180" w:type="dxa"/>
            <w:vMerge w:val="restart"/>
            <w:tcBorders>
              <w:top w:val="nil"/>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Úbytok</w:t>
            </w:r>
          </w:p>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 2. roč.</w:t>
            </w:r>
          </w:p>
        </w:tc>
        <w:tc>
          <w:tcPr>
            <w:tcW w:w="877"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r>
      <w:tr w:rsidR="00AD09B4" w:rsidRPr="00EF2265" w:rsidTr="00351A8A">
        <w:trPr>
          <w:trHeight w:val="20"/>
        </w:trPr>
        <w:tc>
          <w:tcPr>
            <w:tcW w:w="818"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895"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 ZS</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 LS</w:t>
            </w:r>
          </w:p>
        </w:tc>
        <w:tc>
          <w:tcPr>
            <w:tcW w:w="1246"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094"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180"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877"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r>
      <w:tr w:rsidR="00AD09B4" w:rsidRPr="00EF2265" w:rsidTr="00351A8A">
        <w:trPr>
          <w:trHeight w:val="20"/>
        </w:trPr>
        <w:tc>
          <w:tcPr>
            <w:tcW w:w="818"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895"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430</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32%</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124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w:t>
            </w:r>
          </w:p>
        </w:tc>
        <w:tc>
          <w:tcPr>
            <w:tcW w:w="1094"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314</w:t>
            </w:r>
          </w:p>
        </w:tc>
        <w:tc>
          <w:tcPr>
            <w:tcW w:w="118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30%</w:t>
            </w:r>
          </w:p>
        </w:tc>
        <w:tc>
          <w:tcPr>
            <w:tcW w:w="877"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439</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250</w:t>
            </w:r>
          </w:p>
        </w:tc>
        <w:tc>
          <w:tcPr>
            <w:tcW w:w="878" w:type="dxa"/>
            <w:tcBorders>
              <w:top w:val="nil"/>
              <w:left w:val="nil"/>
              <w:bottom w:val="single" w:sz="4" w:space="0" w:color="auto"/>
              <w:right w:val="single" w:sz="8"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1 433</w:t>
            </w:r>
          </w:p>
        </w:tc>
      </w:tr>
      <w:tr w:rsidR="00AD09B4" w:rsidRPr="00EF2265" w:rsidTr="00351A8A">
        <w:trPr>
          <w:trHeight w:val="20"/>
        </w:trPr>
        <w:tc>
          <w:tcPr>
            <w:tcW w:w="818"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895"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204</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124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51%</w:t>
            </w:r>
          </w:p>
        </w:tc>
        <w:tc>
          <w:tcPr>
            <w:tcW w:w="1094"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156</w:t>
            </w:r>
          </w:p>
        </w:tc>
        <w:tc>
          <w:tcPr>
            <w:tcW w:w="118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33%</w:t>
            </w:r>
          </w:p>
        </w:tc>
        <w:tc>
          <w:tcPr>
            <w:tcW w:w="877"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167</w:t>
            </w:r>
          </w:p>
        </w:tc>
        <w:tc>
          <w:tcPr>
            <w:tcW w:w="87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8" w:type="dxa"/>
            <w:tcBorders>
              <w:top w:val="nil"/>
              <w:left w:val="nil"/>
              <w:bottom w:val="single" w:sz="4" w:space="0" w:color="auto"/>
              <w:right w:val="single" w:sz="8"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527</w:t>
            </w:r>
          </w:p>
        </w:tc>
      </w:tr>
      <w:tr w:rsidR="00AD09B4" w:rsidRPr="00EF2265" w:rsidTr="00351A8A">
        <w:trPr>
          <w:trHeight w:val="20"/>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895"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631</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38%</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w:t>
            </w:r>
          </w:p>
        </w:tc>
        <w:tc>
          <w:tcPr>
            <w:tcW w:w="124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54%</w:t>
            </w:r>
          </w:p>
        </w:tc>
        <w:tc>
          <w:tcPr>
            <w:tcW w:w="1094"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339</w:t>
            </w:r>
          </w:p>
        </w:tc>
        <w:tc>
          <w:tcPr>
            <w:tcW w:w="1180"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877"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496</w:t>
            </w:r>
          </w:p>
        </w:tc>
        <w:tc>
          <w:tcPr>
            <w:tcW w:w="87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8" w:type="dxa"/>
            <w:tcBorders>
              <w:top w:val="nil"/>
              <w:left w:val="nil"/>
              <w:bottom w:val="single" w:sz="4" w:space="0" w:color="auto"/>
              <w:right w:val="single" w:sz="8"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1 466</w:t>
            </w:r>
          </w:p>
        </w:tc>
      </w:tr>
      <w:tr w:rsidR="00AD09B4" w:rsidRPr="00EF2265" w:rsidTr="00351A8A">
        <w:trPr>
          <w:trHeight w:val="20"/>
        </w:trPr>
        <w:tc>
          <w:tcPr>
            <w:tcW w:w="818"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895"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365</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40%</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23%</w:t>
            </w:r>
          </w:p>
        </w:tc>
        <w:tc>
          <w:tcPr>
            <w:tcW w:w="124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62%</w:t>
            </w:r>
          </w:p>
        </w:tc>
        <w:tc>
          <w:tcPr>
            <w:tcW w:w="1094"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240</w:t>
            </w:r>
          </w:p>
        </w:tc>
        <w:tc>
          <w:tcPr>
            <w:tcW w:w="118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w:t>
            </w:r>
          </w:p>
        </w:tc>
        <w:tc>
          <w:tcPr>
            <w:tcW w:w="877"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357</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8" w:type="dxa"/>
            <w:tcBorders>
              <w:top w:val="nil"/>
              <w:left w:val="nil"/>
              <w:bottom w:val="single" w:sz="4" w:space="0" w:color="auto"/>
              <w:right w:val="single" w:sz="8"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962</w:t>
            </w:r>
          </w:p>
        </w:tc>
      </w:tr>
      <w:tr w:rsidR="00AD09B4" w:rsidRPr="00EF2265" w:rsidTr="00351A8A">
        <w:trPr>
          <w:trHeight w:val="20"/>
        </w:trPr>
        <w:tc>
          <w:tcPr>
            <w:tcW w:w="818"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895"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171</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124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c>
          <w:tcPr>
            <w:tcW w:w="1094"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125</w:t>
            </w:r>
          </w:p>
        </w:tc>
        <w:tc>
          <w:tcPr>
            <w:tcW w:w="118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877"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127</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184</w:t>
            </w:r>
          </w:p>
        </w:tc>
        <w:tc>
          <w:tcPr>
            <w:tcW w:w="878" w:type="dxa"/>
            <w:tcBorders>
              <w:top w:val="nil"/>
              <w:left w:val="nil"/>
              <w:bottom w:val="single" w:sz="4" w:space="0" w:color="auto"/>
              <w:right w:val="single" w:sz="8"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607</w:t>
            </w:r>
          </w:p>
        </w:tc>
      </w:tr>
      <w:tr w:rsidR="00AD09B4" w:rsidRPr="00EF2265" w:rsidTr="00351A8A">
        <w:trPr>
          <w:trHeight w:val="20"/>
        </w:trPr>
        <w:tc>
          <w:tcPr>
            <w:tcW w:w="818"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895"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485</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45%</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124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50%</w:t>
            </w:r>
          </w:p>
        </w:tc>
        <w:tc>
          <w:tcPr>
            <w:tcW w:w="1094"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346</w:t>
            </w:r>
          </w:p>
        </w:tc>
        <w:tc>
          <w:tcPr>
            <w:tcW w:w="118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w:t>
            </w:r>
          </w:p>
        </w:tc>
        <w:tc>
          <w:tcPr>
            <w:tcW w:w="877"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455</w:t>
            </w:r>
          </w:p>
        </w:tc>
        <w:tc>
          <w:tcPr>
            <w:tcW w:w="87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8" w:type="dxa"/>
            <w:tcBorders>
              <w:top w:val="nil"/>
              <w:left w:val="nil"/>
              <w:bottom w:val="single" w:sz="4" w:space="0" w:color="auto"/>
              <w:right w:val="single" w:sz="8"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1 286</w:t>
            </w:r>
          </w:p>
        </w:tc>
      </w:tr>
      <w:tr w:rsidR="00AD09B4" w:rsidRPr="00EF2265" w:rsidTr="00351A8A">
        <w:trPr>
          <w:trHeight w:val="20"/>
        </w:trPr>
        <w:tc>
          <w:tcPr>
            <w:tcW w:w="818"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895"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235</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124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37%</w:t>
            </w:r>
          </w:p>
        </w:tc>
        <w:tc>
          <w:tcPr>
            <w:tcW w:w="1094"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240</w:t>
            </w:r>
          </w:p>
        </w:tc>
        <w:tc>
          <w:tcPr>
            <w:tcW w:w="118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877"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249</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43</w:t>
            </w:r>
          </w:p>
        </w:tc>
        <w:tc>
          <w:tcPr>
            <w:tcW w:w="878" w:type="dxa"/>
            <w:tcBorders>
              <w:top w:val="nil"/>
              <w:left w:val="nil"/>
              <w:bottom w:val="single" w:sz="4" w:space="0" w:color="auto"/>
              <w:right w:val="single" w:sz="8"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767</w:t>
            </w:r>
          </w:p>
        </w:tc>
      </w:tr>
      <w:tr w:rsidR="00AD09B4" w:rsidRPr="00EF2265" w:rsidTr="00351A8A">
        <w:trPr>
          <w:trHeight w:val="20"/>
        </w:trPr>
        <w:tc>
          <w:tcPr>
            <w:tcW w:w="818"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895"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30</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786"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124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w:t>
            </w:r>
          </w:p>
        </w:tc>
        <w:tc>
          <w:tcPr>
            <w:tcW w:w="1094"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c>
          <w:tcPr>
            <w:tcW w:w="118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877"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8" w:type="dxa"/>
            <w:tcBorders>
              <w:top w:val="nil"/>
              <w:left w:val="nil"/>
              <w:bottom w:val="single" w:sz="4" w:space="0" w:color="auto"/>
              <w:right w:val="single" w:sz="8"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88</w:t>
            </w:r>
          </w:p>
        </w:tc>
      </w:tr>
      <w:tr w:rsidR="00AD09B4" w:rsidRPr="00EF2265" w:rsidTr="00351A8A">
        <w:trPr>
          <w:trHeight w:val="20"/>
        </w:trPr>
        <w:tc>
          <w:tcPr>
            <w:tcW w:w="818" w:type="dxa"/>
            <w:tcBorders>
              <w:top w:val="nil"/>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895"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2 551</w:t>
            </w:r>
          </w:p>
        </w:tc>
        <w:tc>
          <w:tcPr>
            <w:tcW w:w="78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36%</w:t>
            </w:r>
          </w:p>
        </w:tc>
        <w:tc>
          <w:tcPr>
            <w:tcW w:w="78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12%</w:t>
            </w:r>
          </w:p>
        </w:tc>
        <w:tc>
          <w:tcPr>
            <w:tcW w:w="1246"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48%</w:t>
            </w:r>
          </w:p>
        </w:tc>
        <w:tc>
          <w:tcPr>
            <w:tcW w:w="1094"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1 787</w:t>
            </w:r>
          </w:p>
        </w:tc>
        <w:tc>
          <w:tcPr>
            <w:tcW w:w="118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22%</w:t>
            </w:r>
          </w:p>
        </w:tc>
        <w:tc>
          <w:tcPr>
            <w:tcW w:w="877"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2 321</w:t>
            </w:r>
          </w:p>
        </w:tc>
        <w:tc>
          <w:tcPr>
            <w:tcW w:w="87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477</w:t>
            </w:r>
          </w:p>
        </w:tc>
        <w:tc>
          <w:tcPr>
            <w:tcW w:w="878" w:type="dxa"/>
            <w:tcBorders>
              <w:top w:val="nil"/>
              <w:left w:val="nil"/>
              <w:bottom w:val="single" w:sz="4" w:space="0" w:color="auto"/>
              <w:right w:val="single" w:sz="8"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7 136</w:t>
            </w:r>
          </w:p>
        </w:tc>
      </w:tr>
    </w:tbl>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Vysvetlivky:</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w:t>
      </w:r>
      <w:r w:rsidRPr="00EF2265">
        <w:rPr>
          <w:rFonts w:ascii="Times New Roman" w:eastAsia="Times New Roman" w:hAnsi="Times New Roman"/>
          <w:sz w:val="20"/>
          <w:szCs w:val="20"/>
          <w:vertAlign w:val="subscript"/>
          <w:lang w:eastAsia="sk-SK"/>
        </w:rPr>
        <w:t>Z</w:t>
      </w:r>
      <w:r w:rsidRPr="00EF2265">
        <w:rPr>
          <w:rFonts w:ascii="Times New Roman" w:eastAsia="Times New Roman" w:hAnsi="Times New Roman"/>
          <w:sz w:val="20"/>
          <w:szCs w:val="20"/>
          <w:lang w:eastAsia="sk-SK"/>
        </w:rPr>
        <w:t xml:space="preserve"> -  celkový počet zapísaných študentov na prvom stupni štúdia k 31. 10. 2017</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Celkový </w:t>
      </w:r>
      <w:r w:rsidRPr="00EF2265">
        <w:rPr>
          <w:rFonts w:ascii="Times New Roman" w:hAnsi="Times New Roman"/>
          <w:b/>
          <w:sz w:val="20"/>
          <w:szCs w:val="20"/>
        </w:rPr>
        <w:t>počet zapísaných študentov na prvom stupni</w:t>
      </w:r>
      <w:r w:rsidRPr="00EF2265">
        <w:rPr>
          <w:rFonts w:ascii="Times New Roman" w:hAnsi="Times New Roman"/>
          <w:sz w:val="20"/>
          <w:szCs w:val="20"/>
        </w:rPr>
        <w:t xml:space="preserve"> </w:t>
      </w:r>
      <w:r w:rsidRPr="00EF2265">
        <w:rPr>
          <w:rFonts w:ascii="Times New Roman" w:hAnsi="Times New Roman"/>
          <w:b/>
          <w:sz w:val="20"/>
          <w:szCs w:val="20"/>
        </w:rPr>
        <w:t>štúdia</w:t>
      </w:r>
      <w:r w:rsidRPr="00EF2265">
        <w:rPr>
          <w:rFonts w:ascii="Times New Roman" w:hAnsi="Times New Roman"/>
          <w:sz w:val="20"/>
          <w:szCs w:val="20"/>
        </w:rPr>
        <w:t xml:space="preserve"> v dennej forme v akademickom roku 2017/2018 bol </w:t>
      </w:r>
      <w:r w:rsidRPr="00EF2265">
        <w:rPr>
          <w:rFonts w:ascii="Times New Roman" w:hAnsi="Times New Roman"/>
          <w:b/>
          <w:sz w:val="20"/>
          <w:szCs w:val="20"/>
        </w:rPr>
        <w:t>7 136 študentov</w:t>
      </w:r>
      <w:r w:rsidRPr="00EF2265">
        <w:rPr>
          <w:rFonts w:ascii="Times New Roman" w:hAnsi="Times New Roman"/>
          <w:sz w:val="20"/>
          <w:szCs w:val="20"/>
        </w:rPr>
        <w:t xml:space="preserve">. Z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_Ref474776799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10</w:t>
      </w:r>
      <w:r w:rsidRPr="00EF2265">
        <w:rPr>
          <w:rFonts w:ascii="Times New Roman" w:hAnsi="Times New Roman"/>
          <w:sz w:val="20"/>
          <w:szCs w:val="20"/>
        </w:rPr>
        <w:fldChar w:fldCharType="end"/>
      </w:r>
      <w:r w:rsidRPr="00EF2265">
        <w:rPr>
          <w:rFonts w:ascii="Times New Roman" w:hAnsi="Times New Roman"/>
          <w:sz w:val="20"/>
          <w:szCs w:val="20"/>
        </w:rPr>
        <w:t xml:space="preserve"> je možné pozorovať percentuálny úbytok študentov na prvom stupni po prvých dvoch rokoch štúdia. Je zrejmé, že prvý rok štúdia je pre študentov kritický z hľadiska ich úspešného zotrvania v štúdiu, pretože </w:t>
      </w:r>
      <w:r w:rsidRPr="00EF2265">
        <w:rPr>
          <w:rFonts w:ascii="Times New Roman" w:hAnsi="Times New Roman"/>
          <w:b/>
          <w:sz w:val="20"/>
          <w:szCs w:val="20"/>
        </w:rPr>
        <w:t>48 %</w:t>
      </w:r>
      <w:r w:rsidRPr="00EF2265">
        <w:rPr>
          <w:rFonts w:ascii="Times New Roman" w:hAnsi="Times New Roman"/>
          <w:sz w:val="20"/>
          <w:szCs w:val="20"/>
        </w:rPr>
        <w:t xml:space="preserve"> študentov v priemere za univerzitu nezvládlo prvý rok štúdia v akademickom roku 2017/2018. Medzi najčastejšie príčiny úbytku študentov po prvom roku štúdia patria: dlhodobo nedostatočná príprava na strednej škole na štúdium technického zamerania (</w:t>
      </w:r>
      <w:r w:rsidRPr="00EF2265">
        <w:rPr>
          <w:rFonts w:ascii="Times New Roman" w:hAnsi="Times New Roman"/>
          <w:b/>
          <w:sz w:val="20"/>
          <w:szCs w:val="20"/>
        </w:rPr>
        <w:t>znižovanie rozsahu a úrovne výučby hlavne prírodovedných predmetov</w:t>
      </w:r>
      <w:r w:rsidRPr="00EF2265">
        <w:rPr>
          <w:rFonts w:ascii="Times New Roman" w:hAnsi="Times New Roman"/>
          <w:sz w:val="20"/>
          <w:szCs w:val="20"/>
        </w:rPr>
        <w:t xml:space="preserve">), </w:t>
      </w:r>
      <w:r w:rsidRPr="00EF2265">
        <w:rPr>
          <w:rFonts w:ascii="Times New Roman" w:hAnsi="Times New Roman"/>
          <w:b/>
          <w:sz w:val="20"/>
          <w:szCs w:val="20"/>
        </w:rPr>
        <w:t>dlhodobo</w:t>
      </w:r>
      <w:r w:rsidRPr="00EF2265">
        <w:rPr>
          <w:rFonts w:ascii="Times New Roman" w:hAnsi="Times New Roman"/>
          <w:sz w:val="20"/>
          <w:szCs w:val="20"/>
        </w:rPr>
        <w:t xml:space="preserve"> </w:t>
      </w:r>
      <w:r w:rsidRPr="00EF2265">
        <w:rPr>
          <w:rFonts w:ascii="Times New Roman" w:hAnsi="Times New Roman"/>
          <w:b/>
          <w:sz w:val="20"/>
          <w:szCs w:val="20"/>
        </w:rPr>
        <w:t xml:space="preserve">klesajúci počet študentov maturujúcich z matematiky </w:t>
      </w:r>
      <w:r w:rsidRPr="00EF2265">
        <w:rPr>
          <w:rFonts w:ascii="Times New Roman" w:hAnsi="Times New Roman"/>
          <w:sz w:val="20"/>
          <w:szCs w:val="20"/>
        </w:rPr>
        <w:t>(klesajúci trend študentov maturujúcich z matematiky je uvedený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_Ref474777735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23</w:t>
      </w:r>
      <w:r w:rsidRPr="00EF2265">
        <w:rPr>
          <w:rFonts w:ascii="Times New Roman" w:hAnsi="Times New Roman"/>
          <w:sz w:val="20"/>
          <w:szCs w:val="20"/>
        </w:rPr>
        <w:fldChar w:fldCharType="end"/>
      </w:r>
      <w:r w:rsidRPr="00EF2265">
        <w:rPr>
          <w:rFonts w:ascii="Times New Roman" w:hAnsi="Times New Roman"/>
          <w:sz w:val="20"/>
          <w:szCs w:val="20"/>
        </w:rPr>
        <w:t xml:space="preserve">) a tým aj slabšia pripravenosť na zvládnutie technických predmetov na vysokej škole, ďalej tiež zmena prostredia a iný systém vzdelávania na univerzite oproti stredoškolskému štúdiu. Významnú úlohu hrá aj fakt, že uchádzači sú prijímaní zväčša bez prijímacej skúšky. Zimný semester 1. ročníka tak predstavuje akési predĺženie prijímacieho konania, v ktorom si uchádzači overujú schopnosti a záujem o ďalšie štúdium.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Úbytok študentov po druhom roku štúdia je podstatne nižší – v priemere </w:t>
      </w:r>
      <w:r w:rsidRPr="00EF2265">
        <w:rPr>
          <w:rFonts w:ascii="Times New Roman" w:hAnsi="Times New Roman"/>
          <w:b/>
          <w:sz w:val="20"/>
          <w:szCs w:val="20"/>
        </w:rPr>
        <w:t>22 %</w:t>
      </w:r>
      <w:r w:rsidRPr="00EF2265">
        <w:rPr>
          <w:rFonts w:ascii="Times New Roman" w:hAnsi="Times New Roman"/>
          <w:sz w:val="20"/>
          <w:szCs w:val="20"/>
        </w:rPr>
        <w:t xml:space="preserve">. Častou príčinou zanechania alebo vylúčenia zo štúdia vo vyššom roku štúdia je práve neúspešné absolvovanie predmetov prenesených z prvého roku štúdia (opakovane zapísaných predmetov), čo len podčiarkuje kritickosť prvého roku štúdia na technickej univerzite.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porovnaní s akademickým rokom 2016/2017 úbytok študentov zaznamenal medziročný </w:t>
      </w:r>
      <w:r w:rsidRPr="00EF2265">
        <w:rPr>
          <w:rFonts w:ascii="Times New Roman" w:hAnsi="Times New Roman"/>
          <w:b/>
          <w:sz w:val="20"/>
          <w:szCs w:val="20"/>
        </w:rPr>
        <w:t>nárast</w:t>
      </w:r>
      <w:r w:rsidRPr="00EF2265">
        <w:rPr>
          <w:rFonts w:ascii="Times New Roman" w:hAnsi="Times New Roman"/>
          <w:sz w:val="20"/>
          <w:szCs w:val="20"/>
        </w:rPr>
        <w:t xml:space="preserve"> </w:t>
      </w:r>
      <w:r w:rsidRPr="00EF2265">
        <w:rPr>
          <w:rFonts w:ascii="Times New Roman" w:hAnsi="Times New Roman"/>
          <w:b/>
          <w:sz w:val="20"/>
          <w:szCs w:val="20"/>
        </w:rPr>
        <w:t>o 3 %</w:t>
      </w:r>
      <w:r w:rsidRPr="00EF2265">
        <w:rPr>
          <w:rFonts w:ascii="Times New Roman" w:hAnsi="Times New Roman"/>
          <w:sz w:val="20"/>
          <w:szCs w:val="20"/>
        </w:rPr>
        <w:t xml:space="preserve"> po prvom roku štúdia a zároveň </w:t>
      </w:r>
      <w:r w:rsidRPr="00EF2265">
        <w:rPr>
          <w:rFonts w:ascii="Times New Roman" w:hAnsi="Times New Roman"/>
          <w:b/>
          <w:sz w:val="20"/>
          <w:szCs w:val="20"/>
        </w:rPr>
        <w:t>pokles o 3 %</w:t>
      </w:r>
      <w:r w:rsidRPr="00EF2265">
        <w:rPr>
          <w:rFonts w:ascii="Times New Roman" w:hAnsi="Times New Roman"/>
          <w:sz w:val="20"/>
          <w:szCs w:val="20"/>
        </w:rPr>
        <w:t xml:space="preserve"> po druhom roku štúdia.</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Od akademického roku 2015/2016 sa na prvom stupni uskutočňuje len štúdium v dennej forme. Poslední študenti prijatí na externú formu štúdia skončili štúdium v akademickom roku 2014/2015. </w:t>
      </w:r>
    </w:p>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br w:type="page"/>
      </w:r>
    </w:p>
    <w:p w:rsidR="00AD09B4" w:rsidRPr="00EF2265" w:rsidRDefault="00AD09B4" w:rsidP="00E86605">
      <w:pPr>
        <w:pStyle w:val="Nadpis2"/>
        <w:numPr>
          <w:ilvl w:val="2"/>
          <w:numId w:val="7"/>
        </w:numPr>
        <w:tabs>
          <w:tab w:val="left" w:pos="9356"/>
        </w:tabs>
        <w:rPr>
          <w:rFonts w:ascii="Times New Roman" w:hAnsi="Times New Roman" w:cs="Times New Roman"/>
          <w:color w:val="auto"/>
          <w:sz w:val="20"/>
          <w:szCs w:val="20"/>
        </w:rPr>
      </w:pPr>
      <w:bookmarkStart w:id="36" w:name="_Toc534722877"/>
      <w:r w:rsidRPr="00EF2265">
        <w:rPr>
          <w:rFonts w:ascii="Times New Roman" w:hAnsi="Times New Roman" w:cs="Times New Roman"/>
          <w:color w:val="auto"/>
          <w:sz w:val="20"/>
          <w:szCs w:val="20"/>
        </w:rPr>
        <w:lastRenderedPageBreak/>
        <w:t>Druhý stupeň štúdia - počet a úbytok študentov</w:t>
      </w:r>
      <w:bookmarkEnd w:id="36"/>
    </w:p>
    <w:p w:rsidR="00AD09B4" w:rsidRPr="00EF2265" w:rsidRDefault="00AD09B4" w:rsidP="00E86605">
      <w:pPr>
        <w:tabs>
          <w:tab w:val="left" w:pos="9356"/>
        </w:tabs>
        <w:jc w:val="left"/>
        <w:rPr>
          <w:rFonts w:ascii="Times New Roman" w:hAnsi="Times New Roman"/>
          <w:sz w:val="20"/>
          <w:szCs w:val="20"/>
        </w:rPr>
      </w:pPr>
      <w:bookmarkStart w:id="37" w:name="_Ref474776814"/>
      <w:bookmarkStart w:id="38" w:name="_Toc534793950"/>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11</w:t>
      </w:r>
      <w:r w:rsidRPr="00EF2265">
        <w:rPr>
          <w:rFonts w:ascii="Times New Roman" w:hAnsi="Times New Roman"/>
          <w:sz w:val="20"/>
          <w:szCs w:val="20"/>
        </w:rPr>
        <w:fldChar w:fldCharType="end"/>
      </w:r>
      <w:bookmarkEnd w:id="37"/>
      <w:r w:rsidRPr="00EF2265">
        <w:rPr>
          <w:rFonts w:ascii="Times New Roman" w:hAnsi="Times New Roman"/>
          <w:sz w:val="20"/>
          <w:szCs w:val="20"/>
        </w:rPr>
        <w:t xml:space="preserve">: Počet a úbytok študentov </w:t>
      </w:r>
      <w:r w:rsidRPr="00EF2265">
        <w:rPr>
          <w:rFonts w:ascii="Times New Roman" w:hAnsi="Times New Roman"/>
          <w:b/>
          <w:sz w:val="20"/>
          <w:szCs w:val="20"/>
        </w:rPr>
        <w:t>druhého stupňa štúdia v dennej forme</w:t>
      </w:r>
      <w:r w:rsidRPr="00EF2265">
        <w:rPr>
          <w:rFonts w:ascii="Times New Roman" w:hAnsi="Times New Roman"/>
          <w:sz w:val="20"/>
          <w:szCs w:val="20"/>
        </w:rPr>
        <w:t xml:space="preserve"> v akademickom roku 2017/2018</w:t>
      </w:r>
      <w:bookmarkEnd w:id="38"/>
      <w:r w:rsidRPr="00EF2265">
        <w:rPr>
          <w:rFonts w:ascii="Times New Roman" w:hAnsi="Times New Roman"/>
          <w:sz w:val="20"/>
          <w:szCs w:val="20"/>
        </w:rPr>
        <w:t xml:space="preserve"> </w:t>
      </w:r>
    </w:p>
    <w:tbl>
      <w:tblPr>
        <w:tblW w:w="8237" w:type="dxa"/>
        <w:tblInd w:w="55" w:type="dxa"/>
        <w:tblCellMar>
          <w:left w:w="70" w:type="dxa"/>
          <w:right w:w="70" w:type="dxa"/>
        </w:tblCellMar>
        <w:tblLook w:val="04A0" w:firstRow="1" w:lastRow="0" w:firstColumn="1" w:lastColumn="0" w:noHBand="0" w:noVBand="1"/>
      </w:tblPr>
      <w:tblGrid>
        <w:gridCol w:w="960"/>
        <w:gridCol w:w="980"/>
        <w:gridCol w:w="1463"/>
        <w:gridCol w:w="1148"/>
        <w:gridCol w:w="1418"/>
        <w:gridCol w:w="1134"/>
        <w:gridCol w:w="1134"/>
      </w:tblGrid>
      <w:tr w:rsidR="00AD09B4" w:rsidRPr="00EF2265" w:rsidTr="00351A8A">
        <w:trPr>
          <w:trHeight w:val="20"/>
        </w:trPr>
        <w:tc>
          <w:tcPr>
            <w:tcW w:w="960" w:type="dxa"/>
            <w:vMerge w:val="restart"/>
            <w:tcBorders>
              <w:top w:val="single" w:sz="4" w:space="0" w:color="auto"/>
              <w:left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Fakulta</w:t>
            </w:r>
          </w:p>
        </w:tc>
        <w:tc>
          <w:tcPr>
            <w:tcW w:w="2443" w:type="dxa"/>
            <w:gridSpan w:val="2"/>
            <w:tcBorders>
              <w:top w:val="single" w:sz="4" w:space="0" w:color="auto"/>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 ročník</w:t>
            </w:r>
          </w:p>
        </w:tc>
        <w:tc>
          <w:tcPr>
            <w:tcW w:w="2566" w:type="dxa"/>
            <w:gridSpan w:val="2"/>
            <w:tcBorders>
              <w:top w:val="single" w:sz="4" w:space="0" w:color="auto"/>
              <w:left w:val="nil"/>
              <w:bottom w:val="single" w:sz="4" w:space="0" w:color="auto"/>
              <w:right w:val="single" w:sz="4" w:space="0" w:color="000000"/>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 ročník</w:t>
            </w:r>
          </w:p>
        </w:tc>
        <w:tc>
          <w:tcPr>
            <w:tcW w:w="1134" w:type="dxa"/>
            <w:vMerge w:val="restart"/>
            <w:tcBorders>
              <w:top w:val="single" w:sz="4" w:space="0" w:color="auto"/>
              <w:left w:val="single" w:sz="4" w:space="0" w:color="auto"/>
              <w:right w:val="single" w:sz="4" w:space="0" w:color="auto"/>
            </w:tcBorders>
            <w:shd w:val="clear" w:color="000000" w:fill="FFFFFF"/>
            <w:vAlign w:val="center"/>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 ročník</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w:t>
            </w:r>
            <w:r w:rsidRPr="00EF2265">
              <w:rPr>
                <w:rFonts w:ascii="Times New Roman" w:eastAsia="Times New Roman" w:hAnsi="Times New Roman"/>
                <w:b/>
                <w:bCs/>
                <w:sz w:val="20"/>
                <w:szCs w:val="20"/>
                <w:vertAlign w:val="subscript"/>
                <w:lang w:eastAsia="sk-SK"/>
              </w:rPr>
              <w:t>Z</w:t>
            </w:r>
          </w:p>
        </w:tc>
      </w:tr>
      <w:tr w:rsidR="00AD09B4" w:rsidRPr="00EF2265" w:rsidTr="00351A8A">
        <w:trPr>
          <w:trHeight w:val="20"/>
        </w:trPr>
        <w:tc>
          <w:tcPr>
            <w:tcW w:w="960" w:type="dxa"/>
            <w:vMerge/>
            <w:tcBorders>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8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zapísaní</w:t>
            </w:r>
          </w:p>
        </w:tc>
        <w:tc>
          <w:tcPr>
            <w:tcW w:w="146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 toho úbytok po 1. roč.</w:t>
            </w:r>
          </w:p>
        </w:tc>
        <w:tc>
          <w:tcPr>
            <w:tcW w:w="114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zapísaní</w:t>
            </w:r>
          </w:p>
        </w:tc>
        <w:tc>
          <w:tcPr>
            <w:tcW w:w="141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 toho úbytok po 2. roč.</w:t>
            </w:r>
          </w:p>
        </w:tc>
        <w:tc>
          <w:tcPr>
            <w:tcW w:w="1134" w:type="dxa"/>
            <w:vMerge/>
            <w:tcBorders>
              <w:left w:val="single" w:sz="4" w:space="0" w:color="auto"/>
              <w:bottom w:val="single" w:sz="4" w:space="0" w:color="auto"/>
              <w:right w:val="single" w:sz="4" w:space="0" w:color="auto"/>
            </w:tcBorders>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r>
      <w:tr w:rsidR="00AD09B4" w:rsidRPr="00EF2265" w:rsidTr="00351A8A">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98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351</w:t>
            </w:r>
          </w:p>
        </w:tc>
        <w:tc>
          <w:tcPr>
            <w:tcW w:w="146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114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467</w:t>
            </w:r>
          </w:p>
        </w:tc>
        <w:tc>
          <w:tcPr>
            <w:tcW w:w="141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818</w:t>
            </w:r>
          </w:p>
        </w:tc>
      </w:tr>
      <w:tr w:rsidR="00AD09B4" w:rsidRPr="00EF2265" w:rsidTr="00351A8A">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98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135</w:t>
            </w:r>
          </w:p>
        </w:tc>
        <w:tc>
          <w:tcPr>
            <w:tcW w:w="146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114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w:t>
            </w:r>
          </w:p>
        </w:tc>
        <w:tc>
          <w:tcPr>
            <w:tcW w:w="141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1134" w:type="dxa"/>
            <w:tcBorders>
              <w:top w:val="single" w:sz="4" w:space="0" w:color="auto"/>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336</w:t>
            </w:r>
          </w:p>
        </w:tc>
      </w:tr>
      <w:tr w:rsidR="00AD09B4" w:rsidRPr="00EF2265" w:rsidTr="00351A8A">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98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265</w:t>
            </w:r>
          </w:p>
        </w:tc>
        <w:tc>
          <w:tcPr>
            <w:tcW w:w="146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114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391</w:t>
            </w:r>
          </w:p>
        </w:tc>
        <w:tc>
          <w:tcPr>
            <w:tcW w:w="141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656</w:t>
            </w:r>
          </w:p>
        </w:tc>
      </w:tr>
      <w:tr w:rsidR="00AD09B4" w:rsidRPr="00EF2265" w:rsidTr="00351A8A">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98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215</w:t>
            </w:r>
          </w:p>
        </w:tc>
        <w:tc>
          <w:tcPr>
            <w:tcW w:w="146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114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287</w:t>
            </w:r>
          </w:p>
        </w:tc>
        <w:tc>
          <w:tcPr>
            <w:tcW w:w="141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502</w:t>
            </w:r>
          </w:p>
        </w:tc>
      </w:tr>
      <w:tr w:rsidR="00AD09B4" w:rsidRPr="00EF2265" w:rsidTr="00351A8A">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98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135</w:t>
            </w:r>
          </w:p>
        </w:tc>
        <w:tc>
          <w:tcPr>
            <w:tcW w:w="146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114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127</w:t>
            </w:r>
          </w:p>
        </w:tc>
        <w:tc>
          <w:tcPr>
            <w:tcW w:w="141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262</w:t>
            </w:r>
          </w:p>
        </w:tc>
      </w:tr>
      <w:tr w:rsidR="00AD09B4" w:rsidRPr="00EF2265" w:rsidTr="00351A8A">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98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362</w:t>
            </w:r>
          </w:p>
        </w:tc>
        <w:tc>
          <w:tcPr>
            <w:tcW w:w="146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w:t>
            </w:r>
          </w:p>
        </w:tc>
        <w:tc>
          <w:tcPr>
            <w:tcW w:w="114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492</w:t>
            </w:r>
          </w:p>
        </w:tc>
        <w:tc>
          <w:tcPr>
            <w:tcW w:w="141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1134" w:type="dxa"/>
            <w:tcBorders>
              <w:top w:val="single" w:sz="4" w:space="0" w:color="auto"/>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854</w:t>
            </w:r>
          </w:p>
        </w:tc>
      </w:tr>
      <w:tr w:rsidR="00AD09B4" w:rsidRPr="00EF2265" w:rsidTr="00351A8A">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98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193</w:t>
            </w:r>
          </w:p>
        </w:tc>
        <w:tc>
          <w:tcPr>
            <w:tcW w:w="146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114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155</w:t>
            </w:r>
          </w:p>
        </w:tc>
        <w:tc>
          <w:tcPr>
            <w:tcW w:w="141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1134" w:type="dxa"/>
            <w:tcBorders>
              <w:top w:val="single" w:sz="4" w:space="0" w:color="auto"/>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348</w:t>
            </w:r>
          </w:p>
        </w:tc>
      </w:tr>
      <w:tr w:rsidR="00AD09B4" w:rsidRPr="00EF2265" w:rsidTr="00351A8A">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98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146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4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w:t>
            </w:r>
          </w:p>
        </w:tc>
        <w:tc>
          <w:tcPr>
            <w:tcW w:w="141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39</w:t>
            </w:r>
          </w:p>
        </w:tc>
      </w:tr>
      <w:tr w:rsidR="00AD09B4" w:rsidRPr="00EF2265" w:rsidTr="00351A8A">
        <w:trPr>
          <w:trHeight w:val="20"/>
        </w:trPr>
        <w:tc>
          <w:tcPr>
            <w:tcW w:w="960" w:type="dxa"/>
            <w:tcBorders>
              <w:top w:val="nil"/>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98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1 674</w:t>
            </w:r>
          </w:p>
        </w:tc>
        <w:tc>
          <w:tcPr>
            <w:tcW w:w="146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w:t>
            </w:r>
          </w:p>
        </w:tc>
        <w:tc>
          <w:tcPr>
            <w:tcW w:w="114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2 141</w:t>
            </w:r>
          </w:p>
        </w:tc>
        <w:tc>
          <w:tcPr>
            <w:tcW w:w="141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w:t>
            </w:r>
          </w:p>
        </w:tc>
        <w:tc>
          <w:tcPr>
            <w:tcW w:w="1134" w:type="dxa"/>
            <w:tcBorders>
              <w:top w:val="single" w:sz="4" w:space="0" w:color="auto"/>
              <w:left w:val="nil"/>
              <w:bottom w:val="single" w:sz="4" w:space="0" w:color="auto"/>
              <w:right w:val="single" w:sz="4" w:space="0" w:color="auto"/>
            </w:tcBorders>
            <w:shd w:val="clear" w:color="auto" w:fill="EEECE1" w:themeFill="background2"/>
            <w:vAlign w:val="center"/>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w:t>
            </w:r>
          </w:p>
        </w:tc>
        <w:tc>
          <w:tcPr>
            <w:tcW w:w="1134" w:type="dxa"/>
            <w:tcBorders>
              <w:top w:val="nil"/>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3 815</w:t>
            </w:r>
          </w:p>
        </w:tc>
      </w:tr>
    </w:tbl>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Vysvetlivky:</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w:t>
      </w:r>
      <w:r w:rsidRPr="00EF2265">
        <w:rPr>
          <w:rFonts w:ascii="Times New Roman" w:eastAsia="Times New Roman" w:hAnsi="Times New Roman"/>
          <w:sz w:val="20"/>
          <w:szCs w:val="20"/>
          <w:vertAlign w:val="subscript"/>
          <w:lang w:eastAsia="sk-SK"/>
        </w:rPr>
        <w:t xml:space="preserve">Z </w:t>
      </w:r>
      <w:r w:rsidRPr="00EF2265">
        <w:rPr>
          <w:rFonts w:ascii="Times New Roman" w:eastAsia="Times New Roman" w:hAnsi="Times New Roman"/>
          <w:sz w:val="20"/>
          <w:szCs w:val="20"/>
          <w:lang w:eastAsia="sk-SK"/>
        </w:rPr>
        <w:t>-  celkový počet zapísaných študentov na druhom stupni štúdia stav k 31. 10. 2017</w:t>
      </w:r>
    </w:p>
    <w:p w:rsidR="00AD09B4" w:rsidRPr="00EF2265" w:rsidRDefault="00AD09B4" w:rsidP="00E86605">
      <w:pPr>
        <w:tabs>
          <w:tab w:val="left" w:pos="9356"/>
        </w:tabs>
        <w:jc w:val="left"/>
        <w:rPr>
          <w:rFonts w:ascii="Times New Roman" w:eastAsia="Times New Roman" w:hAnsi="Times New Roman"/>
          <w:sz w:val="20"/>
          <w:szCs w:val="20"/>
          <w:lang w:eastAsia="sk-SK"/>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Celkový </w:t>
      </w:r>
      <w:r w:rsidRPr="00EF2265">
        <w:rPr>
          <w:rFonts w:ascii="Times New Roman" w:hAnsi="Times New Roman"/>
          <w:b/>
          <w:sz w:val="20"/>
          <w:szCs w:val="20"/>
        </w:rPr>
        <w:t>počet zapísaných študentov na druhom stupni štúdia</w:t>
      </w:r>
      <w:r w:rsidRPr="00EF2265">
        <w:rPr>
          <w:rFonts w:ascii="Times New Roman" w:hAnsi="Times New Roman"/>
          <w:sz w:val="20"/>
          <w:szCs w:val="20"/>
        </w:rPr>
        <w:t xml:space="preserve"> v dennej forme v akademickom roku 2017/2018 bol </w:t>
      </w:r>
      <w:r w:rsidRPr="00EF2265">
        <w:rPr>
          <w:rFonts w:ascii="Times New Roman" w:hAnsi="Times New Roman"/>
          <w:b/>
          <w:sz w:val="20"/>
          <w:szCs w:val="20"/>
        </w:rPr>
        <w:t>3 815 študentov, čo predstavuje pokles oproti akad. roku 2015/2016 o 9 %</w:t>
      </w:r>
      <w:r w:rsidRPr="00EF2265">
        <w:rPr>
          <w:rFonts w:ascii="Times New Roman" w:hAnsi="Times New Roman"/>
          <w:sz w:val="20"/>
          <w:szCs w:val="20"/>
        </w:rPr>
        <w:t>. Z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_Ref474776814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11</w:t>
      </w:r>
      <w:r w:rsidRPr="00EF2265">
        <w:rPr>
          <w:rFonts w:ascii="Times New Roman" w:hAnsi="Times New Roman"/>
          <w:sz w:val="20"/>
          <w:szCs w:val="20"/>
        </w:rPr>
        <w:fldChar w:fldCharType="end"/>
      </w:r>
      <w:r w:rsidRPr="00EF2265">
        <w:rPr>
          <w:rFonts w:ascii="Times New Roman" w:hAnsi="Times New Roman"/>
          <w:sz w:val="20"/>
          <w:szCs w:val="20"/>
        </w:rPr>
        <w:t xml:space="preserve"> je možné pozorovať, že úbytok študentov nie je až taký výrazný ako na prvom stupni štúdia, po prvom aj po druhom roku štúdia predstavuje v priemere </w:t>
      </w:r>
      <w:r w:rsidRPr="00EF2265">
        <w:rPr>
          <w:rFonts w:ascii="Times New Roman" w:hAnsi="Times New Roman"/>
          <w:b/>
          <w:sz w:val="20"/>
          <w:szCs w:val="20"/>
        </w:rPr>
        <w:t>7 %</w:t>
      </w:r>
      <w:r w:rsidRPr="00EF2265">
        <w:rPr>
          <w:rFonts w:ascii="Times New Roman" w:hAnsi="Times New Roman"/>
          <w:sz w:val="20"/>
          <w:szCs w:val="20"/>
        </w:rPr>
        <w:t xml:space="preserve">. Dôvody úbytku sú hlavne v osobnej rovine študentov (napr. nájdenie si zamestnania). Ďalším faktom je, že vzťah k štúdiu a motivácia úspešne skončiť štúdium je u študentov druhého stupňa vyššia ako u študentov prvého stupňa štúdia.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V porovnaní s akademickým rokom 2016/2017 úbytok študentov zaznamenal medziročný </w:t>
      </w:r>
      <w:r w:rsidRPr="00EF2265">
        <w:rPr>
          <w:rFonts w:ascii="Times New Roman" w:hAnsi="Times New Roman"/>
          <w:b/>
          <w:sz w:val="20"/>
          <w:szCs w:val="20"/>
        </w:rPr>
        <w:t>pokles o 1 %</w:t>
      </w:r>
      <w:r w:rsidRPr="00EF2265">
        <w:rPr>
          <w:rFonts w:ascii="Times New Roman" w:hAnsi="Times New Roman"/>
          <w:sz w:val="20"/>
          <w:szCs w:val="20"/>
        </w:rPr>
        <w:t xml:space="preserve"> po prvom roku štúdia </w:t>
      </w:r>
      <w:r w:rsidRPr="00EF2265">
        <w:rPr>
          <w:rFonts w:ascii="Times New Roman" w:hAnsi="Times New Roman"/>
          <w:b/>
          <w:sz w:val="20"/>
          <w:szCs w:val="20"/>
        </w:rPr>
        <w:t>a nárast o 2 %</w:t>
      </w:r>
      <w:r w:rsidRPr="00EF2265">
        <w:rPr>
          <w:rFonts w:ascii="Times New Roman" w:hAnsi="Times New Roman"/>
          <w:sz w:val="20"/>
          <w:szCs w:val="20"/>
        </w:rPr>
        <w:t xml:space="preserve"> po druhom roku štúdia.</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Od akademického roku 2012/2013 sa na druhom stupni uskutočňuje len štúdium v dennej forme. Poslední študenti prijatí na externú formu štúdia skončili štúdium v akademickom roku 2011/2012.</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pStyle w:val="Nadpis2"/>
        <w:numPr>
          <w:ilvl w:val="2"/>
          <w:numId w:val="7"/>
        </w:numPr>
        <w:tabs>
          <w:tab w:val="left" w:pos="9356"/>
        </w:tabs>
        <w:rPr>
          <w:rFonts w:ascii="Times New Roman" w:hAnsi="Times New Roman" w:cs="Times New Roman"/>
          <w:color w:val="auto"/>
          <w:sz w:val="20"/>
          <w:szCs w:val="20"/>
        </w:rPr>
      </w:pPr>
      <w:bookmarkStart w:id="39" w:name="_Toc534722878"/>
      <w:r w:rsidRPr="00EF2265">
        <w:rPr>
          <w:rFonts w:ascii="Times New Roman" w:hAnsi="Times New Roman" w:cs="Times New Roman"/>
          <w:color w:val="auto"/>
          <w:sz w:val="20"/>
          <w:szCs w:val="20"/>
        </w:rPr>
        <w:t>Tretí stupeň štúdia - počet a úbytok študentov</w:t>
      </w:r>
      <w:bookmarkEnd w:id="39"/>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Prehľad počtu študentov tretieho stupňa štúdia a úbytok v jednotlivých rokoch štúdia v dennej a externej forme štúdia je uvedený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_Ref474776899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12</w:t>
      </w:r>
      <w:r w:rsidRPr="00EF2265">
        <w:rPr>
          <w:rFonts w:ascii="Times New Roman" w:hAnsi="Times New Roman"/>
          <w:sz w:val="20"/>
          <w:szCs w:val="20"/>
        </w:rPr>
        <w:fldChar w:fldCharType="end"/>
      </w:r>
      <w:r w:rsidRPr="00EF2265">
        <w:rPr>
          <w:rFonts w:ascii="Times New Roman" w:hAnsi="Times New Roman"/>
          <w:sz w:val="20"/>
          <w:szCs w:val="20"/>
        </w:rPr>
        <w:t xml:space="preserve"> a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_Ref474776914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13</w:t>
      </w:r>
      <w:r w:rsidRPr="00EF2265">
        <w:rPr>
          <w:rFonts w:ascii="Times New Roman" w:hAnsi="Times New Roman"/>
          <w:sz w:val="20"/>
          <w:szCs w:val="20"/>
        </w:rPr>
        <w:fldChar w:fldCharType="end"/>
      </w:r>
      <w:r w:rsidRPr="00EF2265">
        <w:rPr>
          <w:rFonts w:ascii="Times New Roman" w:hAnsi="Times New Roman"/>
          <w:sz w:val="20"/>
          <w:szCs w:val="20"/>
        </w:rPr>
        <w:t xml:space="preserve">.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Celkový </w:t>
      </w:r>
      <w:r w:rsidRPr="00EF2265">
        <w:rPr>
          <w:rFonts w:ascii="Times New Roman" w:hAnsi="Times New Roman"/>
          <w:b/>
          <w:sz w:val="20"/>
          <w:szCs w:val="20"/>
        </w:rPr>
        <w:t>počet zapísaných študentov na treťom stupni štúdia</w:t>
      </w:r>
      <w:r w:rsidRPr="00EF2265">
        <w:rPr>
          <w:rFonts w:ascii="Times New Roman" w:hAnsi="Times New Roman"/>
          <w:sz w:val="20"/>
          <w:szCs w:val="20"/>
        </w:rPr>
        <w:t xml:space="preserve"> v dennej forme a externej forme v akademickom roku 2017/2018 bol </w:t>
      </w:r>
      <w:r w:rsidRPr="00EF2265">
        <w:rPr>
          <w:rFonts w:ascii="Times New Roman" w:hAnsi="Times New Roman"/>
          <w:b/>
          <w:sz w:val="20"/>
          <w:szCs w:val="20"/>
        </w:rPr>
        <w:t xml:space="preserve">797 študentov </w:t>
      </w:r>
      <w:r w:rsidRPr="00EF2265">
        <w:rPr>
          <w:rFonts w:ascii="Times New Roman" w:hAnsi="Times New Roman"/>
          <w:sz w:val="20"/>
          <w:szCs w:val="20"/>
        </w:rPr>
        <w:t xml:space="preserve">vrátane študentov prihlásených na tému dizertačnej práce vypísanú externou vzdelávacou inštitúciou (ďalej len „EVI“). </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40" w:name="_Ref474776899"/>
      <w:bookmarkStart w:id="41" w:name="_Toc534793951"/>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12</w:t>
      </w:r>
      <w:r w:rsidRPr="00EF2265">
        <w:rPr>
          <w:rFonts w:ascii="Times New Roman" w:hAnsi="Times New Roman"/>
          <w:sz w:val="20"/>
          <w:szCs w:val="20"/>
        </w:rPr>
        <w:fldChar w:fldCharType="end"/>
      </w:r>
      <w:bookmarkEnd w:id="40"/>
      <w:r w:rsidRPr="00EF2265">
        <w:rPr>
          <w:rFonts w:ascii="Times New Roman" w:hAnsi="Times New Roman"/>
          <w:sz w:val="20"/>
          <w:szCs w:val="20"/>
        </w:rPr>
        <w:t xml:space="preserve">: Počet a úbytok študentov </w:t>
      </w:r>
      <w:r w:rsidRPr="00EF2265">
        <w:rPr>
          <w:rFonts w:ascii="Times New Roman" w:hAnsi="Times New Roman"/>
          <w:b/>
          <w:sz w:val="20"/>
          <w:szCs w:val="20"/>
        </w:rPr>
        <w:t>tretieho stupňa štúdia v dennej forme</w:t>
      </w:r>
      <w:r w:rsidRPr="00EF2265">
        <w:rPr>
          <w:rFonts w:ascii="Times New Roman" w:hAnsi="Times New Roman"/>
          <w:sz w:val="20"/>
          <w:szCs w:val="20"/>
        </w:rPr>
        <w:t xml:space="preserve"> v akademickom roku 2017/2018</w:t>
      </w:r>
      <w:bookmarkEnd w:id="41"/>
    </w:p>
    <w:tbl>
      <w:tblPr>
        <w:tblW w:w="7670" w:type="dxa"/>
        <w:tblInd w:w="55" w:type="dxa"/>
        <w:tblLayout w:type="fixed"/>
        <w:tblCellMar>
          <w:left w:w="70" w:type="dxa"/>
          <w:right w:w="70" w:type="dxa"/>
        </w:tblCellMar>
        <w:tblLook w:val="04A0" w:firstRow="1" w:lastRow="0" w:firstColumn="1" w:lastColumn="0" w:noHBand="0" w:noVBand="1"/>
      </w:tblPr>
      <w:tblGrid>
        <w:gridCol w:w="866"/>
        <w:gridCol w:w="1059"/>
        <w:gridCol w:w="859"/>
        <w:gridCol w:w="960"/>
        <w:gridCol w:w="981"/>
        <w:gridCol w:w="982"/>
        <w:gridCol w:w="981"/>
        <w:gridCol w:w="982"/>
      </w:tblGrid>
      <w:tr w:rsidR="00AD09B4" w:rsidRPr="00EF2265" w:rsidTr="00351A8A">
        <w:trPr>
          <w:trHeight w:val="20"/>
        </w:trPr>
        <w:tc>
          <w:tcPr>
            <w:tcW w:w="866" w:type="dxa"/>
            <w:vMerge w:val="restart"/>
            <w:tcBorders>
              <w:top w:val="single" w:sz="4" w:space="0" w:color="auto"/>
              <w:left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Fakulta</w:t>
            </w:r>
          </w:p>
        </w:tc>
        <w:tc>
          <w:tcPr>
            <w:tcW w:w="2878" w:type="dxa"/>
            <w:gridSpan w:val="3"/>
            <w:tcBorders>
              <w:top w:val="single" w:sz="4" w:space="0" w:color="auto"/>
              <w:left w:val="nil"/>
              <w:bottom w:val="single" w:sz="4" w:space="0" w:color="auto"/>
              <w:right w:val="nil"/>
            </w:tcBorders>
            <w:shd w:val="clear" w:color="auto" w:fill="auto"/>
            <w:noWrap/>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Zapísaní študenti</w:t>
            </w:r>
          </w:p>
        </w:tc>
        <w:tc>
          <w:tcPr>
            <w:tcW w:w="3926"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 xml:space="preserve">Úbytok študentov </w:t>
            </w:r>
            <w:r w:rsidRPr="00EF2265">
              <w:rPr>
                <w:rFonts w:ascii="Times New Roman" w:eastAsia="Times New Roman" w:hAnsi="Times New Roman"/>
                <w:bCs/>
                <w:sz w:val="20"/>
                <w:szCs w:val="20"/>
                <w:lang w:eastAsia="sk-SK"/>
              </w:rPr>
              <w:t>(v absolútnych číslach)</w:t>
            </w:r>
          </w:p>
        </w:tc>
      </w:tr>
      <w:tr w:rsidR="00AD09B4" w:rsidRPr="00EF2265" w:rsidTr="00351A8A">
        <w:trPr>
          <w:trHeight w:val="20"/>
        </w:trPr>
        <w:tc>
          <w:tcPr>
            <w:tcW w:w="866" w:type="dxa"/>
            <w:vMerge/>
            <w:tcBorders>
              <w:left w:val="single" w:sz="4" w:space="0" w:color="auto"/>
              <w:bottom w:val="single" w:sz="4" w:space="0" w:color="auto"/>
              <w:right w:val="single" w:sz="4" w:space="0" w:color="auto"/>
            </w:tcBorders>
            <w:shd w:val="clear" w:color="000000" w:fill="FFFFFF"/>
            <w:vAlign w:val="center"/>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059"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na fakulte</w:t>
            </w:r>
          </w:p>
        </w:tc>
        <w:tc>
          <w:tcPr>
            <w:tcW w:w="859"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na EVI</w:t>
            </w:r>
          </w:p>
        </w:tc>
        <w:tc>
          <w:tcPr>
            <w:tcW w:w="960" w:type="dxa"/>
            <w:tcBorders>
              <w:top w:val="nil"/>
              <w:left w:val="nil"/>
              <w:bottom w:val="single" w:sz="4" w:space="0" w:color="auto"/>
              <w:right w:val="single" w:sz="4" w:space="0" w:color="auto"/>
            </w:tcBorders>
            <w:shd w:val="clear" w:color="auto" w:fill="EEECE1" w:themeFill="background2"/>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w:t>
            </w:r>
            <w:r w:rsidRPr="00EF2265">
              <w:rPr>
                <w:rFonts w:ascii="Times New Roman" w:hAnsi="Times New Roman"/>
                <w:sz w:val="20"/>
                <w:szCs w:val="20"/>
                <w:vertAlign w:val="subscript"/>
              </w:rPr>
              <w:t>z</w:t>
            </w:r>
          </w:p>
        </w:tc>
        <w:tc>
          <w:tcPr>
            <w:tcW w:w="981"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po 1. r.</w:t>
            </w:r>
          </w:p>
        </w:tc>
        <w:tc>
          <w:tcPr>
            <w:tcW w:w="982" w:type="dxa"/>
            <w:tcBorders>
              <w:top w:val="nil"/>
              <w:left w:val="nil"/>
              <w:bottom w:val="single" w:sz="4" w:space="0" w:color="auto"/>
              <w:right w:val="single" w:sz="4" w:space="0" w:color="auto"/>
            </w:tcBorders>
            <w:shd w:val="clear" w:color="auto" w:fill="auto"/>
            <w:noWrap/>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po 2. r.</w:t>
            </w:r>
          </w:p>
        </w:tc>
        <w:tc>
          <w:tcPr>
            <w:tcW w:w="981" w:type="dxa"/>
            <w:tcBorders>
              <w:top w:val="nil"/>
              <w:left w:val="nil"/>
              <w:bottom w:val="single" w:sz="4" w:space="0" w:color="auto"/>
              <w:right w:val="single" w:sz="4" w:space="0" w:color="auto"/>
            </w:tcBorders>
            <w:shd w:val="clear" w:color="auto" w:fill="auto"/>
            <w:noWrap/>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po 3.r.</w:t>
            </w:r>
          </w:p>
        </w:tc>
        <w:tc>
          <w:tcPr>
            <w:tcW w:w="982" w:type="dxa"/>
            <w:tcBorders>
              <w:top w:val="nil"/>
              <w:left w:val="nil"/>
              <w:bottom w:val="single" w:sz="4" w:space="0" w:color="auto"/>
              <w:right w:val="single" w:sz="4" w:space="0" w:color="auto"/>
            </w:tcBorders>
            <w:shd w:val="clear" w:color="auto" w:fill="auto"/>
            <w:noWrap/>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po 4.r.</w:t>
            </w:r>
          </w:p>
        </w:tc>
      </w:tr>
      <w:tr w:rsidR="00AD09B4" w:rsidRPr="00EF2265" w:rsidTr="00351A8A">
        <w:trPr>
          <w:trHeight w:val="20"/>
        </w:trPr>
        <w:tc>
          <w:tcPr>
            <w:tcW w:w="866" w:type="dxa"/>
            <w:tcBorders>
              <w:top w:val="nil"/>
              <w:left w:val="single" w:sz="4" w:space="0" w:color="auto"/>
              <w:bottom w:val="single" w:sz="4" w:space="0" w:color="auto"/>
              <w:right w:val="single" w:sz="4" w:space="0" w:color="auto"/>
            </w:tcBorders>
            <w:shd w:val="clear" w:color="000000" w:fill="FFFFFF"/>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10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145</w:t>
            </w:r>
          </w:p>
        </w:tc>
        <w:tc>
          <w:tcPr>
            <w:tcW w:w="8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960"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150</w:t>
            </w:r>
          </w:p>
        </w:tc>
        <w:tc>
          <w:tcPr>
            <w:tcW w:w="981"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F2265">
            <w:pPr>
              <w:ind w:leftChars="-12" w:left="-3" w:hangingChars="13" w:hanging="26"/>
              <w:jc w:val="left"/>
              <w:rPr>
                <w:rFonts w:ascii="Times New Roman" w:hAnsi="Times New Roman"/>
                <w:sz w:val="20"/>
                <w:szCs w:val="20"/>
              </w:rPr>
            </w:pPr>
            <w:r w:rsidRPr="00EF2265">
              <w:rPr>
                <w:rFonts w:ascii="Times New Roman" w:hAnsi="Times New Roman"/>
                <w:sz w:val="20"/>
                <w:szCs w:val="20"/>
              </w:rPr>
              <w:t>2</w:t>
            </w:r>
          </w:p>
        </w:tc>
        <w:tc>
          <w:tcPr>
            <w:tcW w:w="98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r>
      <w:tr w:rsidR="00AD09B4" w:rsidRPr="00EF2265" w:rsidTr="00351A8A">
        <w:trPr>
          <w:trHeight w:val="20"/>
        </w:trPr>
        <w:tc>
          <w:tcPr>
            <w:tcW w:w="866" w:type="dxa"/>
            <w:tcBorders>
              <w:top w:val="nil"/>
              <w:left w:val="single" w:sz="4" w:space="0" w:color="auto"/>
              <w:bottom w:val="single" w:sz="4" w:space="0" w:color="auto"/>
              <w:right w:val="single" w:sz="4" w:space="0" w:color="auto"/>
            </w:tcBorders>
            <w:shd w:val="clear" w:color="auto" w:fill="auto"/>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10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42</w:t>
            </w:r>
          </w:p>
        </w:tc>
        <w:tc>
          <w:tcPr>
            <w:tcW w:w="8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60"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42</w:t>
            </w:r>
          </w:p>
        </w:tc>
        <w:tc>
          <w:tcPr>
            <w:tcW w:w="981"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F2265">
            <w:pPr>
              <w:ind w:leftChars="-12" w:left="-3" w:hangingChars="13" w:hanging="26"/>
              <w:jc w:val="left"/>
              <w:rPr>
                <w:rFonts w:ascii="Times New Roman" w:hAnsi="Times New Roman"/>
                <w:sz w:val="20"/>
                <w:szCs w:val="20"/>
              </w:rPr>
            </w:pPr>
            <w:r w:rsidRPr="00EF2265">
              <w:rPr>
                <w:rFonts w:ascii="Times New Roman" w:hAnsi="Times New Roman"/>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20"/>
        </w:trPr>
        <w:tc>
          <w:tcPr>
            <w:tcW w:w="866" w:type="dxa"/>
            <w:tcBorders>
              <w:top w:val="nil"/>
              <w:left w:val="single" w:sz="4" w:space="0" w:color="auto"/>
              <w:bottom w:val="single" w:sz="4" w:space="0" w:color="auto"/>
              <w:right w:val="single" w:sz="4" w:space="0" w:color="auto"/>
            </w:tcBorders>
            <w:shd w:val="clear" w:color="auto" w:fill="auto"/>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10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65</w:t>
            </w:r>
          </w:p>
        </w:tc>
        <w:tc>
          <w:tcPr>
            <w:tcW w:w="8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960"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73</w:t>
            </w:r>
          </w:p>
        </w:tc>
        <w:tc>
          <w:tcPr>
            <w:tcW w:w="981" w:type="dxa"/>
            <w:tcBorders>
              <w:top w:val="nil"/>
              <w:left w:val="nil"/>
              <w:bottom w:val="single" w:sz="4" w:space="0" w:color="auto"/>
              <w:right w:val="single" w:sz="4" w:space="0" w:color="auto"/>
            </w:tcBorders>
            <w:shd w:val="clear" w:color="auto" w:fill="auto"/>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F2265">
            <w:pPr>
              <w:ind w:leftChars="-12" w:left="-3" w:hangingChars="13" w:hanging="26"/>
              <w:jc w:val="left"/>
              <w:rPr>
                <w:rFonts w:ascii="Times New Roman" w:hAnsi="Times New Roman"/>
                <w:sz w:val="20"/>
                <w:szCs w:val="20"/>
              </w:rPr>
            </w:pPr>
            <w:r w:rsidRPr="00EF2265">
              <w:rPr>
                <w:rFonts w:ascii="Times New Roman" w:hAnsi="Times New Roman"/>
                <w:sz w:val="20"/>
                <w:szCs w:val="20"/>
              </w:rPr>
              <w:t>3</w:t>
            </w:r>
          </w:p>
        </w:tc>
        <w:tc>
          <w:tcPr>
            <w:tcW w:w="98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20"/>
        </w:trPr>
        <w:tc>
          <w:tcPr>
            <w:tcW w:w="866" w:type="dxa"/>
            <w:tcBorders>
              <w:top w:val="nil"/>
              <w:left w:val="single" w:sz="4" w:space="0" w:color="auto"/>
              <w:bottom w:val="single" w:sz="4" w:space="0" w:color="auto"/>
              <w:right w:val="single" w:sz="4" w:space="0" w:color="auto"/>
            </w:tcBorders>
            <w:shd w:val="clear" w:color="auto" w:fill="auto"/>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10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106</w:t>
            </w:r>
          </w:p>
        </w:tc>
        <w:tc>
          <w:tcPr>
            <w:tcW w:w="8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w:t>
            </w:r>
          </w:p>
        </w:tc>
        <w:tc>
          <w:tcPr>
            <w:tcW w:w="960"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137</w:t>
            </w:r>
          </w:p>
        </w:tc>
        <w:tc>
          <w:tcPr>
            <w:tcW w:w="981"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F2265">
            <w:pPr>
              <w:ind w:leftChars="-12" w:left="-3" w:hangingChars="13" w:hanging="26"/>
              <w:jc w:val="left"/>
              <w:rPr>
                <w:rFonts w:ascii="Times New Roman" w:hAnsi="Times New Roman"/>
                <w:sz w:val="20"/>
                <w:szCs w:val="20"/>
              </w:rPr>
            </w:pPr>
            <w:r w:rsidRPr="00EF2265">
              <w:rPr>
                <w:rFonts w:ascii="Times New Roman" w:hAnsi="Times New Roman"/>
                <w:sz w:val="20"/>
                <w:szCs w:val="20"/>
              </w:rPr>
              <w:t>1</w:t>
            </w:r>
          </w:p>
        </w:tc>
        <w:tc>
          <w:tcPr>
            <w:tcW w:w="98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r>
      <w:tr w:rsidR="00AD09B4" w:rsidRPr="00EF2265" w:rsidTr="00351A8A">
        <w:trPr>
          <w:trHeight w:val="20"/>
        </w:trPr>
        <w:tc>
          <w:tcPr>
            <w:tcW w:w="866" w:type="dxa"/>
            <w:tcBorders>
              <w:top w:val="nil"/>
              <w:left w:val="single" w:sz="4" w:space="0" w:color="auto"/>
              <w:bottom w:val="single" w:sz="4" w:space="0" w:color="auto"/>
              <w:right w:val="single" w:sz="4" w:space="0" w:color="auto"/>
            </w:tcBorders>
            <w:shd w:val="clear" w:color="auto" w:fill="auto"/>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10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63</w:t>
            </w:r>
          </w:p>
        </w:tc>
        <w:tc>
          <w:tcPr>
            <w:tcW w:w="8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60"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63</w:t>
            </w:r>
          </w:p>
        </w:tc>
        <w:tc>
          <w:tcPr>
            <w:tcW w:w="981" w:type="dxa"/>
            <w:tcBorders>
              <w:top w:val="nil"/>
              <w:left w:val="nil"/>
              <w:bottom w:val="single" w:sz="4" w:space="0" w:color="auto"/>
              <w:right w:val="single" w:sz="4" w:space="0" w:color="auto"/>
            </w:tcBorders>
            <w:shd w:val="clear" w:color="auto" w:fill="auto"/>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F2265">
            <w:pPr>
              <w:ind w:leftChars="-12" w:left="-3" w:hangingChars="13" w:hanging="26"/>
              <w:jc w:val="left"/>
              <w:rPr>
                <w:rFonts w:ascii="Times New Roman" w:hAnsi="Times New Roman"/>
                <w:sz w:val="20"/>
                <w:szCs w:val="20"/>
              </w:rPr>
            </w:pPr>
            <w:r w:rsidRPr="00EF2265">
              <w:rPr>
                <w:rFonts w:ascii="Times New Roman" w:hAnsi="Times New Roman"/>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20"/>
        </w:trPr>
        <w:tc>
          <w:tcPr>
            <w:tcW w:w="866" w:type="dxa"/>
            <w:tcBorders>
              <w:top w:val="nil"/>
              <w:left w:val="single" w:sz="4" w:space="0" w:color="auto"/>
              <w:bottom w:val="single" w:sz="4" w:space="0" w:color="auto"/>
              <w:right w:val="single" w:sz="4" w:space="0" w:color="auto"/>
            </w:tcBorders>
            <w:shd w:val="clear" w:color="auto" w:fill="auto"/>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10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55</w:t>
            </w:r>
          </w:p>
        </w:tc>
        <w:tc>
          <w:tcPr>
            <w:tcW w:w="8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960"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59</w:t>
            </w:r>
          </w:p>
        </w:tc>
        <w:tc>
          <w:tcPr>
            <w:tcW w:w="981" w:type="dxa"/>
            <w:tcBorders>
              <w:top w:val="nil"/>
              <w:left w:val="nil"/>
              <w:bottom w:val="single" w:sz="4" w:space="0" w:color="auto"/>
              <w:right w:val="single" w:sz="4" w:space="0" w:color="auto"/>
            </w:tcBorders>
            <w:shd w:val="clear" w:color="auto" w:fill="auto"/>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F2265">
            <w:pPr>
              <w:ind w:leftChars="-12" w:left="-3" w:hangingChars="13" w:hanging="26"/>
              <w:jc w:val="left"/>
              <w:rPr>
                <w:rFonts w:ascii="Times New Roman" w:hAnsi="Times New Roman"/>
                <w:sz w:val="20"/>
                <w:szCs w:val="20"/>
              </w:rPr>
            </w:pPr>
            <w:r w:rsidRPr="00EF2265">
              <w:rPr>
                <w:rFonts w:ascii="Times New Roman" w:hAnsi="Times New Roman"/>
                <w:sz w:val="20"/>
                <w:szCs w:val="20"/>
              </w:rPr>
              <w:t>1</w:t>
            </w:r>
          </w:p>
        </w:tc>
        <w:tc>
          <w:tcPr>
            <w:tcW w:w="98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20"/>
        </w:trPr>
        <w:tc>
          <w:tcPr>
            <w:tcW w:w="866" w:type="dxa"/>
            <w:tcBorders>
              <w:top w:val="nil"/>
              <w:left w:val="single" w:sz="4" w:space="0" w:color="auto"/>
              <w:bottom w:val="single" w:sz="4" w:space="0" w:color="auto"/>
              <w:right w:val="single" w:sz="4" w:space="0" w:color="auto"/>
            </w:tcBorders>
            <w:shd w:val="clear" w:color="auto" w:fill="auto"/>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10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38</w:t>
            </w:r>
          </w:p>
        </w:tc>
        <w:tc>
          <w:tcPr>
            <w:tcW w:w="8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960"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39</w:t>
            </w:r>
          </w:p>
        </w:tc>
        <w:tc>
          <w:tcPr>
            <w:tcW w:w="981" w:type="dxa"/>
            <w:tcBorders>
              <w:top w:val="nil"/>
              <w:left w:val="nil"/>
              <w:bottom w:val="single" w:sz="4" w:space="0" w:color="auto"/>
              <w:right w:val="single" w:sz="4" w:space="0" w:color="auto"/>
            </w:tcBorders>
            <w:shd w:val="clear" w:color="auto" w:fill="auto"/>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F2265">
            <w:pPr>
              <w:ind w:leftChars="-12" w:left="-3" w:hangingChars="13" w:hanging="26"/>
              <w:jc w:val="left"/>
              <w:rPr>
                <w:rFonts w:ascii="Times New Roman" w:hAnsi="Times New Roman"/>
                <w:sz w:val="20"/>
                <w:szCs w:val="20"/>
              </w:rPr>
            </w:pPr>
            <w:r w:rsidRPr="00EF2265">
              <w:rPr>
                <w:rFonts w:ascii="Times New Roman" w:hAnsi="Times New Roman"/>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20"/>
        </w:trPr>
        <w:tc>
          <w:tcPr>
            <w:tcW w:w="866" w:type="dxa"/>
            <w:tcBorders>
              <w:top w:val="nil"/>
              <w:left w:val="single" w:sz="4" w:space="0" w:color="auto"/>
              <w:bottom w:val="single" w:sz="4" w:space="0" w:color="auto"/>
              <w:right w:val="single" w:sz="4" w:space="0" w:color="auto"/>
            </w:tcBorders>
            <w:shd w:val="clear" w:color="auto" w:fill="auto"/>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10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w:t>
            </w:r>
          </w:p>
        </w:tc>
        <w:tc>
          <w:tcPr>
            <w:tcW w:w="859" w:type="dxa"/>
            <w:tcBorders>
              <w:top w:val="nil"/>
              <w:left w:val="nil"/>
              <w:bottom w:val="single" w:sz="4" w:space="0" w:color="auto"/>
              <w:right w:val="single" w:sz="4" w:space="0" w:color="auto"/>
            </w:tcBorders>
            <w:shd w:val="clear" w:color="000000" w:fill="FFFFFF"/>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60"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13</w:t>
            </w:r>
          </w:p>
        </w:tc>
        <w:tc>
          <w:tcPr>
            <w:tcW w:w="981" w:type="dxa"/>
            <w:tcBorders>
              <w:top w:val="nil"/>
              <w:left w:val="nil"/>
              <w:bottom w:val="single" w:sz="4" w:space="0" w:color="auto"/>
              <w:right w:val="single" w:sz="4" w:space="0" w:color="auto"/>
            </w:tcBorders>
            <w:shd w:val="clear" w:color="auto" w:fill="auto"/>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F2265">
            <w:pPr>
              <w:ind w:leftChars="-12" w:left="-3" w:hangingChars="13" w:hanging="26"/>
              <w:jc w:val="left"/>
              <w:rPr>
                <w:rFonts w:ascii="Times New Roman" w:hAnsi="Times New Roman"/>
                <w:sz w:val="20"/>
                <w:szCs w:val="20"/>
              </w:rPr>
            </w:pPr>
            <w:r w:rsidRPr="00EF2265">
              <w:rPr>
                <w:rFonts w:ascii="Times New Roman" w:hAnsi="Times New Roman"/>
                <w:sz w:val="20"/>
                <w:szCs w:val="20"/>
              </w:rPr>
              <w:t>1</w:t>
            </w:r>
          </w:p>
        </w:tc>
        <w:tc>
          <w:tcPr>
            <w:tcW w:w="98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8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20"/>
        </w:trPr>
        <w:tc>
          <w:tcPr>
            <w:tcW w:w="866" w:type="dxa"/>
            <w:tcBorders>
              <w:top w:val="nil"/>
              <w:left w:val="single" w:sz="4" w:space="0" w:color="auto"/>
              <w:bottom w:val="single" w:sz="4" w:space="0" w:color="auto"/>
              <w:right w:val="single" w:sz="4" w:space="0" w:color="auto"/>
            </w:tcBorders>
            <w:shd w:val="clear" w:color="auto" w:fill="EEECE1" w:themeFill="background2"/>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1059"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527</w:t>
            </w:r>
          </w:p>
        </w:tc>
        <w:tc>
          <w:tcPr>
            <w:tcW w:w="859"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49</w:t>
            </w:r>
          </w:p>
        </w:tc>
        <w:tc>
          <w:tcPr>
            <w:tcW w:w="960"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576</w:t>
            </w:r>
          </w:p>
        </w:tc>
        <w:tc>
          <w:tcPr>
            <w:tcW w:w="981" w:type="dxa"/>
            <w:tcBorders>
              <w:top w:val="nil"/>
              <w:left w:val="nil"/>
              <w:bottom w:val="single" w:sz="4" w:space="0" w:color="auto"/>
              <w:right w:val="single" w:sz="4" w:space="0" w:color="auto"/>
            </w:tcBorders>
            <w:shd w:val="clear" w:color="auto" w:fill="EEECE1" w:themeFill="background2"/>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13</w:t>
            </w:r>
          </w:p>
        </w:tc>
        <w:tc>
          <w:tcPr>
            <w:tcW w:w="982"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F2265">
            <w:pPr>
              <w:ind w:leftChars="-12" w:left="-3" w:hangingChars="13" w:hanging="26"/>
              <w:jc w:val="left"/>
              <w:rPr>
                <w:rFonts w:ascii="Times New Roman" w:hAnsi="Times New Roman"/>
                <w:b/>
                <w:sz w:val="20"/>
                <w:szCs w:val="20"/>
              </w:rPr>
            </w:pPr>
            <w:r w:rsidRPr="00EF2265">
              <w:rPr>
                <w:rFonts w:ascii="Times New Roman" w:hAnsi="Times New Roman"/>
                <w:b/>
                <w:sz w:val="20"/>
                <w:szCs w:val="20"/>
              </w:rPr>
              <w:t>8</w:t>
            </w:r>
          </w:p>
        </w:tc>
        <w:tc>
          <w:tcPr>
            <w:tcW w:w="98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21</w:t>
            </w:r>
          </w:p>
        </w:tc>
        <w:tc>
          <w:tcPr>
            <w:tcW w:w="982"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10</w:t>
            </w:r>
          </w:p>
        </w:tc>
      </w:tr>
    </w:tbl>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Vysvetlivky: </w:t>
      </w:r>
    </w:p>
    <w:p w:rsidR="00AD09B4" w:rsidRPr="00EF2265" w:rsidRDefault="00AD09B4" w:rsidP="00E86605">
      <w:pPr>
        <w:tabs>
          <w:tab w:val="left" w:pos="9356"/>
        </w:tabs>
        <w:jc w:val="left"/>
        <w:rPr>
          <w:rFonts w:ascii="Times New Roman" w:eastAsia="Calibri" w:hAnsi="Times New Roman"/>
          <w:sz w:val="20"/>
          <w:szCs w:val="20"/>
        </w:rPr>
      </w:pPr>
      <w:r w:rsidRPr="00EF2265">
        <w:rPr>
          <w:rFonts w:ascii="Times New Roman" w:eastAsia="Times New Roman" w:hAnsi="Times New Roman"/>
          <w:sz w:val="20"/>
          <w:szCs w:val="20"/>
          <w:lang w:eastAsia="sk-SK"/>
        </w:rPr>
        <w:t>∑</w:t>
      </w:r>
      <w:r w:rsidRPr="00EF2265">
        <w:rPr>
          <w:rFonts w:ascii="Times New Roman" w:eastAsia="Times New Roman" w:hAnsi="Times New Roman"/>
          <w:sz w:val="20"/>
          <w:szCs w:val="20"/>
          <w:vertAlign w:val="subscript"/>
          <w:lang w:eastAsia="sk-SK"/>
        </w:rPr>
        <w:t>Z</w:t>
      </w:r>
      <w:r w:rsidRPr="00EF2265">
        <w:rPr>
          <w:rFonts w:ascii="Times New Roman" w:eastAsia="Times New Roman" w:hAnsi="Times New Roman"/>
          <w:sz w:val="20"/>
          <w:szCs w:val="20"/>
          <w:lang w:eastAsia="sk-SK"/>
        </w:rPr>
        <w:t xml:space="preserve"> -  celkový počet zapísaných študentov (na fakulte + na EVI) stav k 31. 10. 2017</w:t>
      </w:r>
      <w:r w:rsidRPr="00EF2265">
        <w:rPr>
          <w:rFonts w:ascii="Times New Roman" w:eastAsia="Calibri" w:hAnsi="Times New Roman"/>
          <w:sz w:val="20"/>
          <w:szCs w:val="20"/>
        </w:rPr>
        <w:br w:type="page"/>
      </w:r>
    </w:p>
    <w:p w:rsidR="00AD09B4" w:rsidRPr="00EF2265" w:rsidRDefault="00AD09B4" w:rsidP="00E86605">
      <w:pPr>
        <w:tabs>
          <w:tab w:val="left" w:pos="9356"/>
        </w:tabs>
        <w:jc w:val="left"/>
        <w:rPr>
          <w:rFonts w:ascii="Times New Roman" w:hAnsi="Times New Roman"/>
          <w:sz w:val="20"/>
          <w:szCs w:val="20"/>
        </w:rPr>
      </w:pPr>
      <w:bookmarkStart w:id="42" w:name="_Ref474776914"/>
      <w:bookmarkStart w:id="43" w:name="_Toc534793952"/>
      <w:r w:rsidRPr="00EF2265">
        <w:rPr>
          <w:rFonts w:ascii="Times New Roman" w:hAnsi="Times New Roman"/>
          <w:sz w:val="20"/>
          <w:szCs w:val="20"/>
        </w:rPr>
        <w:lastRenderedPageBreak/>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13</w:t>
      </w:r>
      <w:r w:rsidRPr="00EF2265">
        <w:rPr>
          <w:rFonts w:ascii="Times New Roman" w:hAnsi="Times New Roman"/>
          <w:sz w:val="20"/>
          <w:szCs w:val="20"/>
        </w:rPr>
        <w:fldChar w:fldCharType="end"/>
      </w:r>
      <w:bookmarkEnd w:id="42"/>
      <w:r w:rsidRPr="00EF2265">
        <w:rPr>
          <w:rFonts w:ascii="Times New Roman" w:hAnsi="Times New Roman"/>
          <w:sz w:val="20"/>
          <w:szCs w:val="20"/>
        </w:rPr>
        <w:t xml:space="preserve">: Počet a úbytok študentov </w:t>
      </w:r>
      <w:r w:rsidRPr="00EF2265">
        <w:rPr>
          <w:rFonts w:ascii="Times New Roman" w:hAnsi="Times New Roman"/>
          <w:b/>
          <w:sz w:val="20"/>
          <w:szCs w:val="20"/>
        </w:rPr>
        <w:t xml:space="preserve">tretieho stupňa štúdia v externej forme </w:t>
      </w:r>
      <w:r w:rsidRPr="00EF2265">
        <w:rPr>
          <w:rFonts w:ascii="Times New Roman" w:hAnsi="Times New Roman"/>
          <w:sz w:val="20"/>
          <w:szCs w:val="20"/>
        </w:rPr>
        <w:t>v akademickom roku 2017/2018</w:t>
      </w:r>
      <w:bookmarkEnd w:id="43"/>
    </w:p>
    <w:tbl>
      <w:tblPr>
        <w:tblW w:w="8020" w:type="dxa"/>
        <w:tblInd w:w="55" w:type="dxa"/>
        <w:tblCellMar>
          <w:left w:w="70" w:type="dxa"/>
          <w:right w:w="70" w:type="dxa"/>
        </w:tblCellMar>
        <w:tblLook w:val="04A0" w:firstRow="1" w:lastRow="0" w:firstColumn="1" w:lastColumn="0" w:noHBand="0" w:noVBand="1"/>
      </w:tblPr>
      <w:tblGrid>
        <w:gridCol w:w="862"/>
        <w:gridCol w:w="1063"/>
        <w:gridCol w:w="850"/>
        <w:gridCol w:w="851"/>
        <w:gridCol w:w="878"/>
        <w:gridCol w:w="879"/>
        <w:gridCol w:w="879"/>
        <w:gridCol w:w="879"/>
        <w:gridCol w:w="879"/>
      </w:tblGrid>
      <w:tr w:rsidR="00AD09B4" w:rsidRPr="00EF2265" w:rsidTr="00351A8A">
        <w:trPr>
          <w:trHeight w:val="255"/>
        </w:trPr>
        <w:tc>
          <w:tcPr>
            <w:tcW w:w="862" w:type="dxa"/>
            <w:vMerge w:val="restart"/>
            <w:tcBorders>
              <w:top w:val="single" w:sz="4" w:space="0" w:color="auto"/>
              <w:left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Fakulta </w:t>
            </w:r>
          </w:p>
        </w:tc>
        <w:tc>
          <w:tcPr>
            <w:tcW w:w="2764" w:type="dxa"/>
            <w:gridSpan w:val="3"/>
            <w:tcBorders>
              <w:top w:val="single" w:sz="4" w:space="0" w:color="auto"/>
              <w:left w:val="nil"/>
              <w:bottom w:val="single" w:sz="4" w:space="0" w:color="auto"/>
              <w:right w:val="single" w:sz="4" w:space="0" w:color="000000"/>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Zapísaní študenti</w:t>
            </w:r>
          </w:p>
        </w:tc>
        <w:tc>
          <w:tcPr>
            <w:tcW w:w="4394"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 xml:space="preserve">Úbytok študentov </w:t>
            </w:r>
            <w:r w:rsidRPr="00EF2265">
              <w:rPr>
                <w:rFonts w:ascii="Times New Roman" w:eastAsia="Times New Roman" w:hAnsi="Times New Roman"/>
                <w:bCs/>
                <w:sz w:val="20"/>
                <w:szCs w:val="20"/>
                <w:lang w:eastAsia="sk-SK"/>
              </w:rPr>
              <w:t>(v absolútnych číslach)</w:t>
            </w:r>
          </w:p>
        </w:tc>
      </w:tr>
      <w:tr w:rsidR="00AD09B4" w:rsidRPr="00EF2265" w:rsidTr="00351A8A">
        <w:trPr>
          <w:trHeight w:val="188"/>
        </w:trPr>
        <w:tc>
          <w:tcPr>
            <w:tcW w:w="862" w:type="dxa"/>
            <w:vMerge/>
            <w:tcBorders>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063" w:type="dxa"/>
            <w:tcBorders>
              <w:top w:val="nil"/>
              <w:left w:val="single" w:sz="4" w:space="0" w:color="auto"/>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na fakulte</w:t>
            </w: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na EVI</w:t>
            </w:r>
          </w:p>
        </w:tc>
        <w:tc>
          <w:tcPr>
            <w:tcW w:w="851" w:type="dxa"/>
            <w:tcBorders>
              <w:top w:val="nil"/>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w:t>
            </w:r>
            <w:r w:rsidRPr="00EF2265">
              <w:rPr>
                <w:rFonts w:ascii="Times New Roman" w:eastAsia="Times New Roman" w:hAnsi="Times New Roman"/>
                <w:bCs/>
                <w:sz w:val="20"/>
                <w:szCs w:val="20"/>
                <w:vertAlign w:val="subscript"/>
                <w:lang w:eastAsia="sk-SK"/>
              </w:rPr>
              <w:t>Z</w:t>
            </w:r>
          </w:p>
        </w:tc>
        <w:tc>
          <w:tcPr>
            <w:tcW w:w="878"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po 1.r.</w:t>
            </w:r>
          </w:p>
        </w:tc>
        <w:tc>
          <w:tcPr>
            <w:tcW w:w="879"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po 2.r.</w:t>
            </w:r>
          </w:p>
        </w:tc>
        <w:tc>
          <w:tcPr>
            <w:tcW w:w="879"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po 3.r.</w:t>
            </w:r>
          </w:p>
        </w:tc>
        <w:tc>
          <w:tcPr>
            <w:tcW w:w="879"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po 4.r.</w:t>
            </w:r>
          </w:p>
        </w:tc>
        <w:tc>
          <w:tcPr>
            <w:tcW w:w="879"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po 5.r.</w:t>
            </w:r>
          </w:p>
        </w:tc>
      </w:tr>
      <w:tr w:rsidR="00AD09B4" w:rsidRPr="00EF2265" w:rsidTr="00351A8A">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1063"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w:t>
            </w:r>
          </w:p>
        </w:tc>
        <w:tc>
          <w:tcPr>
            <w:tcW w:w="85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51"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22</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r>
      <w:tr w:rsidR="00AD09B4" w:rsidRPr="00EF2265" w:rsidTr="00351A8A">
        <w:trPr>
          <w:trHeight w:val="300"/>
        </w:trPr>
        <w:tc>
          <w:tcPr>
            <w:tcW w:w="862"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1063"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30</w:t>
            </w:r>
          </w:p>
        </w:tc>
        <w:tc>
          <w:tcPr>
            <w:tcW w:w="85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51"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31</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r>
      <w:tr w:rsidR="00AD09B4" w:rsidRPr="00EF2265" w:rsidTr="00351A8A">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1063"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49</w:t>
            </w:r>
          </w:p>
        </w:tc>
        <w:tc>
          <w:tcPr>
            <w:tcW w:w="85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851"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53</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r>
      <w:tr w:rsidR="00AD09B4" w:rsidRPr="00EF2265" w:rsidTr="00351A8A">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1063"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c>
          <w:tcPr>
            <w:tcW w:w="85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851"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30</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r>
      <w:tr w:rsidR="00AD09B4" w:rsidRPr="00EF2265" w:rsidTr="00351A8A">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1063"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w:t>
            </w:r>
          </w:p>
        </w:tc>
        <w:tc>
          <w:tcPr>
            <w:tcW w:w="85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51"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22</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300"/>
        </w:trPr>
        <w:tc>
          <w:tcPr>
            <w:tcW w:w="862"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1063"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35</w:t>
            </w:r>
          </w:p>
        </w:tc>
        <w:tc>
          <w:tcPr>
            <w:tcW w:w="85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51"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35</w:t>
            </w:r>
          </w:p>
        </w:tc>
        <w:tc>
          <w:tcPr>
            <w:tcW w:w="87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879"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879"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r>
      <w:tr w:rsidR="00AD09B4" w:rsidRPr="00EF2265" w:rsidTr="00351A8A">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1063"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51"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w:t>
            </w:r>
          </w:p>
        </w:tc>
        <w:tc>
          <w:tcPr>
            <w:tcW w:w="87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79"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300"/>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1063"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w:t>
            </w:r>
          </w:p>
        </w:tc>
        <w:tc>
          <w:tcPr>
            <w:tcW w:w="85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51"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w:t>
            </w:r>
          </w:p>
        </w:tc>
        <w:tc>
          <w:tcPr>
            <w:tcW w:w="87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879"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r>
      <w:tr w:rsidR="00AD09B4" w:rsidRPr="00EF2265" w:rsidTr="00351A8A">
        <w:trPr>
          <w:trHeight w:val="300"/>
        </w:trPr>
        <w:tc>
          <w:tcPr>
            <w:tcW w:w="862" w:type="dxa"/>
            <w:tcBorders>
              <w:top w:val="nil"/>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1063"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212</w:t>
            </w:r>
          </w:p>
        </w:tc>
        <w:tc>
          <w:tcPr>
            <w:tcW w:w="850"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w:t>
            </w:r>
          </w:p>
        </w:tc>
        <w:tc>
          <w:tcPr>
            <w:tcW w:w="851"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221</w:t>
            </w:r>
          </w:p>
        </w:tc>
        <w:tc>
          <w:tcPr>
            <w:tcW w:w="87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w:t>
            </w:r>
          </w:p>
        </w:tc>
        <w:tc>
          <w:tcPr>
            <w:tcW w:w="879"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w:t>
            </w:r>
          </w:p>
        </w:tc>
        <w:tc>
          <w:tcPr>
            <w:tcW w:w="879"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w:t>
            </w:r>
          </w:p>
        </w:tc>
        <w:tc>
          <w:tcPr>
            <w:tcW w:w="879"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w:t>
            </w:r>
          </w:p>
        </w:tc>
        <w:tc>
          <w:tcPr>
            <w:tcW w:w="879"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w:t>
            </w:r>
          </w:p>
        </w:tc>
      </w:tr>
    </w:tbl>
    <w:p w:rsidR="00AD09B4" w:rsidRPr="00EF2265" w:rsidRDefault="00AD09B4" w:rsidP="00E86605">
      <w:pPr>
        <w:tabs>
          <w:tab w:val="left" w:pos="3722"/>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Vysvetlivky: </w:t>
      </w:r>
    </w:p>
    <w:p w:rsidR="00AD09B4" w:rsidRPr="00EF2265" w:rsidRDefault="00AD09B4" w:rsidP="00E86605">
      <w:pPr>
        <w:tabs>
          <w:tab w:val="left" w:pos="3722"/>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w:t>
      </w:r>
      <w:r w:rsidRPr="00EF2265">
        <w:rPr>
          <w:rFonts w:ascii="Times New Roman" w:eastAsia="Times New Roman" w:hAnsi="Times New Roman"/>
          <w:sz w:val="20"/>
          <w:szCs w:val="20"/>
          <w:vertAlign w:val="subscript"/>
          <w:lang w:eastAsia="sk-SK"/>
        </w:rPr>
        <w:t>Z</w:t>
      </w:r>
      <w:r w:rsidRPr="00EF2265">
        <w:rPr>
          <w:rFonts w:ascii="Times New Roman" w:eastAsia="Times New Roman" w:hAnsi="Times New Roman"/>
          <w:sz w:val="20"/>
          <w:szCs w:val="20"/>
          <w:lang w:eastAsia="sk-SK"/>
        </w:rPr>
        <w:t xml:space="preserve"> -  celkový počet zapísaných študentov (na fakulte + na EVI) stav k 31. 10. 2017</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Úbytky študentov tretieho stupňa štúdia tabuľkách </w:t>
      </w:r>
      <w:r w:rsidRPr="00EF2265">
        <w:rPr>
          <w:rFonts w:ascii="Times New Roman" w:hAnsi="Times New Roman"/>
          <w:b/>
          <w:sz w:val="20"/>
          <w:szCs w:val="20"/>
        </w:rPr>
        <w:t xml:space="preserve">nie sú uvedené v percentách, ale v počtoch </w:t>
      </w:r>
      <w:r w:rsidRPr="00EF2265">
        <w:rPr>
          <w:rFonts w:ascii="Times New Roman" w:hAnsi="Times New Roman"/>
          <w:sz w:val="20"/>
          <w:szCs w:val="20"/>
        </w:rPr>
        <w:t xml:space="preserve">(absolútnych číslach). Ako je z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_Ref474776899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12</w:t>
      </w:r>
      <w:r w:rsidRPr="00EF2265">
        <w:rPr>
          <w:rFonts w:ascii="Times New Roman" w:hAnsi="Times New Roman"/>
          <w:sz w:val="20"/>
          <w:szCs w:val="20"/>
        </w:rPr>
        <w:fldChar w:fldCharType="end"/>
      </w:r>
      <w:r w:rsidRPr="00EF2265">
        <w:rPr>
          <w:rFonts w:ascii="Times New Roman" w:hAnsi="Times New Roman"/>
          <w:sz w:val="20"/>
          <w:szCs w:val="20"/>
        </w:rPr>
        <w:t xml:space="preserve"> zrejmé, výraznejší je úbytok študentov v prípade dennej formy v poslednom roku štúdia (uvedené sa týka trojročných študijných programov), ktorý je spravidla spôsobený tým, že doktorandi neskončia štúdium v zákonom stanovenej lehote.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Študenti dennej formy štúdia často počas svojho štúdia realizujú študijné pobyty v zahraničí, kde dostávajú ponuky na predĺženie pobytu, ktoré využívajú a štúdium si prerušujú. Aj z uvedeného dôvodu si štúdium predlžujú, resp. menia formu štúdia z dennej na externú. Z celkového počtu denných doktorandov v akademickom roku 2017/2018 prekročilo štandardnú dĺžku štúdia 16 % študentov. Zároveň 2 % denných doktorandov zmenili študijný program uskutočňovaný v dennej forme na externú formu štúdia. </w:t>
      </w:r>
    </w:p>
    <w:p w:rsidR="00AD09B4" w:rsidRPr="00EF2265" w:rsidRDefault="00AD09B4" w:rsidP="00E86605">
      <w:pPr>
        <w:tabs>
          <w:tab w:val="left" w:pos="9356"/>
        </w:tabs>
        <w:jc w:val="left"/>
        <w:rPr>
          <w:rFonts w:ascii="Times New Roman" w:eastAsia="Calibri" w:hAnsi="Times New Roman"/>
          <w:sz w:val="20"/>
          <w:szCs w:val="20"/>
        </w:rPr>
      </w:pPr>
    </w:p>
    <w:p w:rsidR="00AD09B4" w:rsidRPr="00EF2265" w:rsidRDefault="00AD09B4" w:rsidP="00E86605">
      <w:pPr>
        <w:tabs>
          <w:tab w:val="left" w:pos="9356"/>
        </w:tabs>
        <w:jc w:val="left"/>
        <w:rPr>
          <w:rFonts w:ascii="Times New Roman" w:hAnsi="Times New Roman"/>
          <w:b/>
          <w:sz w:val="20"/>
          <w:szCs w:val="20"/>
        </w:rPr>
      </w:pPr>
    </w:p>
    <w:p w:rsidR="00AD09B4" w:rsidRPr="00EF2265" w:rsidRDefault="00AD09B4" w:rsidP="00E86605">
      <w:pPr>
        <w:pStyle w:val="Nadpis2"/>
        <w:numPr>
          <w:ilvl w:val="2"/>
          <w:numId w:val="8"/>
        </w:numPr>
        <w:tabs>
          <w:tab w:val="left" w:pos="9356"/>
        </w:tabs>
        <w:rPr>
          <w:rFonts w:ascii="Times New Roman" w:hAnsi="Times New Roman" w:cs="Times New Roman"/>
          <w:color w:val="auto"/>
          <w:sz w:val="20"/>
          <w:szCs w:val="20"/>
        </w:rPr>
      </w:pPr>
      <w:bookmarkStart w:id="44" w:name="_Toc534722879"/>
      <w:r w:rsidRPr="00EF2265">
        <w:rPr>
          <w:rFonts w:ascii="Times New Roman" w:hAnsi="Times New Roman" w:cs="Times New Roman"/>
          <w:color w:val="auto"/>
          <w:sz w:val="20"/>
          <w:szCs w:val="20"/>
        </w:rPr>
        <w:t>Štruktúra študentov z hľadiska krajov Slovenska</w:t>
      </w:r>
      <w:bookmarkEnd w:id="44"/>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Prehľad štruktúry študentov z hľadiska krajov Slovenska a osobitne zastúpenie bratislavských študentov za posledných päť rokov je znázornený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_Ref474776977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14</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45" w:name="_Ref474776977"/>
      <w:bookmarkStart w:id="46" w:name="_Toc534793953"/>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14</w:t>
      </w:r>
      <w:r w:rsidRPr="00EF2265">
        <w:rPr>
          <w:rFonts w:ascii="Times New Roman" w:hAnsi="Times New Roman"/>
          <w:sz w:val="20"/>
          <w:szCs w:val="20"/>
        </w:rPr>
        <w:fldChar w:fldCharType="end"/>
      </w:r>
      <w:bookmarkEnd w:id="45"/>
      <w:r w:rsidRPr="00EF2265">
        <w:rPr>
          <w:rFonts w:ascii="Times New Roman" w:hAnsi="Times New Roman"/>
          <w:sz w:val="20"/>
          <w:szCs w:val="20"/>
        </w:rPr>
        <w:t>: Štruktúra študentov z hľadiska kraja v % k 31. 10. daného akademického roka</w:t>
      </w:r>
      <w:bookmarkEnd w:id="46"/>
    </w:p>
    <w:tbl>
      <w:tblPr>
        <w:tblW w:w="94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01"/>
        <w:gridCol w:w="1247"/>
        <w:gridCol w:w="1247"/>
        <w:gridCol w:w="1248"/>
        <w:gridCol w:w="1247"/>
        <w:gridCol w:w="1248"/>
      </w:tblGrid>
      <w:tr w:rsidR="00AD09B4" w:rsidRPr="00EF2265" w:rsidTr="00351A8A">
        <w:trPr>
          <w:trHeight w:val="270"/>
        </w:trPr>
        <w:tc>
          <w:tcPr>
            <w:tcW w:w="3201" w:type="dxa"/>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miesto trvalého bydliska</w:t>
            </w:r>
          </w:p>
        </w:tc>
        <w:tc>
          <w:tcPr>
            <w:tcW w:w="1247" w:type="dxa"/>
            <w:shd w:val="clear" w:color="auto" w:fill="auto"/>
            <w:vAlign w:val="center"/>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31.10.2013</w:t>
            </w:r>
          </w:p>
        </w:tc>
        <w:tc>
          <w:tcPr>
            <w:tcW w:w="1247" w:type="dxa"/>
            <w:shd w:val="clear" w:color="auto" w:fill="auto"/>
            <w:vAlign w:val="center"/>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31.10.2014</w:t>
            </w:r>
          </w:p>
        </w:tc>
        <w:tc>
          <w:tcPr>
            <w:tcW w:w="1248" w:type="dxa"/>
            <w:shd w:val="clear" w:color="auto" w:fill="auto"/>
            <w:vAlign w:val="center"/>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31.10.2015</w:t>
            </w:r>
          </w:p>
        </w:tc>
        <w:tc>
          <w:tcPr>
            <w:tcW w:w="1247" w:type="dxa"/>
            <w:shd w:val="clear" w:color="auto" w:fill="auto"/>
            <w:vAlign w:val="center"/>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31.10.2016</w:t>
            </w:r>
          </w:p>
        </w:tc>
        <w:tc>
          <w:tcPr>
            <w:tcW w:w="1248" w:type="dxa"/>
            <w:shd w:val="clear" w:color="auto" w:fill="auto"/>
            <w:vAlign w:val="center"/>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31.10.2017</w:t>
            </w:r>
          </w:p>
        </w:tc>
      </w:tr>
      <w:tr w:rsidR="00AD09B4" w:rsidRPr="00EF2265" w:rsidTr="00351A8A">
        <w:trPr>
          <w:trHeight w:val="525"/>
        </w:trPr>
        <w:tc>
          <w:tcPr>
            <w:tcW w:w="3201" w:type="dxa"/>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mimobratislavské kraje spolu (vrátane zahraničných študentov)</w:t>
            </w:r>
          </w:p>
        </w:tc>
        <w:tc>
          <w:tcPr>
            <w:tcW w:w="1247" w:type="dxa"/>
            <w:shd w:val="clear" w:color="auto" w:fill="auto"/>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76,2</w:t>
            </w:r>
          </w:p>
        </w:tc>
        <w:tc>
          <w:tcPr>
            <w:tcW w:w="1247" w:type="dxa"/>
            <w:shd w:val="clear" w:color="auto" w:fill="auto"/>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79,1</w:t>
            </w:r>
          </w:p>
        </w:tc>
        <w:tc>
          <w:tcPr>
            <w:tcW w:w="1248" w:type="dxa"/>
            <w:shd w:val="clear" w:color="auto" w:fill="auto"/>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79,4</w:t>
            </w:r>
          </w:p>
        </w:tc>
        <w:tc>
          <w:tcPr>
            <w:tcW w:w="1247" w:type="dxa"/>
            <w:shd w:val="clear" w:color="auto" w:fill="auto"/>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79,8</w:t>
            </w:r>
          </w:p>
        </w:tc>
        <w:tc>
          <w:tcPr>
            <w:tcW w:w="1248" w:type="dxa"/>
            <w:shd w:val="clear" w:color="auto" w:fill="auto"/>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80,4</w:t>
            </w:r>
          </w:p>
        </w:tc>
      </w:tr>
      <w:tr w:rsidR="00AD09B4" w:rsidRPr="00EF2265" w:rsidTr="00351A8A">
        <w:trPr>
          <w:trHeight w:val="270"/>
        </w:trPr>
        <w:tc>
          <w:tcPr>
            <w:tcW w:w="3201" w:type="dxa"/>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Bratislavský kraj</w:t>
            </w:r>
          </w:p>
        </w:tc>
        <w:tc>
          <w:tcPr>
            <w:tcW w:w="1247" w:type="dxa"/>
            <w:shd w:val="clear" w:color="auto" w:fill="auto"/>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23,8</w:t>
            </w:r>
          </w:p>
        </w:tc>
        <w:tc>
          <w:tcPr>
            <w:tcW w:w="1247" w:type="dxa"/>
            <w:shd w:val="clear" w:color="auto" w:fill="auto"/>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20,9</w:t>
            </w:r>
          </w:p>
        </w:tc>
        <w:tc>
          <w:tcPr>
            <w:tcW w:w="1248" w:type="dxa"/>
            <w:shd w:val="clear" w:color="auto" w:fill="auto"/>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20,6</w:t>
            </w:r>
          </w:p>
        </w:tc>
        <w:tc>
          <w:tcPr>
            <w:tcW w:w="1247" w:type="dxa"/>
            <w:shd w:val="clear" w:color="auto" w:fill="auto"/>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20,2</w:t>
            </w:r>
          </w:p>
        </w:tc>
        <w:tc>
          <w:tcPr>
            <w:tcW w:w="1248" w:type="dxa"/>
            <w:shd w:val="clear" w:color="auto" w:fill="auto"/>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19,6</w:t>
            </w:r>
          </w:p>
        </w:tc>
      </w:tr>
      <w:tr w:rsidR="00AD09B4" w:rsidRPr="00EF2265" w:rsidTr="00351A8A">
        <w:trPr>
          <w:trHeight w:val="270"/>
        </w:trPr>
        <w:tc>
          <w:tcPr>
            <w:tcW w:w="3201" w:type="dxa"/>
            <w:shd w:val="clear" w:color="auto" w:fill="EEECE1" w:themeFill="background2"/>
            <w:vAlign w:val="center"/>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 xml:space="preserve">z toho Bratislava </w:t>
            </w:r>
          </w:p>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(okres Bratislava I - V)</w:t>
            </w:r>
          </w:p>
        </w:tc>
        <w:tc>
          <w:tcPr>
            <w:tcW w:w="1247" w:type="dxa"/>
            <w:shd w:val="clear" w:color="auto" w:fill="EEECE1" w:themeFill="background2"/>
            <w:vAlign w:val="center"/>
          </w:tcPr>
          <w:p w:rsidR="00AD09B4" w:rsidRPr="00EF2265" w:rsidRDefault="00AD09B4" w:rsidP="00E86605">
            <w:pPr>
              <w:jc w:val="left"/>
              <w:rPr>
                <w:rFonts w:ascii="Times New Roman" w:hAnsi="Times New Roman"/>
                <w:b/>
                <w:color w:val="000000"/>
                <w:sz w:val="20"/>
                <w:szCs w:val="20"/>
              </w:rPr>
            </w:pPr>
            <w:r w:rsidRPr="00EF2265">
              <w:rPr>
                <w:rFonts w:ascii="Times New Roman" w:hAnsi="Times New Roman"/>
                <w:b/>
                <w:color w:val="000000"/>
                <w:sz w:val="20"/>
                <w:szCs w:val="20"/>
              </w:rPr>
              <w:t>15,7</w:t>
            </w:r>
          </w:p>
        </w:tc>
        <w:tc>
          <w:tcPr>
            <w:tcW w:w="1247" w:type="dxa"/>
            <w:shd w:val="clear" w:color="auto" w:fill="EEECE1" w:themeFill="background2"/>
            <w:vAlign w:val="center"/>
          </w:tcPr>
          <w:p w:rsidR="00AD09B4" w:rsidRPr="00EF2265" w:rsidRDefault="00AD09B4" w:rsidP="00E86605">
            <w:pPr>
              <w:jc w:val="left"/>
              <w:rPr>
                <w:rFonts w:ascii="Times New Roman" w:hAnsi="Times New Roman"/>
                <w:b/>
                <w:color w:val="000000"/>
                <w:sz w:val="20"/>
                <w:szCs w:val="20"/>
              </w:rPr>
            </w:pPr>
            <w:r w:rsidRPr="00EF2265">
              <w:rPr>
                <w:rFonts w:ascii="Times New Roman" w:hAnsi="Times New Roman"/>
                <w:b/>
                <w:color w:val="000000"/>
                <w:sz w:val="20"/>
                <w:szCs w:val="20"/>
              </w:rPr>
              <w:t>15,0</w:t>
            </w:r>
          </w:p>
        </w:tc>
        <w:tc>
          <w:tcPr>
            <w:tcW w:w="1248" w:type="dxa"/>
            <w:shd w:val="clear" w:color="auto" w:fill="EEECE1" w:themeFill="background2"/>
            <w:vAlign w:val="center"/>
          </w:tcPr>
          <w:p w:rsidR="00AD09B4" w:rsidRPr="00EF2265" w:rsidRDefault="00AD09B4" w:rsidP="00E86605">
            <w:pPr>
              <w:jc w:val="left"/>
              <w:rPr>
                <w:rFonts w:ascii="Times New Roman" w:hAnsi="Times New Roman"/>
                <w:b/>
                <w:color w:val="000000"/>
                <w:sz w:val="20"/>
                <w:szCs w:val="20"/>
              </w:rPr>
            </w:pPr>
            <w:r w:rsidRPr="00EF2265">
              <w:rPr>
                <w:rFonts w:ascii="Times New Roman" w:hAnsi="Times New Roman"/>
                <w:b/>
                <w:color w:val="000000"/>
                <w:sz w:val="20"/>
                <w:szCs w:val="20"/>
              </w:rPr>
              <w:t>14,2</w:t>
            </w:r>
          </w:p>
        </w:tc>
        <w:tc>
          <w:tcPr>
            <w:tcW w:w="1247" w:type="dxa"/>
            <w:shd w:val="clear" w:color="auto" w:fill="EEECE1" w:themeFill="background2"/>
            <w:vAlign w:val="center"/>
          </w:tcPr>
          <w:p w:rsidR="00AD09B4" w:rsidRPr="00EF2265" w:rsidRDefault="00AD09B4" w:rsidP="00E86605">
            <w:pPr>
              <w:jc w:val="left"/>
              <w:rPr>
                <w:rFonts w:ascii="Times New Roman" w:hAnsi="Times New Roman"/>
                <w:b/>
                <w:color w:val="000000"/>
                <w:sz w:val="20"/>
                <w:szCs w:val="20"/>
              </w:rPr>
            </w:pPr>
            <w:r w:rsidRPr="00EF2265">
              <w:rPr>
                <w:rFonts w:ascii="Times New Roman" w:hAnsi="Times New Roman"/>
                <w:b/>
                <w:color w:val="000000"/>
                <w:sz w:val="20"/>
                <w:szCs w:val="20"/>
              </w:rPr>
              <w:t>13,6</w:t>
            </w:r>
          </w:p>
        </w:tc>
        <w:tc>
          <w:tcPr>
            <w:tcW w:w="1248" w:type="dxa"/>
            <w:shd w:val="clear" w:color="auto" w:fill="EEECE1" w:themeFill="background2"/>
            <w:vAlign w:val="center"/>
          </w:tcPr>
          <w:p w:rsidR="00AD09B4" w:rsidRPr="00EF2265" w:rsidRDefault="00AD09B4" w:rsidP="00E86605">
            <w:pPr>
              <w:jc w:val="left"/>
              <w:rPr>
                <w:rFonts w:ascii="Times New Roman" w:hAnsi="Times New Roman"/>
                <w:b/>
                <w:color w:val="000000"/>
                <w:sz w:val="20"/>
                <w:szCs w:val="20"/>
              </w:rPr>
            </w:pPr>
            <w:r w:rsidRPr="00EF2265">
              <w:rPr>
                <w:rFonts w:ascii="Times New Roman" w:hAnsi="Times New Roman"/>
                <w:b/>
                <w:color w:val="000000"/>
                <w:sz w:val="20"/>
                <w:szCs w:val="20"/>
              </w:rPr>
              <w:t>13,2</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b/>
          <w:sz w:val="20"/>
          <w:szCs w:val="20"/>
        </w:rPr>
        <w:t>Z uvedeného prehľadu je zrejmý výrazne celoslovenský záber STU</w:t>
      </w:r>
      <w:r w:rsidRPr="00EF2265">
        <w:rPr>
          <w:rFonts w:ascii="Times New Roman" w:hAnsi="Times New Roman"/>
          <w:sz w:val="20"/>
          <w:szCs w:val="20"/>
        </w:rPr>
        <w:t xml:space="preserve"> – v akademickom roku 2017/2018 boli až 4/5 študentov STU z mimo Bratislavského kraja. Okresy Bratislava I až V boli zastúpené </w:t>
      </w:r>
      <w:r w:rsidRPr="00EF2265">
        <w:rPr>
          <w:rFonts w:ascii="Times New Roman" w:hAnsi="Times New Roman"/>
          <w:b/>
          <w:sz w:val="20"/>
          <w:szCs w:val="20"/>
        </w:rPr>
        <w:t xml:space="preserve">13,2 % </w:t>
      </w:r>
      <w:r w:rsidRPr="00EF2265">
        <w:rPr>
          <w:rFonts w:ascii="Times New Roman" w:hAnsi="Times New Roman"/>
          <w:sz w:val="20"/>
          <w:szCs w:val="20"/>
        </w:rPr>
        <w:t>študentov z celkového počtu študentov STU, pričom za posledných päť rokov bol zaznamenaný pokles študentov hlavného mesta Bratislavy.</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br w:type="page"/>
      </w:r>
    </w:p>
    <w:p w:rsidR="00AD09B4" w:rsidRPr="00EF2265" w:rsidRDefault="00AD09B4" w:rsidP="00E86605">
      <w:pPr>
        <w:pStyle w:val="Nadpis2"/>
        <w:numPr>
          <w:ilvl w:val="2"/>
          <w:numId w:val="8"/>
        </w:numPr>
        <w:tabs>
          <w:tab w:val="left" w:pos="9356"/>
        </w:tabs>
        <w:rPr>
          <w:rFonts w:ascii="Times New Roman" w:hAnsi="Times New Roman" w:cs="Times New Roman"/>
          <w:color w:val="auto"/>
          <w:sz w:val="20"/>
          <w:szCs w:val="20"/>
        </w:rPr>
      </w:pPr>
      <w:bookmarkStart w:id="47" w:name="_Toc534722880"/>
      <w:r w:rsidRPr="00EF2265">
        <w:rPr>
          <w:rFonts w:ascii="Times New Roman" w:hAnsi="Times New Roman" w:cs="Times New Roman"/>
          <w:color w:val="auto"/>
          <w:sz w:val="20"/>
          <w:szCs w:val="20"/>
        </w:rPr>
        <w:lastRenderedPageBreak/>
        <w:t>Zahraniční študenti</w:t>
      </w:r>
      <w:bookmarkEnd w:id="47"/>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b/>
          <w:sz w:val="20"/>
          <w:szCs w:val="20"/>
        </w:rPr>
        <w:t>Zahraniční študenti</w:t>
      </w:r>
      <w:r w:rsidRPr="00EF2265">
        <w:rPr>
          <w:rFonts w:ascii="Times New Roman" w:hAnsi="Times New Roman"/>
          <w:sz w:val="20"/>
          <w:szCs w:val="20"/>
        </w:rPr>
        <w:t xml:space="preserve"> študujú na STU vo všetkých troch stupňoch vysokoškolského vzdelávania. Počet zahraničných študentov, ktorý nezahŕňa krátkodobé študijné pobyty (študentov študujúcich v rámci akademickej mobility) za obdobie od akademického roka 2011/2012 uvádza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_Ref474768179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15</w:t>
      </w:r>
      <w:r w:rsidRPr="00EF2265">
        <w:rPr>
          <w:rFonts w:ascii="Times New Roman" w:hAnsi="Times New Roman"/>
          <w:sz w:val="20"/>
          <w:szCs w:val="20"/>
        </w:rPr>
        <w:fldChar w:fldCharType="end"/>
      </w:r>
      <w:r w:rsidRPr="00EF2265">
        <w:rPr>
          <w:rFonts w:ascii="Times New Roman" w:hAnsi="Times New Roman"/>
          <w:sz w:val="20"/>
          <w:szCs w:val="20"/>
        </w:rPr>
        <w:t xml:space="preserve"> 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_Ref474779770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Graf č</w:t>
      </w:r>
      <w:r w:rsidR="001C349F" w:rsidRPr="00EF2265">
        <w:rPr>
          <w:rFonts w:ascii="Times New Roman" w:hAnsi="Times New Roman"/>
          <w:noProof/>
          <w:sz w:val="20"/>
          <w:szCs w:val="20"/>
        </w:rPr>
        <w:t>.</w:t>
      </w:r>
      <w:r w:rsidR="001C349F" w:rsidRPr="00EF2265">
        <w:rPr>
          <w:rFonts w:ascii="Times New Roman" w:hAnsi="Times New Roman"/>
          <w:sz w:val="20"/>
          <w:szCs w:val="20"/>
        </w:rPr>
        <w:t xml:space="preserve"> </w:t>
      </w:r>
      <w:r w:rsidR="001C349F">
        <w:rPr>
          <w:rFonts w:ascii="Times New Roman" w:hAnsi="Times New Roman"/>
          <w:noProof/>
          <w:sz w:val="20"/>
          <w:szCs w:val="20"/>
        </w:rPr>
        <w:t>6</w:t>
      </w:r>
      <w:r w:rsidRPr="00EF2265">
        <w:rPr>
          <w:rFonts w:ascii="Times New Roman" w:hAnsi="Times New Roman"/>
          <w:sz w:val="20"/>
          <w:szCs w:val="20"/>
        </w:rPr>
        <w:fldChar w:fldCharType="end"/>
      </w:r>
      <w:r w:rsidRPr="00EF2265">
        <w:rPr>
          <w:rFonts w:ascii="Times New Roman" w:hAnsi="Times New Roman"/>
          <w:sz w:val="20"/>
          <w:szCs w:val="20"/>
        </w:rPr>
        <w:t xml:space="preserve">. Z tabuľky ako aj z grafu vidieť, že počet zahraničných študentov sa v období akademických rokov 2013/2014 a 2014/2015 znížil, no v posledných troch rokoch nadobudol opäť stúpajúcu tendenciu. V porovnaní s akademickým rokom 2016/2017 bol zaznamenaný </w:t>
      </w:r>
      <w:r w:rsidRPr="00EF2265">
        <w:rPr>
          <w:rFonts w:ascii="Times New Roman" w:hAnsi="Times New Roman"/>
          <w:b/>
          <w:sz w:val="20"/>
          <w:szCs w:val="20"/>
        </w:rPr>
        <w:t>nárast</w:t>
      </w:r>
      <w:r w:rsidRPr="00EF2265">
        <w:rPr>
          <w:rFonts w:ascii="Times New Roman" w:hAnsi="Times New Roman"/>
          <w:sz w:val="20"/>
          <w:szCs w:val="20"/>
        </w:rPr>
        <w:t xml:space="preserve"> </w:t>
      </w:r>
      <w:r w:rsidRPr="00EF2265">
        <w:rPr>
          <w:rFonts w:ascii="Times New Roman" w:hAnsi="Times New Roman"/>
          <w:b/>
          <w:sz w:val="20"/>
          <w:szCs w:val="20"/>
        </w:rPr>
        <w:t xml:space="preserve">celkového počtu zahraničných študentov - v priemere o 4 %, </w:t>
      </w:r>
      <w:r w:rsidRPr="00EF2265">
        <w:rPr>
          <w:rFonts w:ascii="Times New Roman" w:hAnsi="Times New Roman"/>
          <w:sz w:val="20"/>
          <w:szCs w:val="20"/>
        </w:rPr>
        <w:t xml:space="preserve">čo v absolútnych číslach predstavuje </w:t>
      </w:r>
      <w:r w:rsidRPr="00EF2265">
        <w:rPr>
          <w:rFonts w:ascii="Times New Roman" w:hAnsi="Times New Roman"/>
          <w:b/>
          <w:sz w:val="20"/>
          <w:szCs w:val="20"/>
        </w:rPr>
        <w:t>zvýšenie o 14 študentov (nárast o 9 % na prvom stupni, pokles na druhom stupni o 5 % a na treťom stupni tiež pokles o 7 %)</w:t>
      </w:r>
      <w:r w:rsidRPr="00EF2265">
        <w:rPr>
          <w:rFonts w:ascii="Times New Roman" w:hAnsi="Times New Roman"/>
          <w:sz w:val="20"/>
          <w:szCs w:val="20"/>
        </w:rPr>
        <w:t xml:space="preserve">. </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48" w:name="_Ref474768179"/>
      <w:bookmarkStart w:id="49" w:name="_Toc534793954"/>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15</w:t>
      </w:r>
      <w:r w:rsidRPr="00EF2265">
        <w:rPr>
          <w:rFonts w:ascii="Times New Roman" w:hAnsi="Times New Roman"/>
          <w:sz w:val="20"/>
          <w:szCs w:val="20"/>
        </w:rPr>
        <w:fldChar w:fldCharType="end"/>
      </w:r>
      <w:bookmarkEnd w:id="48"/>
      <w:r w:rsidRPr="00EF2265">
        <w:rPr>
          <w:rFonts w:ascii="Times New Roman" w:hAnsi="Times New Roman"/>
          <w:sz w:val="20"/>
          <w:szCs w:val="20"/>
        </w:rPr>
        <w:t>: Zahraniční študenti k 31. 10. daného akademického roka</w:t>
      </w:r>
      <w:bookmarkEnd w:id="49"/>
    </w:p>
    <w:tbl>
      <w:tblPr>
        <w:tblW w:w="9371" w:type="dxa"/>
        <w:tblInd w:w="55" w:type="dxa"/>
        <w:tblLayout w:type="fixed"/>
        <w:tblCellMar>
          <w:left w:w="70" w:type="dxa"/>
          <w:right w:w="70" w:type="dxa"/>
        </w:tblCellMar>
        <w:tblLook w:val="04A0" w:firstRow="1" w:lastRow="0" w:firstColumn="1" w:lastColumn="0" w:noHBand="0" w:noVBand="1"/>
      </w:tblPr>
      <w:tblGrid>
        <w:gridCol w:w="1433"/>
        <w:gridCol w:w="1134"/>
        <w:gridCol w:w="1134"/>
        <w:gridCol w:w="1134"/>
        <w:gridCol w:w="1134"/>
        <w:gridCol w:w="1134"/>
        <w:gridCol w:w="1134"/>
        <w:gridCol w:w="1134"/>
      </w:tblGrid>
      <w:tr w:rsidR="00AD09B4" w:rsidRPr="00EF2265" w:rsidTr="00351A8A">
        <w:trPr>
          <w:trHeight w:val="51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Stupeň štúdia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2011/2012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2012/2013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2013/2014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2014/2015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2015/2016</w:t>
            </w:r>
          </w:p>
        </w:tc>
        <w:tc>
          <w:tcPr>
            <w:tcW w:w="1134" w:type="dxa"/>
            <w:tcBorders>
              <w:top w:val="single" w:sz="4" w:space="0" w:color="auto"/>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2016/2017</w:t>
            </w:r>
          </w:p>
        </w:tc>
        <w:tc>
          <w:tcPr>
            <w:tcW w:w="1134" w:type="dxa"/>
            <w:tcBorders>
              <w:top w:val="single" w:sz="4" w:space="0" w:color="auto"/>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2017/2018</w:t>
            </w:r>
          </w:p>
        </w:tc>
      </w:tr>
      <w:tr w:rsidR="00AD09B4" w:rsidRPr="00EF2265" w:rsidTr="00351A8A">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 stupeň</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246</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205</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ind w:leftChars="-1" w:hangingChars="1" w:hanging="2"/>
              <w:jc w:val="left"/>
              <w:rPr>
                <w:rFonts w:ascii="Times New Roman" w:hAnsi="Times New Roman"/>
                <w:sz w:val="20"/>
                <w:szCs w:val="20"/>
              </w:rPr>
            </w:pPr>
            <w:r w:rsidRPr="00EF2265">
              <w:rPr>
                <w:rFonts w:ascii="Times New Roman" w:hAnsi="Times New Roman"/>
                <w:sz w:val="20"/>
                <w:szCs w:val="20"/>
              </w:rPr>
              <w:t>163</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ind w:leftChars="-1" w:hangingChars="1" w:hanging="2"/>
              <w:jc w:val="left"/>
              <w:rPr>
                <w:rFonts w:ascii="Times New Roman" w:hAnsi="Times New Roman"/>
                <w:sz w:val="20"/>
                <w:szCs w:val="20"/>
              </w:rPr>
            </w:pPr>
            <w:r w:rsidRPr="00EF2265">
              <w:rPr>
                <w:rFonts w:ascii="Times New Roman" w:hAnsi="Times New Roman"/>
                <w:sz w:val="20"/>
                <w:szCs w:val="20"/>
              </w:rPr>
              <w:t>154</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ind w:leftChars="-1" w:hangingChars="1" w:hanging="2"/>
              <w:jc w:val="left"/>
              <w:rPr>
                <w:rFonts w:ascii="Times New Roman" w:hAnsi="Times New Roman"/>
                <w:sz w:val="20"/>
                <w:szCs w:val="20"/>
              </w:rPr>
            </w:pPr>
            <w:r w:rsidRPr="00EF2265">
              <w:rPr>
                <w:rFonts w:ascii="Times New Roman" w:hAnsi="Times New Roman"/>
                <w:sz w:val="20"/>
                <w:szCs w:val="20"/>
              </w:rPr>
              <w:t>186</w:t>
            </w:r>
          </w:p>
        </w:tc>
        <w:tc>
          <w:tcPr>
            <w:tcW w:w="1134" w:type="dxa"/>
            <w:tcBorders>
              <w:top w:val="nil"/>
              <w:left w:val="nil"/>
              <w:bottom w:val="single" w:sz="4" w:space="0" w:color="auto"/>
              <w:right w:val="single" w:sz="4" w:space="0" w:color="auto"/>
            </w:tcBorders>
            <w:vAlign w:val="center"/>
          </w:tcPr>
          <w:p w:rsidR="00AD09B4" w:rsidRPr="00EF2265" w:rsidRDefault="00AD09B4" w:rsidP="00E86605">
            <w:pPr>
              <w:ind w:leftChars="-1" w:hangingChars="1" w:hanging="2"/>
              <w:jc w:val="left"/>
              <w:rPr>
                <w:rFonts w:ascii="Times New Roman" w:hAnsi="Times New Roman"/>
                <w:sz w:val="20"/>
                <w:szCs w:val="20"/>
              </w:rPr>
            </w:pPr>
            <w:r w:rsidRPr="00EF2265">
              <w:rPr>
                <w:rFonts w:ascii="Times New Roman" w:hAnsi="Times New Roman"/>
                <w:sz w:val="20"/>
                <w:szCs w:val="20"/>
              </w:rPr>
              <w:t>240</w:t>
            </w:r>
          </w:p>
        </w:tc>
        <w:tc>
          <w:tcPr>
            <w:tcW w:w="1134" w:type="dxa"/>
            <w:tcBorders>
              <w:top w:val="nil"/>
              <w:left w:val="nil"/>
              <w:bottom w:val="single" w:sz="4" w:space="0" w:color="auto"/>
              <w:right w:val="single" w:sz="4" w:space="0" w:color="auto"/>
            </w:tcBorders>
            <w:vAlign w:val="center"/>
          </w:tcPr>
          <w:p w:rsidR="00AD09B4" w:rsidRPr="00EF2265" w:rsidRDefault="00AD09B4" w:rsidP="00E86605">
            <w:pPr>
              <w:ind w:leftChars="-1" w:hangingChars="1" w:hanging="2"/>
              <w:jc w:val="left"/>
              <w:rPr>
                <w:rFonts w:ascii="Times New Roman" w:hAnsi="Times New Roman"/>
                <w:sz w:val="20"/>
                <w:szCs w:val="20"/>
              </w:rPr>
            </w:pPr>
            <w:r w:rsidRPr="00EF2265">
              <w:rPr>
                <w:rFonts w:ascii="Times New Roman" w:hAnsi="Times New Roman"/>
                <w:sz w:val="20"/>
                <w:szCs w:val="20"/>
              </w:rPr>
              <w:t>262</w:t>
            </w:r>
          </w:p>
        </w:tc>
      </w:tr>
      <w:tr w:rsidR="00AD09B4" w:rsidRPr="00EF2265" w:rsidTr="00351A8A">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II. stupeň</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49</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54</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69</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76</w:t>
            </w:r>
          </w:p>
        </w:tc>
        <w:tc>
          <w:tcPr>
            <w:tcW w:w="1134"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80</w:t>
            </w:r>
          </w:p>
        </w:tc>
        <w:tc>
          <w:tcPr>
            <w:tcW w:w="1134"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76</w:t>
            </w:r>
          </w:p>
        </w:tc>
      </w:tr>
      <w:tr w:rsidR="00AD09B4" w:rsidRPr="00EF2265" w:rsidTr="00351A8A">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III. stupeň</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101</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87</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81</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73</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60</w:t>
            </w:r>
          </w:p>
        </w:tc>
        <w:tc>
          <w:tcPr>
            <w:tcW w:w="1134"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55</w:t>
            </w:r>
          </w:p>
        </w:tc>
        <w:tc>
          <w:tcPr>
            <w:tcW w:w="1134" w:type="dxa"/>
            <w:tcBorders>
              <w:top w:val="nil"/>
              <w:left w:val="nil"/>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51</w:t>
            </w:r>
          </w:p>
        </w:tc>
      </w:tr>
      <w:tr w:rsidR="00AD09B4" w:rsidRPr="00EF2265" w:rsidTr="00351A8A">
        <w:trPr>
          <w:trHeight w:val="255"/>
        </w:trPr>
        <w:tc>
          <w:tcPr>
            <w:tcW w:w="1433" w:type="dxa"/>
            <w:tcBorders>
              <w:top w:val="nil"/>
              <w:left w:val="single" w:sz="4" w:space="0" w:color="auto"/>
              <w:bottom w:val="single" w:sz="4" w:space="0" w:color="auto"/>
              <w:right w:val="single" w:sz="4" w:space="0" w:color="auto"/>
            </w:tcBorders>
            <w:shd w:val="clear" w:color="auto" w:fill="EEECE1" w:themeFill="background2"/>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381</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341</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298</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296</w:t>
            </w:r>
          </w:p>
        </w:tc>
        <w:tc>
          <w:tcPr>
            <w:tcW w:w="1134"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322</w:t>
            </w:r>
          </w:p>
        </w:tc>
        <w:tc>
          <w:tcPr>
            <w:tcW w:w="1134" w:type="dxa"/>
            <w:tcBorders>
              <w:top w:val="nil"/>
              <w:left w:val="nil"/>
              <w:bottom w:val="single" w:sz="4" w:space="0" w:color="auto"/>
              <w:right w:val="single" w:sz="4" w:space="0" w:color="auto"/>
            </w:tcBorders>
            <w:shd w:val="clear" w:color="auto" w:fill="EEECE1" w:themeFill="background2"/>
            <w:vAlign w:val="center"/>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375</w:t>
            </w:r>
          </w:p>
        </w:tc>
        <w:tc>
          <w:tcPr>
            <w:tcW w:w="1134" w:type="dxa"/>
            <w:tcBorders>
              <w:top w:val="nil"/>
              <w:left w:val="nil"/>
              <w:bottom w:val="single" w:sz="4" w:space="0" w:color="auto"/>
              <w:right w:val="single" w:sz="4" w:space="0" w:color="auto"/>
            </w:tcBorders>
            <w:shd w:val="clear" w:color="auto" w:fill="EEECE1" w:themeFill="background2"/>
            <w:vAlign w:val="center"/>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389</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50" w:name="_Ref474779770"/>
      <w:bookmarkStart w:id="51" w:name="_Toc534724793"/>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6</w:t>
      </w:r>
      <w:r w:rsidRPr="00EF2265">
        <w:rPr>
          <w:rFonts w:ascii="Times New Roman" w:hAnsi="Times New Roman"/>
          <w:sz w:val="20"/>
          <w:szCs w:val="20"/>
        </w:rPr>
        <w:fldChar w:fldCharType="end"/>
      </w:r>
      <w:bookmarkEnd w:id="50"/>
      <w:r w:rsidRPr="00EF2265">
        <w:rPr>
          <w:rFonts w:ascii="Times New Roman" w:hAnsi="Times New Roman"/>
          <w:sz w:val="20"/>
          <w:szCs w:val="20"/>
        </w:rPr>
        <w:t>: Vývoj počtu zahraničných študentov</w:t>
      </w:r>
      <w:bookmarkEnd w:id="51"/>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61DF8F45" wp14:editId="5888452C">
            <wp:extent cx="5054600" cy="3234905"/>
            <wp:effectExtent l="0" t="0" r="0" b="381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Počet zahraničných študentov na STU stále predstavuje z celkového počtu študentov STU štatisticky nevýznamnú časť </w:t>
      </w:r>
      <w:r w:rsidRPr="00EF2265">
        <w:rPr>
          <w:rFonts w:ascii="Times New Roman" w:hAnsi="Times New Roman"/>
          <w:b/>
          <w:sz w:val="20"/>
          <w:szCs w:val="20"/>
        </w:rPr>
        <w:t>3,3 %</w:t>
      </w:r>
      <w:r w:rsidRPr="00EF2265">
        <w:rPr>
          <w:rFonts w:ascii="Times New Roman" w:hAnsi="Times New Roman"/>
          <w:sz w:val="20"/>
          <w:szCs w:val="20"/>
        </w:rPr>
        <w:t>. Jedným z dôvodov tohto stavu bol zanedbateľný počet študijných programov, ktoré boli komplexne ponúkané a uskutočňované v anglickom jazyku. STU mala jeden zo strategických cieľov zadefinovaných v Dlhodobom zámere STU pre roky 2012 až 2017 zvýšiť podiel zahraničných študentov študujúcich na STU, preto v rámci komplexnej akreditácie rozšírila ponuku akreditovaných študijných programov uskutočňovaných výlučne v anglickom jazyku. Napriek tomu, že v posudzovanom akademickom roku mala STU priznané práva pre 161 študijných programov v anglickom jazyku, štúdium bolo realizované len v 13 z nich (3 na prvom stupni a 4 na druhom a 6 na treťom stupni štúdia) ako je uvedené v prvej časti správy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_Ref474771250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2</w:t>
      </w:r>
      <w:r w:rsidRPr="00EF2265">
        <w:rPr>
          <w:rFonts w:ascii="Times New Roman" w:hAnsi="Times New Roman"/>
          <w:sz w:val="20"/>
          <w:szCs w:val="20"/>
        </w:rPr>
        <w:fldChar w:fldCharType="end"/>
      </w:r>
      <w:r w:rsidRPr="00EF2265">
        <w:rPr>
          <w:rFonts w:ascii="Times New Roman" w:hAnsi="Times New Roman"/>
          <w:sz w:val="20"/>
          <w:szCs w:val="20"/>
        </w:rPr>
        <w:t xml:space="preserve"> 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_Ref474776554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w:t>
      </w:r>
      <w:r w:rsidRPr="00EF2265">
        <w:rPr>
          <w:rFonts w:ascii="Times New Roman" w:hAnsi="Times New Roman"/>
          <w:sz w:val="20"/>
          <w:szCs w:val="20"/>
        </w:rPr>
        <w:fldChar w:fldCharType="end"/>
      </w:r>
      <w:r w:rsidRPr="00EF2265">
        <w:rPr>
          <w:rFonts w:ascii="Times New Roman" w:hAnsi="Times New Roman"/>
          <w:sz w:val="20"/>
          <w:szCs w:val="20"/>
        </w:rPr>
        <w:t xml:space="preserve">.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Ďalšou možnosťou zvýšenia počtu zahraničných študentov na STU je štúdium v študijných programoch uskutočňovaných v štátnom jazyku, uvedené štúdium by bolo plne hradené z prostriedkov štátneho rozpočtu, pričom veľmi perspektívni sú občania krajín, ktorých rodný jazyk je príbuzný alebo veľmi blízky slovenskému jazyku. Dôležité je však poukázať na legislatívny rámec pre štúdium cudzincov na území Slovenska, ktorý vytvára bariéry pre uchádzačov zo zahraničia najmä občanov tretích krajín (administratívne náročná vízová politika a tiež komplikované uznávanie dokladov o vzdelaní).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akademickom roku 2017/2018 študovalo na STU v rámci štipendijných miest vlády Slovenskej republiky (oficiálna rozvojová pomoc) 21 % zahraničných študentov, čo predstavuje 164 študentov z celkového počtu zahraničných </w:t>
      </w:r>
      <w:r w:rsidRPr="00EF2265">
        <w:rPr>
          <w:rFonts w:ascii="Times New Roman" w:hAnsi="Times New Roman"/>
          <w:sz w:val="20"/>
          <w:szCs w:val="20"/>
        </w:rPr>
        <w:lastRenderedPageBreak/>
        <w:t>študentov (z toho 80 na prvom stupni, 2 na druhom stupni a 82 na treťom stupni štúdia). Ich štúdium bolo uskutočňované v štátnom jazyku.</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Jednou z dlhodobo perspektívnych možností zvýšenia počtu zahraničných študentov na STU je organizovanie prípravných jazykových a odborných kurzov/modulov realizovaných v anglickom a v slovenskom jazyku prostredníctvom Inštitútu celoživotného vzdelávania STU pre záujemcov o štúdium technických odborov, ako aj pre zahraničných študentov. Cieľom je pripraviť potencionálnych uchádzačov o štúdium, resp. študentov na úspešné zvládnutie štúdia technických študijných programov na STU ako aj preklenutie rozdielov v získaných vedomostiach po absolvovaní predchádzajúceho štúdia v zahraničí. Pre organizovanie takejto jazykovej a odbornej prípravy na štúdium na vysokej škole je vytvorený legislatívny rámec. Bližšie je uvedené v časti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_Ref506455393 \w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Pr>
          <w:rFonts w:ascii="Times New Roman" w:hAnsi="Times New Roman"/>
          <w:sz w:val="20"/>
          <w:szCs w:val="20"/>
        </w:rPr>
        <w:t>4.2</w:t>
      </w:r>
      <w:r w:rsidRPr="00EF2265">
        <w:rPr>
          <w:rFonts w:ascii="Times New Roman" w:hAnsi="Times New Roman"/>
          <w:sz w:val="20"/>
          <w:szCs w:val="20"/>
        </w:rPr>
        <w:fldChar w:fldCharType="end"/>
      </w:r>
      <w:r w:rsidRPr="00EF2265">
        <w:rPr>
          <w:rFonts w:ascii="Times New Roman" w:hAnsi="Times New Roman"/>
          <w:sz w:val="20"/>
          <w:szCs w:val="20"/>
        </w:rPr>
        <w:t xml:space="preserve">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_Ref506455393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1C349F">
        <w:rPr>
          <w:rFonts w:ascii="Times New Roman" w:hAnsi="Times New Roman"/>
          <w:sz w:val="20"/>
          <w:szCs w:val="20"/>
        </w:rPr>
        <w:t>Aktivity Inštitútu celoživotného vzdelávania STU (ICV)</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Kvantitatívne porovnanie počtu zahraničných študentov na jednotlivých stupňoch štúdia a súčastiach STU s celkovým počtom študentov v akademickom roku 2016/2017 a 2017/2018 a medziročné zmeny uvádza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_Ref474777029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16</w:t>
      </w:r>
      <w:r w:rsidRPr="00EF2265">
        <w:rPr>
          <w:rFonts w:ascii="Times New Roman" w:hAnsi="Times New Roman"/>
          <w:sz w:val="20"/>
          <w:szCs w:val="20"/>
        </w:rPr>
        <w:fldChar w:fldCharType="end"/>
      </w:r>
      <w:r w:rsidRPr="00EF2265">
        <w:rPr>
          <w:rFonts w:ascii="Times New Roman" w:hAnsi="Times New Roman"/>
          <w:sz w:val="20"/>
          <w:szCs w:val="20"/>
        </w:rPr>
        <w:t xml:space="preserve">. Ako je z tabuľky zrejmé, potešiteľný je najmä </w:t>
      </w:r>
      <w:r w:rsidRPr="00EF2265">
        <w:rPr>
          <w:rFonts w:ascii="Times New Roman" w:hAnsi="Times New Roman"/>
          <w:b/>
          <w:sz w:val="20"/>
          <w:szCs w:val="20"/>
        </w:rPr>
        <w:t>nárast zahraničných študentov na prvom stupni štúdia</w:t>
      </w:r>
      <w:r w:rsidRPr="00EF2265">
        <w:rPr>
          <w:rFonts w:ascii="Times New Roman" w:hAnsi="Times New Roman"/>
          <w:sz w:val="20"/>
          <w:szCs w:val="20"/>
        </w:rPr>
        <w:t xml:space="preserve">, ktorý predstavuje medziročne </w:t>
      </w:r>
      <w:r w:rsidRPr="00EF2265">
        <w:rPr>
          <w:rFonts w:ascii="Times New Roman" w:hAnsi="Times New Roman"/>
          <w:b/>
          <w:sz w:val="20"/>
          <w:szCs w:val="20"/>
        </w:rPr>
        <w:t>22 študentov</w:t>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sectPr w:rsidR="00AD09B4" w:rsidRPr="00EF2265" w:rsidSect="00351A8A">
          <w:headerReference w:type="default" r:id="rId26"/>
          <w:pgSz w:w="11906" w:h="16838"/>
          <w:pgMar w:top="1560" w:right="991" w:bottom="851" w:left="1417" w:header="708" w:footer="545" w:gutter="0"/>
          <w:cols w:space="708"/>
        </w:sectPr>
      </w:pPr>
    </w:p>
    <w:p w:rsidR="00AD09B4" w:rsidRPr="00EF2265" w:rsidRDefault="00AD09B4" w:rsidP="00E86605">
      <w:pPr>
        <w:tabs>
          <w:tab w:val="left" w:pos="9356"/>
        </w:tabs>
        <w:jc w:val="left"/>
        <w:rPr>
          <w:rFonts w:ascii="Times New Roman" w:hAnsi="Times New Roman"/>
          <w:sz w:val="20"/>
          <w:szCs w:val="20"/>
        </w:rPr>
      </w:pPr>
      <w:bookmarkStart w:id="52" w:name="_Ref474777029"/>
      <w:bookmarkStart w:id="53" w:name="_Toc534793955"/>
      <w:r w:rsidRPr="00EF2265">
        <w:rPr>
          <w:rFonts w:ascii="Times New Roman" w:hAnsi="Times New Roman"/>
          <w:sz w:val="20"/>
          <w:szCs w:val="20"/>
        </w:rPr>
        <w:lastRenderedPageBreak/>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16</w:t>
      </w:r>
      <w:r w:rsidRPr="00EF2265">
        <w:rPr>
          <w:rFonts w:ascii="Times New Roman" w:hAnsi="Times New Roman"/>
          <w:sz w:val="20"/>
          <w:szCs w:val="20"/>
        </w:rPr>
        <w:fldChar w:fldCharType="end"/>
      </w:r>
      <w:bookmarkEnd w:id="52"/>
      <w:r w:rsidRPr="00EF2265">
        <w:rPr>
          <w:rFonts w:ascii="Times New Roman" w:hAnsi="Times New Roman"/>
          <w:sz w:val="20"/>
          <w:szCs w:val="20"/>
        </w:rPr>
        <w:t>: Porovnanie zahraničných študentov k celkovému počtu študentov v akademickom roku 2016/2017 a 2017/2018</w:t>
      </w:r>
      <w:bookmarkEnd w:id="53"/>
    </w:p>
    <w:tbl>
      <w:tblPr>
        <w:tblW w:w="14464" w:type="dxa"/>
        <w:tblInd w:w="-10" w:type="dxa"/>
        <w:tblLayout w:type="fixed"/>
        <w:tblCellMar>
          <w:left w:w="70" w:type="dxa"/>
          <w:right w:w="70" w:type="dxa"/>
        </w:tblCellMar>
        <w:tblLook w:val="04A0" w:firstRow="1" w:lastRow="0" w:firstColumn="1" w:lastColumn="0" w:noHBand="0" w:noVBand="1"/>
      </w:tblPr>
      <w:tblGrid>
        <w:gridCol w:w="709"/>
        <w:gridCol w:w="567"/>
        <w:gridCol w:w="614"/>
        <w:gridCol w:w="520"/>
        <w:gridCol w:w="567"/>
        <w:gridCol w:w="709"/>
        <w:gridCol w:w="850"/>
        <w:gridCol w:w="851"/>
        <w:gridCol w:w="567"/>
        <w:gridCol w:w="567"/>
        <w:gridCol w:w="567"/>
        <w:gridCol w:w="567"/>
        <w:gridCol w:w="709"/>
        <w:gridCol w:w="850"/>
        <w:gridCol w:w="767"/>
        <w:gridCol w:w="509"/>
        <w:gridCol w:w="567"/>
        <w:gridCol w:w="567"/>
        <w:gridCol w:w="567"/>
        <w:gridCol w:w="645"/>
        <w:gridCol w:w="631"/>
        <w:gridCol w:w="997"/>
      </w:tblGrid>
      <w:tr w:rsidR="00AD09B4" w:rsidRPr="00EF2265" w:rsidTr="00351A8A">
        <w:trPr>
          <w:trHeight w:val="255"/>
        </w:trPr>
        <w:tc>
          <w:tcPr>
            <w:tcW w:w="709" w:type="dxa"/>
            <w:vMerge w:val="restar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 </w:t>
            </w:r>
          </w:p>
        </w:tc>
        <w:tc>
          <w:tcPr>
            <w:tcW w:w="4678"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2016/2017</w:t>
            </w:r>
          </w:p>
        </w:tc>
        <w:tc>
          <w:tcPr>
            <w:tcW w:w="4594"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2017/2018</w:t>
            </w:r>
          </w:p>
        </w:tc>
        <w:tc>
          <w:tcPr>
            <w:tcW w:w="448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medziročné zmeny</w:t>
            </w:r>
          </w:p>
        </w:tc>
      </w:tr>
      <w:tr w:rsidR="00AD09B4" w:rsidRPr="00EF2265" w:rsidTr="00351A8A">
        <w:trPr>
          <w:trHeight w:val="345"/>
        </w:trPr>
        <w:tc>
          <w:tcPr>
            <w:tcW w:w="709" w:type="dxa"/>
            <w:vMerge/>
            <w:tcBorders>
              <w:top w:val="single" w:sz="4" w:space="0" w:color="auto"/>
              <w:left w:val="single" w:sz="8" w:space="0" w:color="auto"/>
              <w:bottom w:val="single" w:sz="4" w:space="0" w:color="auto"/>
              <w:right w:val="single" w:sz="8"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567" w:type="dxa"/>
            <w:vMerge w:val="restart"/>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w:t>
            </w:r>
          </w:p>
        </w:tc>
        <w:tc>
          <w:tcPr>
            <w:tcW w:w="6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w:t>
            </w:r>
          </w:p>
        </w:tc>
        <w:tc>
          <w:tcPr>
            <w:tcW w:w="1087" w:type="dxa"/>
            <w:gridSpan w:val="2"/>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III.st.</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sym w:font="Symbol" w:char="F053"/>
            </w:r>
            <w:r w:rsidRPr="00EF2265">
              <w:rPr>
                <w:rFonts w:ascii="Times New Roman" w:eastAsia="Times New Roman" w:hAnsi="Times New Roman"/>
                <w:sz w:val="20"/>
                <w:szCs w:val="20"/>
                <w:lang w:eastAsia="sk-SK"/>
              </w:rPr>
              <w:t>ZŠ</w:t>
            </w:r>
          </w:p>
          <w:p w:rsidR="00AD09B4" w:rsidRPr="00EF2265" w:rsidRDefault="00AD09B4" w:rsidP="00E86605">
            <w:pPr>
              <w:tabs>
                <w:tab w:val="left" w:pos="9356"/>
              </w:tabs>
              <w:ind w:right="-69" w:hanging="68"/>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(b+c+d+e)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štud.</w:t>
            </w:r>
          </w:p>
        </w:tc>
        <w:tc>
          <w:tcPr>
            <w:tcW w:w="851" w:type="dxa"/>
            <w:vMerge w:val="restart"/>
            <w:tcBorders>
              <w:top w:val="nil"/>
              <w:left w:val="single" w:sz="4" w:space="0" w:color="auto"/>
              <w:bottom w:val="single" w:sz="4" w:space="0" w:color="auto"/>
              <w:right w:val="single" w:sz="8" w:space="0" w:color="auto"/>
            </w:tcBorders>
            <w:shd w:val="clear" w:color="auto" w:fill="EEECE1" w:themeFill="background2"/>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ZŠ</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 počtu štud.</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(f/g)</w:t>
            </w:r>
          </w:p>
        </w:tc>
        <w:tc>
          <w:tcPr>
            <w:tcW w:w="567" w:type="dxa"/>
            <w:vMerge w:val="restart"/>
            <w:tcBorders>
              <w:top w:val="nil"/>
              <w:left w:val="nil"/>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III.st.</w:t>
            </w:r>
          </w:p>
        </w:tc>
        <w:tc>
          <w:tcPr>
            <w:tcW w:w="709" w:type="dxa"/>
            <w:vMerge w:val="restart"/>
            <w:tcBorders>
              <w:top w:val="nil"/>
              <w:left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sym w:font="Symbol" w:char="F053"/>
            </w:r>
            <w:r w:rsidRPr="00EF2265">
              <w:rPr>
                <w:rFonts w:ascii="Times New Roman" w:eastAsia="Times New Roman" w:hAnsi="Times New Roman"/>
                <w:sz w:val="20"/>
                <w:szCs w:val="20"/>
                <w:lang w:eastAsia="sk-SK"/>
              </w:rPr>
              <w:t>ZŠ</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(i+j+k+l)</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štud.</w:t>
            </w:r>
          </w:p>
        </w:tc>
        <w:tc>
          <w:tcPr>
            <w:tcW w:w="767" w:type="dxa"/>
            <w:vMerge w:val="restart"/>
            <w:tcBorders>
              <w:top w:val="nil"/>
              <w:left w:val="single" w:sz="4" w:space="0" w:color="auto"/>
              <w:bottom w:val="single" w:sz="4" w:space="0" w:color="000000"/>
              <w:right w:val="single" w:sz="8" w:space="0" w:color="auto"/>
            </w:tcBorders>
            <w:shd w:val="clear" w:color="auto" w:fill="EEECE1" w:themeFill="background2"/>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ZŠ</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 počtu štud.</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(m/n)</w:t>
            </w:r>
          </w:p>
        </w:tc>
        <w:tc>
          <w:tcPr>
            <w:tcW w:w="509" w:type="dxa"/>
            <w:vMerge w:val="restart"/>
            <w:tcBorders>
              <w:top w:val="nil"/>
              <w:left w:val="nil"/>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(i-b)</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(j-c)</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III.st.</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sym w:font="Symbol" w:char="F053"/>
            </w:r>
            <w:r w:rsidRPr="00EF2265">
              <w:rPr>
                <w:rFonts w:ascii="Times New Roman" w:eastAsia="Times New Roman" w:hAnsi="Times New Roman"/>
                <w:sz w:val="20"/>
                <w:szCs w:val="20"/>
                <w:lang w:eastAsia="sk-SK"/>
              </w:rPr>
              <w:t>ZŠ</w:t>
            </w:r>
          </w:p>
          <w:p w:rsidR="00AD09B4" w:rsidRPr="00EF2265" w:rsidRDefault="00AD09B4" w:rsidP="00E86605">
            <w:pPr>
              <w:tabs>
                <w:tab w:val="left" w:pos="9356"/>
              </w:tabs>
              <w:ind w:right="-75" w:hanging="63"/>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(p+r+s+t)</w:t>
            </w:r>
          </w:p>
        </w:tc>
        <w:tc>
          <w:tcPr>
            <w:tcW w:w="631" w:type="dxa"/>
            <w:vMerge w:val="restart"/>
            <w:tcBorders>
              <w:top w:val="nil"/>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štud.</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(n-g)</w:t>
            </w:r>
          </w:p>
        </w:tc>
        <w:tc>
          <w:tcPr>
            <w:tcW w:w="997" w:type="dxa"/>
            <w:vMerge w:val="restart"/>
            <w:tcBorders>
              <w:top w:val="nil"/>
              <w:left w:val="single" w:sz="4" w:space="0" w:color="auto"/>
              <w:bottom w:val="single" w:sz="4" w:space="0" w:color="000000"/>
              <w:right w:val="single" w:sz="8" w:space="0" w:color="auto"/>
            </w:tcBorders>
            <w:shd w:val="clear" w:color="auto" w:fill="EEECE1" w:themeFill="background2"/>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pomer ZŠ 2017/2018 k 2016/2017 (m/f)</w:t>
            </w:r>
          </w:p>
        </w:tc>
      </w:tr>
      <w:tr w:rsidR="00AD09B4" w:rsidRPr="00EF2265" w:rsidTr="00351A8A">
        <w:trPr>
          <w:trHeight w:val="348"/>
        </w:trPr>
        <w:tc>
          <w:tcPr>
            <w:tcW w:w="709" w:type="dxa"/>
            <w:vMerge/>
            <w:tcBorders>
              <w:top w:val="single" w:sz="4" w:space="0" w:color="auto"/>
              <w:left w:val="single" w:sz="8" w:space="0" w:color="auto"/>
              <w:bottom w:val="single" w:sz="4" w:space="0" w:color="auto"/>
              <w:right w:val="single" w:sz="8"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567" w:type="dxa"/>
            <w:vMerge/>
            <w:tcBorders>
              <w:top w:val="nil"/>
              <w:left w:val="nil"/>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614" w:type="dxa"/>
            <w:vMerge/>
            <w:tcBorders>
              <w:top w:val="nil"/>
              <w:left w:val="single" w:sz="4"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5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DF</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EF</w:t>
            </w:r>
          </w:p>
        </w:tc>
        <w:tc>
          <w:tcPr>
            <w:tcW w:w="709" w:type="dxa"/>
            <w:vMerge/>
            <w:tcBorders>
              <w:top w:val="nil"/>
              <w:left w:val="single" w:sz="4"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850" w:type="dxa"/>
            <w:vMerge/>
            <w:tcBorders>
              <w:top w:val="nil"/>
              <w:left w:val="single" w:sz="4" w:space="0" w:color="auto"/>
              <w:bottom w:val="single" w:sz="4" w:space="0" w:color="auto"/>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851" w:type="dxa"/>
            <w:vMerge/>
            <w:tcBorders>
              <w:top w:val="nil"/>
              <w:left w:val="single" w:sz="4" w:space="0" w:color="auto"/>
              <w:bottom w:val="single" w:sz="4" w:space="0" w:color="auto"/>
              <w:right w:val="single" w:sz="8"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567" w:type="dxa"/>
            <w:vMerge/>
            <w:tcBorders>
              <w:top w:val="nil"/>
              <w:left w:val="nil"/>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567"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DF</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EF</w:t>
            </w:r>
          </w:p>
        </w:tc>
        <w:tc>
          <w:tcPr>
            <w:tcW w:w="709" w:type="dxa"/>
            <w:vMerge/>
            <w:tcBorders>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850"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767" w:type="dxa"/>
            <w:vMerge/>
            <w:tcBorders>
              <w:top w:val="nil"/>
              <w:left w:val="single" w:sz="4" w:space="0" w:color="auto"/>
              <w:bottom w:val="single" w:sz="4" w:space="0" w:color="000000"/>
              <w:right w:val="single" w:sz="8"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509" w:type="dxa"/>
            <w:vMerge/>
            <w:tcBorders>
              <w:top w:val="nil"/>
              <w:left w:val="nil"/>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567"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DF</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(k-d)</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EF</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(l-e)</w:t>
            </w:r>
          </w:p>
        </w:tc>
        <w:tc>
          <w:tcPr>
            <w:tcW w:w="645"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631"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997" w:type="dxa"/>
            <w:vMerge/>
            <w:tcBorders>
              <w:top w:val="nil"/>
              <w:left w:val="single" w:sz="4" w:space="0" w:color="auto"/>
              <w:bottom w:val="single" w:sz="4" w:space="0" w:color="000000"/>
              <w:right w:val="single" w:sz="8"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r>
      <w:tr w:rsidR="00AD09B4" w:rsidRPr="00EF2265" w:rsidTr="00351A8A">
        <w:trPr>
          <w:trHeight w:val="270"/>
        </w:trPr>
        <w:tc>
          <w:tcPr>
            <w:tcW w:w="709" w:type="dxa"/>
            <w:tcBorders>
              <w:top w:val="nil"/>
              <w:left w:val="single" w:sz="8" w:space="0" w:color="auto"/>
              <w:bottom w:val="single" w:sz="4" w:space="0" w:color="auto"/>
              <w:right w:val="single" w:sz="8"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bCs/>
                <w:i/>
                <w:sz w:val="20"/>
                <w:szCs w:val="20"/>
                <w:lang w:eastAsia="sk-SK"/>
              </w:rPr>
            </w:pPr>
            <w:r w:rsidRPr="00EF2265">
              <w:rPr>
                <w:rFonts w:ascii="Times New Roman" w:eastAsia="Times New Roman" w:hAnsi="Times New Roman"/>
                <w:b/>
                <w:bCs/>
                <w:i/>
                <w:sz w:val="20"/>
                <w:szCs w:val="20"/>
                <w:lang w:eastAsia="sk-SK"/>
              </w:rPr>
              <w:t>a</w:t>
            </w:r>
          </w:p>
        </w:tc>
        <w:tc>
          <w:tcPr>
            <w:tcW w:w="567"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b</w:t>
            </w:r>
          </w:p>
        </w:tc>
        <w:tc>
          <w:tcPr>
            <w:tcW w:w="614"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c</w:t>
            </w:r>
          </w:p>
        </w:tc>
        <w:tc>
          <w:tcPr>
            <w:tcW w:w="520"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d</w:t>
            </w:r>
          </w:p>
        </w:tc>
        <w:tc>
          <w:tcPr>
            <w:tcW w:w="567"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e</w:t>
            </w:r>
          </w:p>
        </w:tc>
        <w:tc>
          <w:tcPr>
            <w:tcW w:w="709"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f</w:t>
            </w:r>
          </w:p>
        </w:tc>
        <w:tc>
          <w:tcPr>
            <w:tcW w:w="850"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g</w:t>
            </w:r>
          </w:p>
        </w:tc>
        <w:tc>
          <w:tcPr>
            <w:tcW w:w="851" w:type="dxa"/>
            <w:tcBorders>
              <w:top w:val="nil"/>
              <w:left w:val="nil"/>
              <w:bottom w:val="single" w:sz="4" w:space="0" w:color="auto"/>
              <w:right w:val="single" w:sz="8" w:space="0" w:color="auto"/>
            </w:tcBorders>
            <w:shd w:val="clear" w:color="auto" w:fill="EEECE1" w:themeFill="background2"/>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h</w:t>
            </w:r>
          </w:p>
        </w:tc>
        <w:tc>
          <w:tcPr>
            <w:tcW w:w="567"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i</w:t>
            </w:r>
          </w:p>
        </w:tc>
        <w:tc>
          <w:tcPr>
            <w:tcW w:w="567"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j</w:t>
            </w:r>
          </w:p>
        </w:tc>
        <w:tc>
          <w:tcPr>
            <w:tcW w:w="567"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k</w:t>
            </w:r>
          </w:p>
        </w:tc>
        <w:tc>
          <w:tcPr>
            <w:tcW w:w="567"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l</w:t>
            </w:r>
          </w:p>
        </w:tc>
        <w:tc>
          <w:tcPr>
            <w:tcW w:w="709"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m</w:t>
            </w:r>
          </w:p>
        </w:tc>
        <w:tc>
          <w:tcPr>
            <w:tcW w:w="850"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n</w:t>
            </w:r>
          </w:p>
        </w:tc>
        <w:tc>
          <w:tcPr>
            <w:tcW w:w="767" w:type="dxa"/>
            <w:tcBorders>
              <w:top w:val="nil"/>
              <w:left w:val="nil"/>
              <w:bottom w:val="single" w:sz="4" w:space="0" w:color="auto"/>
              <w:right w:val="single" w:sz="8" w:space="0" w:color="auto"/>
            </w:tcBorders>
            <w:shd w:val="clear" w:color="auto" w:fill="EEECE1" w:themeFill="background2"/>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o</w:t>
            </w:r>
          </w:p>
        </w:tc>
        <w:tc>
          <w:tcPr>
            <w:tcW w:w="509"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p</w:t>
            </w:r>
          </w:p>
        </w:tc>
        <w:tc>
          <w:tcPr>
            <w:tcW w:w="567"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r</w:t>
            </w:r>
          </w:p>
        </w:tc>
        <w:tc>
          <w:tcPr>
            <w:tcW w:w="567"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s</w:t>
            </w:r>
          </w:p>
        </w:tc>
        <w:tc>
          <w:tcPr>
            <w:tcW w:w="567"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t</w:t>
            </w:r>
          </w:p>
        </w:tc>
        <w:tc>
          <w:tcPr>
            <w:tcW w:w="645"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u</w:t>
            </w:r>
          </w:p>
        </w:tc>
        <w:tc>
          <w:tcPr>
            <w:tcW w:w="631"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v</w:t>
            </w:r>
          </w:p>
        </w:tc>
        <w:tc>
          <w:tcPr>
            <w:tcW w:w="997" w:type="dxa"/>
            <w:tcBorders>
              <w:top w:val="nil"/>
              <w:left w:val="nil"/>
              <w:bottom w:val="single" w:sz="4" w:space="0" w:color="auto"/>
              <w:right w:val="single" w:sz="8" w:space="0" w:color="auto"/>
            </w:tcBorders>
            <w:shd w:val="clear" w:color="auto" w:fill="EEECE1" w:themeFill="background2"/>
            <w:noWrap/>
            <w:vAlign w:val="bottom"/>
          </w:tcPr>
          <w:p w:rsidR="00AD09B4" w:rsidRPr="00EF2265" w:rsidRDefault="00AD09B4" w:rsidP="00E86605">
            <w:pPr>
              <w:tabs>
                <w:tab w:val="left" w:pos="9356"/>
              </w:tabs>
              <w:jc w:val="left"/>
              <w:rPr>
                <w:rFonts w:ascii="Times New Roman" w:eastAsia="Times New Roman" w:hAnsi="Times New Roman"/>
                <w:i/>
                <w:sz w:val="20"/>
                <w:szCs w:val="20"/>
                <w:lang w:eastAsia="sk-SK"/>
              </w:rPr>
            </w:pPr>
            <w:r w:rsidRPr="00EF2265">
              <w:rPr>
                <w:rFonts w:ascii="Times New Roman" w:eastAsia="Times New Roman" w:hAnsi="Times New Roman"/>
                <w:i/>
                <w:sz w:val="20"/>
                <w:szCs w:val="20"/>
                <w:lang w:eastAsia="sk-SK"/>
              </w:rPr>
              <w:t>z</w:t>
            </w:r>
          </w:p>
        </w:tc>
      </w:tr>
      <w:tr w:rsidR="00AD09B4" w:rsidRPr="00EF2265" w:rsidTr="00351A8A">
        <w:trPr>
          <w:trHeight w:val="270"/>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51</w:t>
            </w:r>
          </w:p>
        </w:tc>
        <w:tc>
          <w:tcPr>
            <w:tcW w:w="6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25</w:t>
            </w:r>
          </w:p>
        </w:tc>
        <w:tc>
          <w:tcPr>
            <w:tcW w:w="5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80</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2 784</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2,9%</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87</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2 423</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w:t>
            </w:r>
          </w:p>
        </w:tc>
        <w:tc>
          <w:tcPr>
            <w:tcW w:w="5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6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-361</w:t>
            </w:r>
          </w:p>
        </w:tc>
        <w:tc>
          <w:tcPr>
            <w:tcW w:w="99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1,09</w:t>
            </w:r>
          </w:p>
        </w:tc>
      </w:tr>
      <w:tr w:rsidR="00AD09B4" w:rsidRPr="00EF2265" w:rsidTr="00351A8A">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35</w:t>
            </w:r>
          </w:p>
        </w:tc>
        <w:tc>
          <w:tcPr>
            <w:tcW w:w="6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w:t>
            </w:r>
          </w:p>
        </w:tc>
        <w:tc>
          <w:tcPr>
            <w:tcW w:w="5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79</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1 079</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7,3%</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65</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936</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6,9%</w:t>
            </w:r>
          </w:p>
        </w:tc>
        <w:tc>
          <w:tcPr>
            <w:tcW w:w="5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6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-143</w:t>
            </w:r>
          </w:p>
        </w:tc>
        <w:tc>
          <w:tcPr>
            <w:tcW w:w="99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0,82</w:t>
            </w:r>
          </w:p>
        </w:tc>
      </w:tr>
      <w:tr w:rsidR="00AD09B4" w:rsidRPr="00EF2265" w:rsidTr="00351A8A">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75</w:t>
            </w:r>
          </w:p>
        </w:tc>
        <w:tc>
          <w:tcPr>
            <w:tcW w:w="6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5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89</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2 262</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80</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94</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2 248</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4,2%</w:t>
            </w:r>
          </w:p>
        </w:tc>
        <w:tc>
          <w:tcPr>
            <w:tcW w:w="5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6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99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1,06</w:t>
            </w:r>
          </w:p>
        </w:tc>
      </w:tr>
      <w:tr w:rsidR="00AD09B4" w:rsidRPr="00EF2265" w:rsidTr="00351A8A">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w:t>
            </w:r>
          </w:p>
        </w:tc>
        <w:tc>
          <w:tcPr>
            <w:tcW w:w="6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48</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1 986</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47</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1 631</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2,9%</w:t>
            </w:r>
          </w:p>
        </w:tc>
        <w:tc>
          <w:tcPr>
            <w:tcW w:w="5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6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-355</w:t>
            </w:r>
          </w:p>
        </w:tc>
        <w:tc>
          <w:tcPr>
            <w:tcW w:w="99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0,98</w:t>
            </w:r>
          </w:p>
        </w:tc>
      </w:tr>
      <w:tr w:rsidR="00AD09B4" w:rsidRPr="00EF2265" w:rsidTr="00351A8A">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6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5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998</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954</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c>
          <w:tcPr>
            <w:tcW w:w="5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6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-44</w:t>
            </w:r>
          </w:p>
        </w:tc>
        <w:tc>
          <w:tcPr>
            <w:tcW w:w="99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1,53</w:t>
            </w:r>
          </w:p>
        </w:tc>
      </w:tr>
      <w:tr w:rsidR="00AD09B4" w:rsidRPr="00EF2265" w:rsidTr="00351A8A">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6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5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2 526</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2 234</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6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-292</w:t>
            </w:r>
          </w:p>
        </w:tc>
        <w:tc>
          <w:tcPr>
            <w:tcW w:w="99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0,95</w:t>
            </w:r>
          </w:p>
        </w:tc>
      </w:tr>
      <w:tr w:rsidR="00AD09B4" w:rsidRPr="00EF2265" w:rsidTr="00351A8A">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w:t>
            </w:r>
          </w:p>
        </w:tc>
        <w:tc>
          <w:tcPr>
            <w:tcW w:w="6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5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38</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1 295</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2,9%</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47</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1 162</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4,0%</w:t>
            </w:r>
          </w:p>
        </w:tc>
        <w:tc>
          <w:tcPr>
            <w:tcW w:w="5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6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-133</w:t>
            </w:r>
          </w:p>
        </w:tc>
        <w:tc>
          <w:tcPr>
            <w:tcW w:w="99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1,24</w:t>
            </w:r>
          </w:p>
        </w:tc>
      </w:tr>
      <w:tr w:rsidR="00AD09B4" w:rsidRPr="00EF2265" w:rsidTr="00351A8A">
        <w:trPr>
          <w:trHeight w:val="255"/>
        </w:trPr>
        <w:tc>
          <w:tcPr>
            <w:tcW w:w="709" w:type="dxa"/>
            <w:tcBorders>
              <w:top w:val="nil"/>
              <w:left w:val="single" w:sz="8" w:space="0" w:color="auto"/>
              <w:bottom w:val="single" w:sz="4" w:space="0" w:color="auto"/>
              <w:right w:val="single" w:sz="8"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5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178</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160</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w:t>
            </w:r>
          </w:p>
        </w:tc>
        <w:tc>
          <w:tcPr>
            <w:tcW w:w="50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64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w:t>
            </w:r>
          </w:p>
        </w:tc>
        <w:tc>
          <w:tcPr>
            <w:tcW w:w="99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1,00</w:t>
            </w:r>
          </w:p>
        </w:tc>
      </w:tr>
      <w:tr w:rsidR="00AD09B4" w:rsidRPr="00EF2265" w:rsidTr="00351A8A">
        <w:trPr>
          <w:trHeight w:val="255"/>
        </w:trPr>
        <w:tc>
          <w:tcPr>
            <w:tcW w:w="709" w:type="dxa"/>
            <w:tcBorders>
              <w:top w:val="nil"/>
              <w:left w:val="single" w:sz="8" w:space="0" w:color="auto"/>
              <w:bottom w:val="single" w:sz="4" w:space="0" w:color="auto"/>
              <w:right w:val="single" w:sz="8"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240</w:t>
            </w:r>
          </w:p>
        </w:tc>
        <w:tc>
          <w:tcPr>
            <w:tcW w:w="61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80</w:t>
            </w:r>
          </w:p>
        </w:tc>
        <w:tc>
          <w:tcPr>
            <w:tcW w:w="52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35</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375</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13 108</w:t>
            </w:r>
          </w:p>
        </w:tc>
        <w:tc>
          <w:tcPr>
            <w:tcW w:w="851"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2,9%</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262</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76</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26</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25</w:t>
            </w:r>
          </w:p>
        </w:tc>
        <w:tc>
          <w:tcPr>
            <w:tcW w:w="709"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389</w:t>
            </w:r>
          </w:p>
        </w:tc>
        <w:tc>
          <w:tcPr>
            <w:tcW w:w="85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11 748</w:t>
            </w:r>
          </w:p>
        </w:tc>
        <w:tc>
          <w:tcPr>
            <w:tcW w:w="76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3,3%</w:t>
            </w:r>
          </w:p>
        </w:tc>
        <w:tc>
          <w:tcPr>
            <w:tcW w:w="509"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22</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w:t>
            </w:r>
          </w:p>
        </w:tc>
        <w:tc>
          <w:tcPr>
            <w:tcW w:w="5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-10</w:t>
            </w:r>
          </w:p>
        </w:tc>
        <w:tc>
          <w:tcPr>
            <w:tcW w:w="64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14</w:t>
            </w:r>
          </w:p>
        </w:tc>
        <w:tc>
          <w:tcPr>
            <w:tcW w:w="63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ind w:right="-72" w:hanging="6"/>
              <w:jc w:val="left"/>
              <w:rPr>
                <w:rFonts w:ascii="Times New Roman" w:hAnsi="Times New Roman"/>
                <w:b/>
                <w:bCs/>
                <w:sz w:val="20"/>
                <w:szCs w:val="20"/>
              </w:rPr>
            </w:pPr>
            <w:r w:rsidRPr="00EF2265">
              <w:rPr>
                <w:rFonts w:ascii="Times New Roman" w:hAnsi="Times New Roman"/>
                <w:b/>
                <w:bCs/>
                <w:sz w:val="20"/>
                <w:szCs w:val="20"/>
              </w:rPr>
              <w:t>-1 360</w:t>
            </w:r>
          </w:p>
        </w:tc>
        <w:tc>
          <w:tcPr>
            <w:tcW w:w="997" w:type="dxa"/>
            <w:tcBorders>
              <w:top w:val="nil"/>
              <w:left w:val="nil"/>
              <w:bottom w:val="single" w:sz="4" w:space="0" w:color="auto"/>
              <w:right w:val="single" w:sz="8"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1,04</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Vysvetlivky:</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ZŠ - zahraniční študenti</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sym w:font="Symbol" w:char="F053"/>
      </w:r>
      <w:r w:rsidRPr="00EF2265">
        <w:rPr>
          <w:rFonts w:ascii="Times New Roman" w:hAnsi="Times New Roman"/>
          <w:sz w:val="20"/>
          <w:szCs w:val="20"/>
          <w:vertAlign w:val="subscript"/>
        </w:rPr>
        <w:t>ZŠ</w:t>
      </w:r>
      <w:r w:rsidRPr="00EF2265">
        <w:rPr>
          <w:rFonts w:ascii="Times New Roman" w:hAnsi="Times New Roman"/>
          <w:sz w:val="20"/>
          <w:szCs w:val="20"/>
        </w:rPr>
        <w:t xml:space="preserve"> - celkový počet zahraničných študentov</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Stav študentov k 31. 10. príslušného akademického roka</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sectPr w:rsidR="00AD09B4" w:rsidRPr="00EF2265" w:rsidSect="00351A8A">
          <w:headerReference w:type="default" r:id="rId27"/>
          <w:pgSz w:w="16838" w:h="11906" w:orient="landscape"/>
          <w:pgMar w:top="1417" w:right="1560" w:bottom="991" w:left="1134" w:header="708" w:footer="545" w:gutter="0"/>
          <w:cols w:space="708"/>
          <w:docGrid w:linePitch="326"/>
        </w:sectPr>
      </w:pPr>
    </w:p>
    <w:p w:rsidR="00AD09B4" w:rsidRPr="00EF2265" w:rsidRDefault="00AD09B4" w:rsidP="00E86605">
      <w:pPr>
        <w:pStyle w:val="Nadpis1"/>
        <w:numPr>
          <w:ilvl w:val="1"/>
          <w:numId w:val="8"/>
        </w:numPr>
        <w:tabs>
          <w:tab w:val="left" w:pos="9356"/>
        </w:tabs>
        <w:spacing w:after="120"/>
        <w:rPr>
          <w:rFonts w:ascii="Times New Roman" w:hAnsi="Times New Roman" w:cs="Times New Roman"/>
          <w:color w:val="auto"/>
          <w:sz w:val="20"/>
          <w:szCs w:val="20"/>
        </w:rPr>
      </w:pPr>
      <w:bookmarkStart w:id="54" w:name="_Informácie_o_akademickej"/>
      <w:bookmarkStart w:id="55" w:name="_Toc534722881"/>
      <w:bookmarkEnd w:id="54"/>
      <w:r w:rsidRPr="00EF2265">
        <w:rPr>
          <w:rFonts w:ascii="Times New Roman" w:hAnsi="Times New Roman" w:cs="Times New Roman"/>
          <w:color w:val="auto"/>
          <w:sz w:val="20"/>
          <w:szCs w:val="20"/>
        </w:rPr>
        <w:lastRenderedPageBreak/>
        <w:t>Informácie o akademickej mobilite na STU</w:t>
      </w:r>
      <w:bookmarkEnd w:id="55"/>
    </w:p>
    <w:p w:rsidR="00AD09B4" w:rsidRPr="00EF2265" w:rsidRDefault="00AD09B4" w:rsidP="00E86605">
      <w:pPr>
        <w:pStyle w:val="Normlnywebov"/>
        <w:tabs>
          <w:tab w:val="left" w:pos="9356"/>
        </w:tabs>
        <w:spacing w:beforeAutospacing="0" w:after="120" w:afterAutospacing="0"/>
        <w:jc w:val="left"/>
        <w:rPr>
          <w:sz w:val="20"/>
          <w:szCs w:val="20"/>
        </w:rPr>
      </w:pPr>
      <w:r w:rsidRPr="00EF2265">
        <w:rPr>
          <w:sz w:val="20"/>
          <w:szCs w:val="20"/>
        </w:rPr>
        <w:t>STU vysiela študentov na medzinárodné akademické mobility</w:t>
      </w:r>
      <w:r w:rsidRPr="00EF2265">
        <w:rPr>
          <w:spacing w:val="22"/>
          <w:sz w:val="20"/>
          <w:szCs w:val="20"/>
        </w:rPr>
        <w:t xml:space="preserve"> </w:t>
      </w:r>
      <w:r w:rsidRPr="00EF2265">
        <w:rPr>
          <w:sz w:val="20"/>
          <w:szCs w:val="20"/>
        </w:rPr>
        <w:t>za</w:t>
      </w:r>
      <w:r w:rsidRPr="00EF2265">
        <w:rPr>
          <w:w w:val="99"/>
          <w:sz w:val="20"/>
          <w:szCs w:val="20"/>
        </w:rPr>
        <w:t xml:space="preserve"> </w:t>
      </w:r>
      <w:r w:rsidRPr="00EF2265">
        <w:rPr>
          <w:sz w:val="20"/>
          <w:szCs w:val="20"/>
        </w:rPr>
        <w:t>účelom štúdia na zahraničných univerzitách alebo na pracovné stáže do zahraničných podnikov a firiem na rôzne dlhé časové obdobia. Rovnako</w:t>
      </w:r>
      <w:r w:rsidRPr="00EF2265">
        <w:rPr>
          <w:spacing w:val="31"/>
          <w:sz w:val="20"/>
          <w:szCs w:val="20"/>
        </w:rPr>
        <w:t xml:space="preserve"> </w:t>
      </w:r>
      <w:r w:rsidRPr="00EF2265">
        <w:rPr>
          <w:sz w:val="20"/>
          <w:szCs w:val="20"/>
        </w:rPr>
        <w:t>STU</w:t>
      </w:r>
      <w:r w:rsidRPr="00EF2265">
        <w:rPr>
          <w:w w:val="99"/>
          <w:sz w:val="20"/>
          <w:szCs w:val="20"/>
        </w:rPr>
        <w:t xml:space="preserve"> </w:t>
      </w:r>
      <w:r w:rsidRPr="00EF2265">
        <w:rPr>
          <w:sz w:val="20"/>
          <w:szCs w:val="20"/>
        </w:rPr>
        <w:t>prijíma študentov zahraničných vysokých škôl. Takéto akademické mobility sú zastrešené buď grantovým programom alebo podpísanou bilaterálnou zmluvou priamo medzi STU a zahraničnou vysokou školou.</w:t>
      </w:r>
    </w:p>
    <w:p w:rsidR="00AD09B4" w:rsidRPr="00EF2265" w:rsidRDefault="00AD09B4" w:rsidP="00E86605">
      <w:pPr>
        <w:pStyle w:val="Normlnywebov"/>
        <w:tabs>
          <w:tab w:val="left" w:pos="9356"/>
        </w:tabs>
        <w:spacing w:beforeAutospacing="0" w:after="120" w:afterAutospacing="0"/>
        <w:jc w:val="left"/>
        <w:rPr>
          <w:sz w:val="20"/>
          <w:szCs w:val="20"/>
        </w:rPr>
      </w:pPr>
      <w:r w:rsidRPr="00EF2265">
        <w:rPr>
          <w:sz w:val="20"/>
          <w:szCs w:val="20"/>
        </w:rPr>
        <w:t>Mobility študentov sú jedným z významných nástrojov stratégie internacionalizácie STU. Cieľom podporovania akademických mobilít prichádzajúcich zahraničných študentov je v súlade s Dlhodobým zámerom vzdelávacej, vedeckovýskumnej, umeleckej, vývojovej a ďalšej tvorivej činnosti STU otvárať univerzitu medzinárodnému prostrediu s cieľom poskytovať kvalitné, široko dostupné, medzinárodne porovnateľné vzdelávanie v technických a na ne nadväzujúcich odboroch. Účastníci akademických mobilít z STU v zahraničí okrem nových vedomostí získavajú v zahraničí nové spôsobilosti, kontakty a skúsenosti uplatniteľné následne vo svojej činnosti na domácej univerzite. Počas akademickej mobility si zvyšujú a rozširujú svoje pracovné a odborné spôsobilosti. Zmenu prinášajú akademické mobility aj v oblasti nadobudnutia nových európskych postojov uplatňovaných v praxi ako nástroj osobného rozvoja a zvyšovania si hodnoty na trhu práce. Jazyková úroveň po absolvovaní akademickej mobility nadobúda inú lepšiu kvalitatívnu úroveň.</w:t>
      </w:r>
    </w:p>
    <w:p w:rsidR="00AD09B4" w:rsidRPr="00EF2265" w:rsidRDefault="00AD09B4" w:rsidP="00E86605">
      <w:pPr>
        <w:pStyle w:val="Zkladntext2"/>
        <w:tabs>
          <w:tab w:val="left" w:pos="9356"/>
        </w:tabs>
        <w:jc w:val="left"/>
        <w:rPr>
          <w:sz w:val="20"/>
        </w:rPr>
      </w:pPr>
      <w:r w:rsidRPr="00EF2265">
        <w:rPr>
          <w:sz w:val="20"/>
        </w:rPr>
        <w:t>Mobility sa realizujú cez programy, granty a zmluvy, najmä:</w:t>
      </w:r>
    </w:p>
    <w:p w:rsidR="00AD09B4" w:rsidRPr="00EF2265" w:rsidRDefault="00AD09B4" w:rsidP="00E86605">
      <w:pPr>
        <w:pStyle w:val="Zkladntext2"/>
        <w:numPr>
          <w:ilvl w:val="0"/>
          <w:numId w:val="2"/>
        </w:numPr>
        <w:tabs>
          <w:tab w:val="left" w:pos="9356"/>
        </w:tabs>
        <w:spacing w:after="120"/>
        <w:ind w:left="714" w:hanging="357"/>
        <w:jc w:val="left"/>
        <w:rPr>
          <w:sz w:val="20"/>
        </w:rPr>
      </w:pPr>
      <w:r w:rsidRPr="00EF2265">
        <w:rPr>
          <w:sz w:val="20"/>
        </w:rPr>
        <w:t xml:space="preserve">Program </w:t>
      </w:r>
      <w:r w:rsidRPr="00EF2265">
        <w:rPr>
          <w:b/>
          <w:sz w:val="20"/>
        </w:rPr>
        <w:t>Erasmus+</w:t>
      </w:r>
      <w:r w:rsidRPr="00EF2265">
        <w:rPr>
          <w:sz w:val="20"/>
        </w:rPr>
        <w:t>, ktorý zlučuje všetky predošlé programy EÚ pre vzdelávanie, odbornú prípravu, mládež a šport vrátane programov celoživotného vzdelávania (Erasmus, Leonardo da Vinci, Comenius, Grundtvig), programu Mládež v akcii a piatich programov medzinárodnej spolupráce (Erasmus Mundus, Tempus, Alfa, Edulink a program pre spoluprácu s industrializovanými krajinami).</w:t>
      </w:r>
    </w:p>
    <w:p w:rsidR="00AD09B4" w:rsidRPr="00EF2265" w:rsidRDefault="00AD09B4" w:rsidP="00E86605">
      <w:pPr>
        <w:pStyle w:val="Zkladntext2"/>
        <w:numPr>
          <w:ilvl w:val="0"/>
          <w:numId w:val="2"/>
        </w:numPr>
        <w:tabs>
          <w:tab w:val="left" w:pos="9356"/>
        </w:tabs>
        <w:spacing w:after="120"/>
        <w:ind w:left="714" w:hanging="357"/>
        <w:jc w:val="left"/>
        <w:rPr>
          <w:sz w:val="20"/>
        </w:rPr>
      </w:pPr>
      <w:r w:rsidRPr="00EF2265">
        <w:rPr>
          <w:sz w:val="20"/>
        </w:rPr>
        <w:t xml:space="preserve">Program </w:t>
      </w:r>
      <w:r w:rsidRPr="00EF2265">
        <w:rPr>
          <w:b/>
          <w:sz w:val="20"/>
        </w:rPr>
        <w:t xml:space="preserve">CEEPUS </w:t>
      </w:r>
      <w:r w:rsidRPr="00EF2265">
        <w:rPr>
          <w:sz w:val="20"/>
        </w:rPr>
        <w:t>(Central European Exchange Program</w:t>
      </w:r>
      <w:r w:rsidRPr="00EF2265">
        <w:rPr>
          <w:b/>
          <w:sz w:val="20"/>
        </w:rPr>
        <w:t xml:space="preserve"> </w:t>
      </w:r>
      <w:r w:rsidRPr="00EF2265">
        <w:rPr>
          <w:sz w:val="20"/>
        </w:rPr>
        <w:t>for University Studies), ktorý podporuje</w:t>
      </w:r>
      <w:r w:rsidRPr="00EF2265">
        <w:rPr>
          <w:b/>
          <w:sz w:val="20"/>
        </w:rPr>
        <w:t xml:space="preserve"> </w:t>
      </w:r>
      <w:r w:rsidRPr="00EF2265">
        <w:rPr>
          <w:sz w:val="20"/>
        </w:rPr>
        <w:t>študijné</w:t>
      </w:r>
      <w:r w:rsidRPr="00EF2265">
        <w:rPr>
          <w:b/>
          <w:sz w:val="20"/>
        </w:rPr>
        <w:t xml:space="preserve"> </w:t>
      </w:r>
      <w:r w:rsidRPr="00EF2265">
        <w:rPr>
          <w:sz w:val="20"/>
        </w:rPr>
        <w:t>výmenné pobyty na univerzitách v štátoch strednej Európy.</w:t>
      </w:r>
    </w:p>
    <w:p w:rsidR="00AD09B4" w:rsidRPr="00EF2265" w:rsidRDefault="00AD09B4" w:rsidP="00E86605">
      <w:pPr>
        <w:pStyle w:val="Zkladntext2"/>
        <w:numPr>
          <w:ilvl w:val="0"/>
          <w:numId w:val="2"/>
        </w:numPr>
        <w:tabs>
          <w:tab w:val="left" w:pos="9356"/>
        </w:tabs>
        <w:spacing w:after="120"/>
        <w:ind w:left="714" w:hanging="357"/>
        <w:jc w:val="left"/>
        <w:rPr>
          <w:sz w:val="20"/>
        </w:rPr>
      </w:pPr>
      <w:r w:rsidRPr="00EF2265">
        <w:rPr>
          <w:b/>
          <w:sz w:val="20"/>
        </w:rPr>
        <w:t>Národný štipendijný program Slovenskej republiky</w:t>
      </w:r>
      <w:r w:rsidRPr="00EF2265">
        <w:rPr>
          <w:sz w:val="20"/>
        </w:rPr>
        <w:t xml:space="preserve"> (NŠP), ktorého cieľom je podpora mobilít študentov, doktorandov, vysokoškolských učiteľov a vedeckých pracovníkov. </w:t>
      </w:r>
    </w:p>
    <w:p w:rsidR="00AD09B4" w:rsidRPr="00EF2265" w:rsidRDefault="00AD09B4" w:rsidP="00E86605">
      <w:pPr>
        <w:pStyle w:val="Zkladntext2"/>
        <w:numPr>
          <w:ilvl w:val="0"/>
          <w:numId w:val="2"/>
        </w:numPr>
        <w:tabs>
          <w:tab w:val="left" w:pos="9356"/>
        </w:tabs>
        <w:spacing w:after="120"/>
        <w:ind w:left="714" w:hanging="357"/>
        <w:jc w:val="left"/>
        <w:rPr>
          <w:sz w:val="20"/>
        </w:rPr>
      </w:pPr>
      <w:r w:rsidRPr="00EF2265">
        <w:rPr>
          <w:b/>
          <w:sz w:val="20"/>
        </w:rPr>
        <w:t xml:space="preserve">IAESTE </w:t>
      </w:r>
      <w:r w:rsidRPr="00EF2265">
        <w:rPr>
          <w:sz w:val="20"/>
        </w:rPr>
        <w:t>(The International Association for the Exchange of Students for Technical Experience), ktoré zabezpečuje výmenný program odborných stáží pre študentov technických vysokých škôl.</w:t>
      </w:r>
    </w:p>
    <w:p w:rsidR="00AD09B4" w:rsidRPr="00EF2265" w:rsidRDefault="00AD09B4" w:rsidP="00E86605">
      <w:pPr>
        <w:pStyle w:val="Zkladntext2"/>
        <w:numPr>
          <w:ilvl w:val="0"/>
          <w:numId w:val="2"/>
        </w:numPr>
        <w:tabs>
          <w:tab w:val="left" w:pos="9356"/>
        </w:tabs>
        <w:spacing w:after="120"/>
        <w:ind w:left="714" w:hanging="357"/>
        <w:jc w:val="left"/>
        <w:rPr>
          <w:sz w:val="20"/>
        </w:rPr>
      </w:pPr>
      <w:r w:rsidRPr="00EF2265">
        <w:rPr>
          <w:b/>
          <w:sz w:val="20"/>
        </w:rPr>
        <w:t xml:space="preserve">Štipendijný program EHP, </w:t>
      </w:r>
      <w:r w:rsidRPr="00EF2265">
        <w:rPr>
          <w:sz w:val="20"/>
        </w:rPr>
        <w:t>ktorý zabezpečuje mobility študentov a doktorandov na partnerských organizáciách v donorských štátoch Nórsku, Islande a Lichtenštajnsku.</w:t>
      </w:r>
    </w:p>
    <w:p w:rsidR="00AD09B4" w:rsidRPr="00EF2265" w:rsidRDefault="00AD09B4" w:rsidP="00E86605">
      <w:pPr>
        <w:pStyle w:val="Zkladntext2"/>
        <w:numPr>
          <w:ilvl w:val="0"/>
          <w:numId w:val="2"/>
        </w:numPr>
        <w:tabs>
          <w:tab w:val="left" w:pos="9356"/>
        </w:tabs>
        <w:spacing w:after="120"/>
        <w:ind w:left="714" w:hanging="357"/>
        <w:jc w:val="left"/>
        <w:rPr>
          <w:sz w:val="20"/>
        </w:rPr>
      </w:pPr>
      <w:r w:rsidRPr="00EF2265">
        <w:rPr>
          <w:sz w:val="20"/>
        </w:rPr>
        <w:t xml:space="preserve">Na základe </w:t>
      </w:r>
      <w:r w:rsidRPr="00EF2265">
        <w:rPr>
          <w:b/>
          <w:sz w:val="20"/>
        </w:rPr>
        <w:t>zmlúv a dohôd</w:t>
      </w:r>
      <w:r w:rsidRPr="00EF2265">
        <w:rPr>
          <w:sz w:val="20"/>
        </w:rPr>
        <w:t xml:space="preserve"> uzatvorených buď na úrovni univerzity, alebo fakúlt.</w:t>
      </w:r>
    </w:p>
    <w:p w:rsidR="00AD09B4" w:rsidRPr="00EF2265" w:rsidRDefault="00AD09B4" w:rsidP="00E86605">
      <w:pPr>
        <w:pStyle w:val="Zkladntext2"/>
        <w:tabs>
          <w:tab w:val="left" w:pos="9356"/>
        </w:tabs>
        <w:spacing w:after="120"/>
        <w:jc w:val="left"/>
        <w:rPr>
          <w:sz w:val="20"/>
        </w:rPr>
      </w:pPr>
      <w:r w:rsidRPr="00EF2265">
        <w:rPr>
          <w:sz w:val="20"/>
        </w:rPr>
        <w:t>Ďalšou možnosťou je akademická mobilita typu Free-movers,</w:t>
      </w:r>
      <w:r w:rsidRPr="00EF2265">
        <w:rPr>
          <w:b/>
          <w:sz w:val="20"/>
        </w:rPr>
        <w:t xml:space="preserve"> </w:t>
      </w:r>
      <w:r w:rsidRPr="00EF2265">
        <w:rPr>
          <w:sz w:val="20"/>
        </w:rPr>
        <w:t xml:space="preserve">mobilitný program, ktorý môže (ale nemusí) byť zastrešený bilaterálnou zmluvou a študent si mobilitu hradí individuálne zo svojich finančných zdrojov. </w:t>
      </w:r>
    </w:p>
    <w:p w:rsidR="00AD09B4" w:rsidRPr="00EF2265" w:rsidRDefault="00AD09B4" w:rsidP="00E86605">
      <w:pPr>
        <w:pStyle w:val="Zkladntext2"/>
        <w:tabs>
          <w:tab w:val="left" w:pos="9356"/>
        </w:tabs>
        <w:ind w:right="-2"/>
        <w:jc w:val="left"/>
        <w:rPr>
          <w:sz w:val="20"/>
        </w:rPr>
      </w:pPr>
      <w:r w:rsidRPr="00EF2265">
        <w:rPr>
          <w:sz w:val="20"/>
        </w:rPr>
        <w:t xml:space="preserve">Najčastejšie využívané mobilitné programy sú Erasmus+, CEEPUS a Národný štipendijný program. STU spolu v akademickom roku 2017/2018 </w:t>
      </w:r>
      <w:r w:rsidRPr="00EF2265">
        <w:rPr>
          <w:spacing w:val="6"/>
          <w:sz w:val="20"/>
        </w:rPr>
        <w:t>cez tieto programy</w:t>
      </w:r>
      <w:r w:rsidRPr="00EF2265">
        <w:rPr>
          <w:b/>
          <w:sz w:val="20"/>
        </w:rPr>
        <w:t xml:space="preserve"> vyslala</w:t>
      </w:r>
      <w:r w:rsidRPr="00EF2265">
        <w:rPr>
          <w:spacing w:val="6"/>
          <w:sz w:val="20"/>
        </w:rPr>
        <w:t xml:space="preserve"> </w:t>
      </w:r>
      <w:r w:rsidRPr="00EF2265">
        <w:rPr>
          <w:b/>
          <w:spacing w:val="6"/>
          <w:sz w:val="20"/>
        </w:rPr>
        <w:t>303</w:t>
      </w:r>
      <w:r w:rsidRPr="00EF2265">
        <w:rPr>
          <w:b/>
          <w:sz w:val="20"/>
        </w:rPr>
        <w:t xml:space="preserve"> </w:t>
      </w:r>
      <w:r w:rsidRPr="00EF2265">
        <w:rPr>
          <w:sz w:val="20"/>
        </w:rPr>
        <w:t xml:space="preserve">študentov STU a </w:t>
      </w:r>
      <w:r w:rsidRPr="00EF2265">
        <w:rPr>
          <w:b/>
          <w:sz w:val="20"/>
        </w:rPr>
        <w:t>prijala 185</w:t>
      </w:r>
      <w:r w:rsidRPr="00EF2265">
        <w:rPr>
          <w:sz w:val="20"/>
        </w:rPr>
        <w:t xml:space="preserve"> zahraničných</w:t>
      </w:r>
      <w:r w:rsidRPr="00EF2265">
        <w:rPr>
          <w:spacing w:val="-8"/>
          <w:sz w:val="20"/>
        </w:rPr>
        <w:t xml:space="preserve"> </w:t>
      </w:r>
      <w:r w:rsidRPr="00EF2265">
        <w:rPr>
          <w:sz w:val="20"/>
        </w:rPr>
        <w:t>študentov iných vysokých škôl. Bližšie rozdelenie po fakultách je uvedené v </w:t>
      </w:r>
      <w:r w:rsidRPr="00EF2265">
        <w:rPr>
          <w:sz w:val="20"/>
          <w:lang w:eastAsia="sk-SK"/>
        </w:rPr>
        <w:fldChar w:fldCharType="begin"/>
      </w:r>
      <w:r w:rsidRPr="00EF2265">
        <w:rPr>
          <w:sz w:val="20"/>
          <w:lang w:eastAsia="sk-SK"/>
        </w:rPr>
        <w:instrText xml:space="preserve"> REF _Ref474777076 \h  \* MERGEFORMAT </w:instrText>
      </w:r>
      <w:r w:rsidRPr="00EF2265">
        <w:rPr>
          <w:sz w:val="20"/>
          <w:lang w:eastAsia="sk-SK"/>
        </w:rPr>
      </w:r>
      <w:r w:rsidRPr="00EF2265">
        <w:rPr>
          <w:sz w:val="20"/>
          <w:lang w:eastAsia="sk-SK"/>
        </w:rPr>
        <w:fldChar w:fldCharType="separate"/>
      </w:r>
      <w:r w:rsidR="001C349F" w:rsidRPr="001C349F">
        <w:rPr>
          <w:sz w:val="20"/>
          <w:lang w:eastAsia="sk-SK"/>
        </w:rPr>
        <w:t>Tab. č</w:t>
      </w:r>
      <w:r w:rsidR="001C349F" w:rsidRPr="00EF2265">
        <w:rPr>
          <w:bCs/>
          <w:sz w:val="20"/>
          <w:lang w:eastAsia="sk-SK"/>
        </w:rPr>
        <w:t xml:space="preserve">. </w:t>
      </w:r>
      <w:r w:rsidR="001C349F">
        <w:rPr>
          <w:noProof/>
          <w:sz w:val="20"/>
        </w:rPr>
        <w:t>17</w:t>
      </w:r>
      <w:r w:rsidRPr="00EF2265">
        <w:rPr>
          <w:sz w:val="20"/>
          <w:lang w:eastAsia="sk-SK"/>
        </w:rPr>
        <w:fldChar w:fldCharType="end"/>
      </w:r>
      <w:r w:rsidRPr="00EF2265">
        <w:rPr>
          <w:sz w:val="20"/>
        </w:rPr>
        <w:t>.</w:t>
      </w:r>
    </w:p>
    <w:p w:rsidR="00AD09B4" w:rsidRPr="00EF2265" w:rsidRDefault="00AD09B4" w:rsidP="00E86605">
      <w:pPr>
        <w:tabs>
          <w:tab w:val="left" w:pos="9356"/>
        </w:tabs>
        <w:jc w:val="left"/>
        <w:rPr>
          <w:rFonts w:ascii="Times New Roman" w:eastAsia="Times New Roman" w:hAnsi="Times New Roman"/>
          <w:sz w:val="20"/>
          <w:szCs w:val="20"/>
          <w:lang w:eastAsia="ko-KR"/>
        </w:rPr>
      </w:pPr>
      <w:r w:rsidRPr="00EF2265">
        <w:rPr>
          <w:rFonts w:ascii="Times New Roman" w:hAnsi="Times New Roman"/>
          <w:sz w:val="20"/>
          <w:szCs w:val="20"/>
        </w:rPr>
        <w:br w:type="page"/>
      </w:r>
    </w:p>
    <w:p w:rsidR="00AD09B4" w:rsidRPr="00EF2265" w:rsidRDefault="00AD09B4" w:rsidP="00E86605">
      <w:pPr>
        <w:pStyle w:val="Zkladntext2"/>
        <w:tabs>
          <w:tab w:val="left" w:pos="9356"/>
        </w:tabs>
        <w:jc w:val="left"/>
        <w:rPr>
          <w:bCs/>
          <w:sz w:val="20"/>
          <w:lang w:eastAsia="sk-SK"/>
        </w:rPr>
      </w:pPr>
      <w:bookmarkStart w:id="56" w:name="_Ref474777076"/>
      <w:bookmarkStart w:id="57" w:name="_Toc534793956"/>
      <w:r w:rsidRPr="00EF2265">
        <w:rPr>
          <w:bCs/>
          <w:sz w:val="20"/>
          <w:lang w:eastAsia="sk-SK"/>
        </w:rPr>
        <w:lastRenderedPageBreak/>
        <w:t xml:space="preserve">Tab. č. </w:t>
      </w:r>
      <w:r w:rsidRPr="00EF2265">
        <w:rPr>
          <w:sz w:val="20"/>
        </w:rPr>
        <w:fldChar w:fldCharType="begin"/>
      </w:r>
      <w:r w:rsidRPr="00EF2265">
        <w:rPr>
          <w:sz w:val="20"/>
        </w:rPr>
        <w:instrText xml:space="preserve"> SEQ Tabuľka_č. \* ARABIC </w:instrText>
      </w:r>
      <w:r w:rsidRPr="00EF2265">
        <w:rPr>
          <w:sz w:val="20"/>
        </w:rPr>
        <w:fldChar w:fldCharType="separate"/>
      </w:r>
      <w:r w:rsidR="001C349F">
        <w:rPr>
          <w:noProof/>
          <w:sz w:val="20"/>
        </w:rPr>
        <w:t>17</w:t>
      </w:r>
      <w:r w:rsidRPr="00EF2265">
        <w:rPr>
          <w:sz w:val="20"/>
        </w:rPr>
        <w:fldChar w:fldCharType="end"/>
      </w:r>
      <w:bookmarkEnd w:id="56"/>
      <w:r w:rsidRPr="00EF2265">
        <w:rPr>
          <w:bCs/>
          <w:sz w:val="20"/>
          <w:lang w:eastAsia="sk-SK"/>
        </w:rPr>
        <w:t>: Mobility študentov v akademickom roku 2017/2018 na STU</w:t>
      </w:r>
      <w:bookmarkEnd w:id="57"/>
    </w:p>
    <w:tbl>
      <w:tblPr>
        <w:tblW w:w="8820" w:type="dxa"/>
        <w:tblInd w:w="55" w:type="dxa"/>
        <w:tblCellMar>
          <w:left w:w="70" w:type="dxa"/>
          <w:right w:w="70" w:type="dxa"/>
        </w:tblCellMar>
        <w:tblLook w:val="04A0" w:firstRow="1" w:lastRow="0" w:firstColumn="1" w:lastColumn="0" w:noHBand="0" w:noVBand="1"/>
      </w:tblPr>
      <w:tblGrid>
        <w:gridCol w:w="1140"/>
        <w:gridCol w:w="960"/>
        <w:gridCol w:w="960"/>
        <w:gridCol w:w="960"/>
        <w:gridCol w:w="960"/>
        <w:gridCol w:w="960"/>
        <w:gridCol w:w="960"/>
        <w:gridCol w:w="960"/>
        <w:gridCol w:w="960"/>
      </w:tblGrid>
      <w:tr w:rsidR="00AD09B4" w:rsidRPr="00EF2265" w:rsidTr="00351A8A">
        <w:trPr>
          <w:trHeight w:val="255"/>
        </w:trPr>
        <w:tc>
          <w:tcPr>
            <w:tcW w:w="1140" w:type="dxa"/>
            <w:vMerge w:val="restart"/>
            <w:tcBorders>
              <w:top w:val="single" w:sz="4" w:space="0" w:color="auto"/>
              <w:left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b/>
                <w:bCs/>
                <w:sz w:val="20"/>
                <w:szCs w:val="20"/>
                <w:lang w:eastAsia="sk-SK"/>
              </w:rPr>
              <w:t>Fakulty</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ERASMUS+</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NŠP</w:t>
            </w:r>
          </w:p>
        </w:tc>
        <w:tc>
          <w:tcPr>
            <w:tcW w:w="1920" w:type="dxa"/>
            <w:gridSpan w:val="2"/>
            <w:tcBorders>
              <w:top w:val="single" w:sz="4" w:space="0" w:color="auto"/>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CEEPUS</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r>
      <w:tr w:rsidR="00AD09B4" w:rsidRPr="00EF2265" w:rsidTr="00351A8A">
        <w:trPr>
          <w:trHeight w:val="255"/>
        </w:trPr>
        <w:tc>
          <w:tcPr>
            <w:tcW w:w="1140" w:type="dxa"/>
            <w:vMerge/>
            <w:tcBorders>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w:t>
            </w: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w:t>
            </w: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w:t>
            </w:r>
          </w:p>
        </w:tc>
      </w:tr>
      <w:tr w:rsidR="00AD09B4" w:rsidRPr="00EF2265" w:rsidTr="00351A8A">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71</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41</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76</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41</w:t>
            </w:r>
          </w:p>
        </w:tc>
      </w:tr>
      <w:tr w:rsidR="00AD09B4" w:rsidRPr="00EF2265" w:rsidTr="00351A8A">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r>
      <w:tr w:rsidR="00AD09B4" w:rsidRPr="00EF2265" w:rsidTr="00351A8A">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33</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r>
      <w:tr w:rsidR="00AD09B4" w:rsidRPr="00EF2265" w:rsidTr="00351A8A">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35</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40</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38</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45</w:t>
            </w:r>
          </w:p>
        </w:tc>
      </w:tr>
      <w:tr w:rsidR="00AD09B4" w:rsidRPr="00EF2265" w:rsidTr="00351A8A">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84</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85</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w:t>
            </w:r>
          </w:p>
        </w:tc>
      </w:tr>
      <w:tr w:rsidR="00AD09B4" w:rsidRPr="00EF2265" w:rsidTr="00351A8A">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w:t>
            </w: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r>
      <w:tr w:rsidR="00AD09B4" w:rsidRPr="00EF2265" w:rsidTr="00351A8A">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r>
      <w:tr w:rsidR="00AD09B4" w:rsidRPr="00EF2265" w:rsidTr="00351A8A">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r>
      <w:tr w:rsidR="00AD09B4" w:rsidRPr="00EF2265" w:rsidTr="00351A8A">
        <w:trPr>
          <w:trHeight w:val="270"/>
        </w:trPr>
        <w:tc>
          <w:tcPr>
            <w:tcW w:w="1140" w:type="dxa"/>
            <w:vMerge w:val="restart"/>
            <w:tcBorders>
              <w:top w:val="nil"/>
              <w:left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 </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276</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180</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303</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185</w:t>
            </w:r>
          </w:p>
        </w:tc>
      </w:tr>
      <w:tr w:rsidR="00AD09B4" w:rsidRPr="00EF2265" w:rsidTr="00351A8A">
        <w:trPr>
          <w:trHeight w:val="255"/>
        </w:trPr>
        <w:tc>
          <w:tcPr>
            <w:tcW w:w="1140" w:type="dxa"/>
            <w:vMerge/>
            <w:tcBorders>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∑456</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∑9</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∑23</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∑488</w:t>
            </w:r>
          </w:p>
        </w:tc>
      </w:tr>
    </w:tbl>
    <w:p w:rsidR="00AD09B4" w:rsidRPr="00EF2265" w:rsidRDefault="00AD09B4" w:rsidP="00E86605">
      <w:pPr>
        <w:pStyle w:val="Zkladntext2"/>
        <w:tabs>
          <w:tab w:val="left" w:pos="9356"/>
        </w:tabs>
        <w:jc w:val="left"/>
        <w:rPr>
          <w:sz w:val="20"/>
          <w:lang w:eastAsia="sk-SK"/>
        </w:rPr>
      </w:pPr>
      <w:r w:rsidRPr="00EF2265">
        <w:rPr>
          <w:sz w:val="20"/>
          <w:lang w:eastAsia="sk-SK"/>
        </w:rPr>
        <w:t xml:space="preserve">Vysvetlivky: </w:t>
      </w:r>
    </w:p>
    <w:p w:rsidR="00AD09B4" w:rsidRPr="00EF2265" w:rsidRDefault="00AD09B4" w:rsidP="00E86605">
      <w:pPr>
        <w:pStyle w:val="Zkladntext2"/>
        <w:tabs>
          <w:tab w:val="left" w:pos="9356"/>
        </w:tabs>
        <w:jc w:val="left"/>
        <w:rPr>
          <w:sz w:val="20"/>
          <w:lang w:eastAsia="sk-SK"/>
        </w:rPr>
      </w:pPr>
      <w:r w:rsidRPr="00EF2265">
        <w:rPr>
          <w:sz w:val="20"/>
          <w:lang w:eastAsia="sk-SK"/>
        </w:rPr>
        <w:t>V - vyslaní študenti; P - prijatí študenti</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ERASMUS+ prijatí študenti vrátane ICM</w:t>
      </w:r>
    </w:p>
    <w:p w:rsidR="00AD09B4" w:rsidRPr="00EF2265" w:rsidRDefault="00AD09B4" w:rsidP="00E86605">
      <w:pPr>
        <w:pStyle w:val="Zkladntext2"/>
        <w:tabs>
          <w:tab w:val="left" w:pos="9356"/>
        </w:tabs>
        <w:jc w:val="left"/>
        <w:rPr>
          <w:sz w:val="20"/>
          <w:lang w:eastAsia="sk-SK"/>
        </w:rPr>
      </w:pPr>
    </w:p>
    <w:p w:rsidR="00AD09B4" w:rsidRPr="00EF2265" w:rsidRDefault="00AD09B4" w:rsidP="00E86605">
      <w:pPr>
        <w:pStyle w:val="Zkladntext2"/>
        <w:tabs>
          <w:tab w:val="left" w:pos="9356"/>
        </w:tabs>
        <w:jc w:val="left"/>
        <w:rPr>
          <w:sz w:val="20"/>
          <w:lang w:eastAsia="sk-SK"/>
        </w:rPr>
      </w:pPr>
    </w:p>
    <w:p w:rsidR="00AD09B4" w:rsidRPr="00EF2265" w:rsidRDefault="00AD09B4" w:rsidP="00E86605">
      <w:pPr>
        <w:pStyle w:val="Zkladntext2"/>
        <w:tabs>
          <w:tab w:val="left" w:pos="9356"/>
        </w:tabs>
        <w:jc w:val="left"/>
        <w:rPr>
          <w:sz w:val="20"/>
        </w:rPr>
      </w:pPr>
      <w:r w:rsidRPr="00EF2265">
        <w:rPr>
          <w:sz w:val="20"/>
        </w:rPr>
        <w:t xml:space="preserve">Najvyšší počet medzinárodných akademických mobilít zrealizovala STU cez program </w:t>
      </w:r>
      <w:r w:rsidRPr="00EF2265">
        <w:rPr>
          <w:b/>
          <w:sz w:val="20"/>
        </w:rPr>
        <w:t xml:space="preserve">Erasmus+. </w:t>
      </w:r>
      <w:r w:rsidRPr="00EF2265">
        <w:rPr>
          <w:sz w:val="20"/>
        </w:rPr>
        <w:t xml:space="preserve">V akademickom roku 2017/2018 STU vyslala a prijala v rámci tohto programu </w:t>
      </w:r>
      <w:r w:rsidRPr="00EF2265">
        <w:rPr>
          <w:b/>
          <w:sz w:val="20"/>
        </w:rPr>
        <w:t>456</w:t>
      </w:r>
      <w:r w:rsidRPr="00EF2265">
        <w:rPr>
          <w:sz w:val="20"/>
        </w:rPr>
        <w:t xml:space="preserve"> študentov. Prehľad Erasmus+ mobilít za posledných sedem akademických rokov je uvedený v </w:t>
      </w:r>
      <w:r w:rsidRPr="00EF2265">
        <w:rPr>
          <w:sz w:val="20"/>
        </w:rPr>
        <w:fldChar w:fldCharType="begin"/>
      </w:r>
      <w:r w:rsidRPr="00EF2265">
        <w:rPr>
          <w:sz w:val="20"/>
        </w:rPr>
        <w:instrText xml:space="preserve"> REF _Ref474777529 \h  \* MERGEFORMAT </w:instrText>
      </w:r>
      <w:r w:rsidRPr="00EF2265">
        <w:rPr>
          <w:sz w:val="20"/>
        </w:rPr>
      </w:r>
      <w:r w:rsidRPr="00EF2265">
        <w:rPr>
          <w:sz w:val="20"/>
        </w:rPr>
        <w:fldChar w:fldCharType="separate"/>
      </w:r>
      <w:r w:rsidR="001C349F" w:rsidRPr="00EF2265">
        <w:rPr>
          <w:sz w:val="20"/>
          <w:lang w:eastAsia="sk-SK"/>
        </w:rPr>
        <w:t xml:space="preserve">Tab. č. </w:t>
      </w:r>
      <w:r w:rsidR="001C349F">
        <w:rPr>
          <w:sz w:val="20"/>
        </w:rPr>
        <w:t>18</w:t>
      </w:r>
      <w:r w:rsidRPr="00EF2265">
        <w:rPr>
          <w:sz w:val="20"/>
        </w:rPr>
        <w:fldChar w:fldCharType="end"/>
      </w:r>
      <w:r w:rsidRPr="00EF2265">
        <w:rPr>
          <w:sz w:val="20"/>
        </w:rPr>
        <w:t>. V hodnotenom akad. roku bol zaznamenaný vysoký záujem študentov nielen o študijné pobyty, ale i o mobility - pracovné stáže. V počte realizovaných vyslaní študentov STU sú započítané i stáže absolventov STU, pretože program Erasmus+ umožňuje realizovať i stáže absolventov najneskôr do jedného roka po riadnom skončení štúdia. Z počtu 276 vyslaní bolo 213 mobilít typu študijný pobyt a 63 pracovných stáží. Z počtu 63 pracovných stáží bolo realizovaných 19 stáží absolventmi STU.</w:t>
      </w:r>
    </w:p>
    <w:p w:rsidR="00AD09B4" w:rsidRPr="00EF2265" w:rsidRDefault="00AD09B4" w:rsidP="00E86605">
      <w:pPr>
        <w:pStyle w:val="Zkladntext2"/>
        <w:tabs>
          <w:tab w:val="left" w:pos="9356"/>
        </w:tabs>
        <w:jc w:val="left"/>
        <w:rPr>
          <w:sz w:val="20"/>
        </w:rPr>
      </w:pPr>
    </w:p>
    <w:p w:rsidR="00AD09B4" w:rsidRPr="00EF2265" w:rsidRDefault="00AD09B4" w:rsidP="00E86605">
      <w:pPr>
        <w:pStyle w:val="Zkladntext2"/>
        <w:tabs>
          <w:tab w:val="left" w:pos="9356"/>
        </w:tabs>
        <w:jc w:val="left"/>
        <w:rPr>
          <w:sz w:val="20"/>
        </w:rPr>
      </w:pPr>
    </w:p>
    <w:p w:rsidR="00AD09B4" w:rsidRPr="00EF2265" w:rsidRDefault="00AD09B4" w:rsidP="00E86605">
      <w:pPr>
        <w:tabs>
          <w:tab w:val="left" w:pos="9356"/>
        </w:tabs>
        <w:jc w:val="left"/>
        <w:rPr>
          <w:rFonts w:ascii="Times New Roman" w:hAnsi="Times New Roman"/>
          <w:sz w:val="20"/>
          <w:szCs w:val="20"/>
          <w:lang w:eastAsia="sk-SK"/>
        </w:rPr>
      </w:pPr>
      <w:bookmarkStart w:id="58" w:name="_Ref474777529"/>
      <w:bookmarkStart w:id="59" w:name="_Toc534793957"/>
      <w:r w:rsidRPr="00EF2265">
        <w:rPr>
          <w:rFonts w:ascii="Times New Roman" w:hAnsi="Times New Roman"/>
          <w:sz w:val="20"/>
          <w:szCs w:val="20"/>
          <w:lang w:eastAsia="sk-SK"/>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18</w:t>
      </w:r>
      <w:r w:rsidRPr="00EF2265">
        <w:rPr>
          <w:rFonts w:ascii="Times New Roman" w:hAnsi="Times New Roman"/>
          <w:sz w:val="20"/>
          <w:szCs w:val="20"/>
        </w:rPr>
        <w:fldChar w:fldCharType="end"/>
      </w:r>
      <w:bookmarkEnd w:id="58"/>
      <w:r w:rsidRPr="00EF2265">
        <w:rPr>
          <w:rFonts w:ascii="Times New Roman" w:hAnsi="Times New Roman"/>
          <w:sz w:val="20"/>
          <w:szCs w:val="20"/>
          <w:lang w:eastAsia="sk-SK"/>
        </w:rPr>
        <w:t>: Vyslaní STU študenti a prijatí Erasmus+ zahraniční študenti za akademické roky 2011/2012 – 2017/2018</w:t>
      </w:r>
      <w:bookmarkEnd w:id="59"/>
    </w:p>
    <w:tbl>
      <w:tblPr>
        <w:tblW w:w="5103" w:type="dxa"/>
        <w:tblInd w:w="70" w:type="dxa"/>
        <w:tblCellMar>
          <w:left w:w="70" w:type="dxa"/>
          <w:right w:w="70" w:type="dxa"/>
        </w:tblCellMar>
        <w:tblLook w:val="04A0" w:firstRow="1" w:lastRow="0" w:firstColumn="1" w:lastColumn="0" w:noHBand="0" w:noVBand="1"/>
      </w:tblPr>
      <w:tblGrid>
        <w:gridCol w:w="1560"/>
        <w:gridCol w:w="1181"/>
        <w:gridCol w:w="1181"/>
        <w:gridCol w:w="1181"/>
      </w:tblGrid>
      <w:tr w:rsidR="00AD09B4" w:rsidRPr="00EF2265" w:rsidTr="00351A8A">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akad. rok</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vyslaní</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prijatí</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r>
      <w:tr w:rsidR="00AD09B4" w:rsidRPr="00EF2265" w:rsidTr="00351A8A">
        <w:trPr>
          <w:trHeight w:val="25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2011/2012</w:t>
            </w:r>
          </w:p>
        </w:tc>
        <w:tc>
          <w:tcPr>
            <w:tcW w:w="118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176</w:t>
            </w:r>
          </w:p>
        </w:tc>
        <w:tc>
          <w:tcPr>
            <w:tcW w:w="118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54</w:t>
            </w:r>
          </w:p>
        </w:tc>
        <w:tc>
          <w:tcPr>
            <w:tcW w:w="118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230</w:t>
            </w:r>
          </w:p>
        </w:tc>
      </w:tr>
      <w:tr w:rsidR="00AD09B4" w:rsidRPr="00EF2265" w:rsidTr="00351A8A">
        <w:trPr>
          <w:trHeight w:val="25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2012/2013</w:t>
            </w:r>
          </w:p>
        </w:tc>
        <w:tc>
          <w:tcPr>
            <w:tcW w:w="118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192</w:t>
            </w:r>
          </w:p>
        </w:tc>
        <w:tc>
          <w:tcPr>
            <w:tcW w:w="118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76</w:t>
            </w:r>
          </w:p>
        </w:tc>
        <w:tc>
          <w:tcPr>
            <w:tcW w:w="118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268</w:t>
            </w:r>
          </w:p>
        </w:tc>
      </w:tr>
      <w:tr w:rsidR="00AD09B4" w:rsidRPr="00EF2265" w:rsidTr="00351A8A">
        <w:trPr>
          <w:trHeight w:val="255"/>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2013/2014</w:t>
            </w:r>
          </w:p>
        </w:tc>
        <w:tc>
          <w:tcPr>
            <w:tcW w:w="1181"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230</w:t>
            </w:r>
          </w:p>
        </w:tc>
        <w:tc>
          <w:tcPr>
            <w:tcW w:w="1181"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89</w:t>
            </w:r>
          </w:p>
        </w:tc>
        <w:tc>
          <w:tcPr>
            <w:tcW w:w="1181"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319</w:t>
            </w:r>
          </w:p>
        </w:tc>
      </w:tr>
      <w:tr w:rsidR="00AD09B4" w:rsidRPr="00EF2265" w:rsidTr="00351A8A">
        <w:trPr>
          <w:trHeight w:val="255"/>
        </w:trPr>
        <w:tc>
          <w:tcPr>
            <w:tcW w:w="1560" w:type="dxa"/>
            <w:tcBorders>
              <w:top w:val="nil"/>
              <w:left w:val="single" w:sz="4" w:space="0" w:color="auto"/>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2014/2015</w:t>
            </w:r>
          </w:p>
        </w:tc>
        <w:tc>
          <w:tcPr>
            <w:tcW w:w="1181"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305</w:t>
            </w:r>
          </w:p>
        </w:tc>
        <w:tc>
          <w:tcPr>
            <w:tcW w:w="1181"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100</w:t>
            </w:r>
          </w:p>
        </w:tc>
        <w:tc>
          <w:tcPr>
            <w:tcW w:w="1181"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405</w:t>
            </w:r>
          </w:p>
        </w:tc>
      </w:tr>
      <w:tr w:rsidR="00AD09B4" w:rsidRPr="00EF2265" w:rsidTr="00351A8A">
        <w:trPr>
          <w:trHeight w:val="255"/>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2015/2016</w:t>
            </w:r>
          </w:p>
        </w:tc>
        <w:tc>
          <w:tcPr>
            <w:tcW w:w="1181"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280</w:t>
            </w:r>
          </w:p>
        </w:tc>
        <w:tc>
          <w:tcPr>
            <w:tcW w:w="1181"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113</w:t>
            </w:r>
          </w:p>
        </w:tc>
        <w:tc>
          <w:tcPr>
            <w:tcW w:w="1181"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393</w:t>
            </w:r>
          </w:p>
        </w:tc>
      </w:tr>
      <w:tr w:rsidR="00AD09B4" w:rsidRPr="00EF2265" w:rsidTr="00351A8A">
        <w:trPr>
          <w:trHeight w:val="255"/>
        </w:trPr>
        <w:tc>
          <w:tcPr>
            <w:tcW w:w="1560" w:type="dxa"/>
            <w:tcBorders>
              <w:top w:val="nil"/>
              <w:left w:val="single" w:sz="4" w:space="0" w:color="auto"/>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2016/2017</w:t>
            </w:r>
          </w:p>
        </w:tc>
        <w:tc>
          <w:tcPr>
            <w:tcW w:w="1181"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261</w:t>
            </w:r>
          </w:p>
        </w:tc>
        <w:tc>
          <w:tcPr>
            <w:tcW w:w="1181"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157</w:t>
            </w:r>
          </w:p>
        </w:tc>
        <w:tc>
          <w:tcPr>
            <w:tcW w:w="1181"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418</w:t>
            </w:r>
          </w:p>
        </w:tc>
      </w:tr>
      <w:tr w:rsidR="00AD09B4" w:rsidRPr="00EF2265" w:rsidTr="00351A8A">
        <w:trPr>
          <w:trHeight w:val="25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2017/2018</w:t>
            </w:r>
          </w:p>
        </w:tc>
        <w:tc>
          <w:tcPr>
            <w:tcW w:w="1181" w:type="dxa"/>
            <w:tcBorders>
              <w:top w:val="single" w:sz="4" w:space="0" w:color="auto"/>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276</w:t>
            </w:r>
          </w:p>
        </w:tc>
        <w:tc>
          <w:tcPr>
            <w:tcW w:w="1181" w:type="dxa"/>
            <w:tcBorders>
              <w:top w:val="single" w:sz="4" w:space="0" w:color="auto"/>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180</w:t>
            </w:r>
          </w:p>
        </w:tc>
        <w:tc>
          <w:tcPr>
            <w:tcW w:w="1181" w:type="dxa"/>
            <w:tcBorders>
              <w:top w:val="single" w:sz="4" w:space="0" w:color="auto"/>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456</w:t>
            </w:r>
          </w:p>
        </w:tc>
      </w:tr>
      <w:tr w:rsidR="00AD09B4" w:rsidRPr="00EF2265" w:rsidTr="00351A8A">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Spolu</w:t>
            </w:r>
          </w:p>
        </w:tc>
        <w:tc>
          <w:tcPr>
            <w:tcW w:w="118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1 720</w:t>
            </w:r>
          </w:p>
        </w:tc>
        <w:tc>
          <w:tcPr>
            <w:tcW w:w="118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769</w:t>
            </w:r>
          </w:p>
        </w:tc>
        <w:tc>
          <w:tcPr>
            <w:tcW w:w="118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2 489</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pStyle w:val="Zkladntext2"/>
        <w:tabs>
          <w:tab w:val="left" w:pos="9356"/>
        </w:tabs>
        <w:jc w:val="left"/>
        <w:rPr>
          <w:sz w:val="20"/>
        </w:rPr>
      </w:pPr>
      <w:r w:rsidRPr="00EF2265">
        <w:rPr>
          <w:sz w:val="20"/>
        </w:rPr>
        <w:t>Percentuálne najvyšší počet vyslaných študentov v programe Erasmus+ z STU predstavujú študenti druhého stupňa štúdia (</w:t>
      </w:r>
      <w:r w:rsidRPr="00EF2265">
        <w:rPr>
          <w:sz w:val="20"/>
        </w:rPr>
        <w:fldChar w:fldCharType="begin"/>
      </w:r>
      <w:r w:rsidRPr="00EF2265">
        <w:rPr>
          <w:sz w:val="20"/>
        </w:rPr>
        <w:instrText xml:space="preserve"> REF _Ref474779829 \h  \* MERGEFORMAT </w:instrText>
      </w:r>
      <w:r w:rsidRPr="00EF2265">
        <w:rPr>
          <w:sz w:val="20"/>
        </w:rPr>
      </w:r>
      <w:r w:rsidRPr="00EF2265">
        <w:rPr>
          <w:sz w:val="20"/>
        </w:rPr>
        <w:fldChar w:fldCharType="separate"/>
      </w:r>
      <w:r w:rsidR="001C349F" w:rsidRPr="00EF2265">
        <w:rPr>
          <w:sz w:val="20"/>
        </w:rPr>
        <w:t xml:space="preserve">Graf č. </w:t>
      </w:r>
      <w:r w:rsidR="001C349F">
        <w:rPr>
          <w:sz w:val="20"/>
        </w:rPr>
        <w:t>7</w:t>
      </w:r>
      <w:r w:rsidRPr="00EF2265">
        <w:rPr>
          <w:sz w:val="20"/>
        </w:rPr>
        <w:fldChar w:fldCharType="end"/>
      </w:r>
      <w:r w:rsidRPr="00EF2265">
        <w:rPr>
          <w:sz w:val="20"/>
        </w:rPr>
        <w:t>). Rozloženie mobilít tým plní predpokladané a aj žiadúce rozloženie študentov podľa stupňa štúdia.</w:t>
      </w:r>
    </w:p>
    <w:p w:rsidR="00AD09B4" w:rsidRPr="00EF2265" w:rsidRDefault="00AD09B4" w:rsidP="00E86605">
      <w:pPr>
        <w:jc w:val="left"/>
        <w:rPr>
          <w:rFonts w:ascii="Times New Roman" w:eastAsia="Times New Roman" w:hAnsi="Times New Roman"/>
          <w:sz w:val="20"/>
          <w:szCs w:val="20"/>
          <w:lang w:eastAsia="ko-KR"/>
        </w:rPr>
      </w:pPr>
      <w:r w:rsidRPr="00EF2265">
        <w:rPr>
          <w:rFonts w:ascii="Times New Roman" w:hAnsi="Times New Roman"/>
          <w:sz w:val="20"/>
          <w:szCs w:val="20"/>
        </w:rPr>
        <w:br w:type="page"/>
      </w:r>
    </w:p>
    <w:p w:rsidR="00AD09B4" w:rsidRPr="00EF2265" w:rsidRDefault="00AD09B4" w:rsidP="00E86605">
      <w:pPr>
        <w:pStyle w:val="Zkladntext2"/>
        <w:tabs>
          <w:tab w:val="left" w:pos="9356"/>
        </w:tabs>
        <w:jc w:val="left"/>
        <w:rPr>
          <w:sz w:val="20"/>
        </w:rPr>
      </w:pPr>
      <w:bookmarkStart w:id="60" w:name="_Ref474779829"/>
      <w:bookmarkStart w:id="61" w:name="_Toc534724794"/>
      <w:r w:rsidRPr="00EF2265">
        <w:rPr>
          <w:sz w:val="20"/>
        </w:rPr>
        <w:lastRenderedPageBreak/>
        <w:t xml:space="preserve">Graf č. </w:t>
      </w:r>
      <w:r w:rsidRPr="00EF2265">
        <w:rPr>
          <w:sz w:val="20"/>
        </w:rPr>
        <w:fldChar w:fldCharType="begin"/>
      </w:r>
      <w:r w:rsidRPr="00EF2265">
        <w:rPr>
          <w:sz w:val="20"/>
        </w:rPr>
        <w:instrText xml:space="preserve"> SEQ Graf_č. \* ARABIC </w:instrText>
      </w:r>
      <w:r w:rsidRPr="00EF2265">
        <w:rPr>
          <w:sz w:val="20"/>
        </w:rPr>
        <w:fldChar w:fldCharType="separate"/>
      </w:r>
      <w:r w:rsidR="001C349F">
        <w:rPr>
          <w:noProof/>
          <w:sz w:val="20"/>
        </w:rPr>
        <w:t>7</w:t>
      </w:r>
      <w:r w:rsidRPr="00EF2265">
        <w:rPr>
          <w:sz w:val="20"/>
        </w:rPr>
        <w:fldChar w:fldCharType="end"/>
      </w:r>
      <w:bookmarkEnd w:id="60"/>
      <w:r w:rsidRPr="00EF2265">
        <w:rPr>
          <w:sz w:val="20"/>
        </w:rPr>
        <w:t>: Percentuálne zastúpenie vyslaných študentov/absolventov STU v programe Erasmus+ podľa stupňa štúdia</w:t>
      </w:r>
      <w:bookmarkEnd w:id="61"/>
    </w:p>
    <w:p w:rsidR="00AD09B4" w:rsidRPr="00EF2265" w:rsidRDefault="00AD09B4" w:rsidP="00E86605">
      <w:pPr>
        <w:pStyle w:val="Zkladntext2"/>
        <w:tabs>
          <w:tab w:val="left" w:pos="9356"/>
        </w:tabs>
        <w:jc w:val="left"/>
        <w:rPr>
          <w:sz w:val="20"/>
        </w:rPr>
      </w:pPr>
      <w:r w:rsidRPr="00EF2265">
        <w:rPr>
          <w:noProof/>
          <w:sz w:val="20"/>
          <w:lang w:eastAsia="sk-SK"/>
        </w:rPr>
        <w:drawing>
          <wp:anchor distT="0" distB="0" distL="114300" distR="114300" simplePos="0" relativeHeight="251659264" behindDoc="0" locked="0" layoutInCell="1" allowOverlap="1" wp14:anchorId="7ED29387" wp14:editId="6F72AD7B">
            <wp:simplePos x="937260" y="1059180"/>
            <wp:positionH relativeFrom="column">
              <wp:align>left</wp:align>
            </wp:positionH>
            <wp:positionV relativeFrom="paragraph">
              <wp:align>top</wp:align>
            </wp:positionV>
            <wp:extent cx="4675517" cy="2984739"/>
            <wp:effectExtent l="38100" t="0" r="0" b="6350"/>
            <wp:wrapSquare wrapText="bothSides"/>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EF2265">
        <w:rPr>
          <w:sz w:val="20"/>
        </w:rPr>
        <w:br w:type="textWrapping" w:clear="all"/>
      </w:r>
    </w:p>
    <w:p w:rsidR="00AD09B4" w:rsidRPr="00EF2265" w:rsidRDefault="00AD09B4" w:rsidP="00E86605">
      <w:pPr>
        <w:pStyle w:val="Zkladntext2"/>
        <w:tabs>
          <w:tab w:val="left" w:pos="9356"/>
        </w:tabs>
        <w:jc w:val="left"/>
        <w:rPr>
          <w:sz w:val="20"/>
        </w:rPr>
      </w:pPr>
    </w:p>
    <w:p w:rsidR="00AD09B4" w:rsidRPr="00EF2265" w:rsidRDefault="00AD09B4" w:rsidP="00E86605">
      <w:pPr>
        <w:pStyle w:val="Zkladntext2"/>
        <w:tabs>
          <w:tab w:val="left" w:pos="9356"/>
        </w:tabs>
        <w:jc w:val="left"/>
        <w:rPr>
          <w:sz w:val="20"/>
        </w:rPr>
      </w:pPr>
      <w:r w:rsidRPr="00EF2265">
        <w:rPr>
          <w:sz w:val="20"/>
        </w:rPr>
        <w:t xml:space="preserve">Mobility Erasmus+ boli realizované v </w:t>
      </w:r>
      <w:r w:rsidRPr="00EF2265">
        <w:rPr>
          <w:b/>
          <w:sz w:val="20"/>
        </w:rPr>
        <w:t>33</w:t>
      </w:r>
      <w:r w:rsidRPr="00EF2265">
        <w:rPr>
          <w:sz w:val="20"/>
        </w:rPr>
        <w:t xml:space="preserve"> štátoch participujúcich v programe ako uvádza </w:t>
      </w:r>
      <w:r w:rsidRPr="00EF2265">
        <w:rPr>
          <w:sz w:val="20"/>
        </w:rPr>
        <w:fldChar w:fldCharType="begin"/>
      </w:r>
      <w:r w:rsidRPr="00EF2265">
        <w:rPr>
          <w:sz w:val="20"/>
        </w:rPr>
        <w:instrText xml:space="preserve"> REF _Ref474779844 \h  \* MERGEFORMAT </w:instrText>
      </w:r>
      <w:r w:rsidRPr="00EF2265">
        <w:rPr>
          <w:sz w:val="20"/>
        </w:rPr>
      </w:r>
      <w:r w:rsidRPr="00EF2265">
        <w:rPr>
          <w:sz w:val="20"/>
        </w:rPr>
        <w:fldChar w:fldCharType="separate"/>
      </w:r>
      <w:r w:rsidR="001C349F" w:rsidRPr="00EF2265">
        <w:rPr>
          <w:sz w:val="20"/>
          <w:lang w:eastAsia="sk-SK"/>
        </w:rPr>
        <w:t xml:space="preserve">Graf č. </w:t>
      </w:r>
      <w:r w:rsidR="001C349F">
        <w:rPr>
          <w:sz w:val="20"/>
        </w:rPr>
        <w:t>8</w:t>
      </w:r>
      <w:r w:rsidRPr="00EF2265">
        <w:rPr>
          <w:sz w:val="20"/>
        </w:rPr>
        <w:fldChar w:fldCharType="end"/>
      </w:r>
      <w:r w:rsidRPr="00EF2265">
        <w:rPr>
          <w:sz w:val="20"/>
        </w:rPr>
        <w:t>.</w:t>
      </w:r>
    </w:p>
    <w:p w:rsidR="00AD09B4" w:rsidRPr="00EF2265" w:rsidRDefault="00AD09B4" w:rsidP="00E86605">
      <w:pPr>
        <w:pStyle w:val="Zkladntext2"/>
        <w:tabs>
          <w:tab w:val="left" w:pos="9356"/>
        </w:tabs>
        <w:jc w:val="left"/>
        <w:rPr>
          <w:sz w:val="20"/>
        </w:rPr>
      </w:pPr>
    </w:p>
    <w:p w:rsidR="00AD09B4" w:rsidRPr="00EF2265" w:rsidRDefault="00AD09B4" w:rsidP="00E86605">
      <w:pPr>
        <w:pStyle w:val="Zkladntext2"/>
        <w:tabs>
          <w:tab w:val="left" w:pos="9356"/>
        </w:tabs>
        <w:jc w:val="left"/>
        <w:rPr>
          <w:sz w:val="20"/>
          <w:lang w:eastAsia="sk-SK"/>
        </w:rPr>
      </w:pPr>
      <w:bookmarkStart w:id="62" w:name="_Ref474779844"/>
      <w:bookmarkStart w:id="63" w:name="_Toc534724795"/>
      <w:r w:rsidRPr="00EF2265">
        <w:rPr>
          <w:sz w:val="20"/>
          <w:lang w:eastAsia="sk-SK"/>
        </w:rPr>
        <w:t xml:space="preserve">Graf č. </w:t>
      </w:r>
      <w:r w:rsidRPr="00EF2265">
        <w:rPr>
          <w:sz w:val="20"/>
        </w:rPr>
        <w:fldChar w:fldCharType="begin"/>
      </w:r>
      <w:r w:rsidRPr="00EF2265">
        <w:rPr>
          <w:sz w:val="20"/>
        </w:rPr>
        <w:instrText xml:space="preserve"> SEQ Graf_č. \* ARABIC </w:instrText>
      </w:r>
      <w:r w:rsidRPr="00EF2265">
        <w:rPr>
          <w:sz w:val="20"/>
        </w:rPr>
        <w:fldChar w:fldCharType="separate"/>
      </w:r>
      <w:r w:rsidR="001C349F">
        <w:rPr>
          <w:noProof/>
          <w:sz w:val="20"/>
        </w:rPr>
        <w:t>8</w:t>
      </w:r>
      <w:r w:rsidRPr="00EF2265">
        <w:rPr>
          <w:sz w:val="20"/>
        </w:rPr>
        <w:fldChar w:fldCharType="end"/>
      </w:r>
      <w:bookmarkEnd w:id="62"/>
      <w:r w:rsidRPr="00EF2265">
        <w:rPr>
          <w:sz w:val="20"/>
          <w:lang w:eastAsia="sk-SK"/>
        </w:rPr>
        <w:t>: Prehľad vyslaní a prijatí v programe Erasmus+ v akademickom roku 2017/2018 podľa štátov</w:t>
      </w:r>
      <w:bookmarkEnd w:id="63"/>
    </w:p>
    <w:p w:rsidR="00AD09B4" w:rsidRPr="00EF2265" w:rsidRDefault="00AD09B4" w:rsidP="00E86605">
      <w:pPr>
        <w:pStyle w:val="Zkladntext2"/>
        <w:tabs>
          <w:tab w:val="left" w:pos="9356"/>
        </w:tabs>
        <w:ind w:hanging="142"/>
        <w:jc w:val="left"/>
        <w:rPr>
          <w:sz w:val="20"/>
          <w:lang w:eastAsia="sk-SK"/>
        </w:rPr>
      </w:pPr>
      <w:r w:rsidRPr="00EF2265">
        <w:rPr>
          <w:noProof/>
          <w:sz w:val="20"/>
          <w:lang w:eastAsia="sk-SK"/>
        </w:rPr>
        <w:drawing>
          <wp:inline distT="0" distB="0" distL="0" distR="0" wp14:anchorId="1D76493D" wp14:editId="5DE45EE2">
            <wp:extent cx="6271404" cy="2596515"/>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09B4" w:rsidRPr="00EF2265" w:rsidRDefault="00AD09B4" w:rsidP="00E86605">
      <w:pPr>
        <w:pStyle w:val="Zkladntext2"/>
        <w:tabs>
          <w:tab w:val="left" w:pos="9356"/>
        </w:tabs>
        <w:jc w:val="left"/>
        <w:rPr>
          <w:sz w:val="20"/>
          <w:lang w:eastAsia="sk-SK"/>
        </w:rPr>
      </w:pPr>
    </w:p>
    <w:p w:rsidR="00AD09B4" w:rsidRPr="00EF2265" w:rsidRDefault="00AD09B4" w:rsidP="00E86605">
      <w:pPr>
        <w:tabs>
          <w:tab w:val="left" w:pos="9356"/>
        </w:tabs>
        <w:ind w:right="-2"/>
        <w:jc w:val="left"/>
        <w:rPr>
          <w:rFonts w:ascii="Times New Roman" w:hAnsi="Times New Roman"/>
          <w:sz w:val="20"/>
          <w:szCs w:val="20"/>
        </w:rPr>
      </w:pPr>
      <w:r w:rsidRPr="00EF2265">
        <w:rPr>
          <w:rFonts w:ascii="Times New Roman" w:hAnsi="Times New Roman"/>
          <w:sz w:val="20"/>
          <w:szCs w:val="20"/>
        </w:rPr>
        <w:t xml:space="preserve">STU zaznamenala pozitívny nárast na strane vyslaných ako aj pricestovaných zahraničných študentov. Mierny nárast počtu vycestovaných študentov možno pripísať aj ku pokojnejšej politickej situácií vo svete. </w:t>
      </w:r>
    </w:p>
    <w:p w:rsidR="00AD09B4" w:rsidRPr="00EF2265" w:rsidRDefault="00AD09B4" w:rsidP="00E86605">
      <w:pPr>
        <w:tabs>
          <w:tab w:val="left" w:pos="9356"/>
        </w:tabs>
        <w:ind w:right="-2"/>
        <w:jc w:val="left"/>
        <w:rPr>
          <w:rFonts w:ascii="Times New Roman" w:hAnsi="Times New Roman"/>
          <w:sz w:val="20"/>
          <w:szCs w:val="20"/>
        </w:rPr>
      </w:pPr>
    </w:p>
    <w:p w:rsidR="00AD09B4" w:rsidRPr="00EF2265" w:rsidRDefault="00AD09B4" w:rsidP="00E86605">
      <w:pPr>
        <w:tabs>
          <w:tab w:val="left" w:pos="9356"/>
        </w:tabs>
        <w:ind w:right="-2"/>
        <w:jc w:val="left"/>
        <w:rPr>
          <w:rFonts w:ascii="Times New Roman" w:hAnsi="Times New Roman"/>
          <w:sz w:val="20"/>
          <w:szCs w:val="20"/>
        </w:rPr>
      </w:pPr>
      <w:r w:rsidRPr="00EF2265">
        <w:rPr>
          <w:rFonts w:ascii="Times New Roman" w:hAnsi="Times New Roman"/>
          <w:sz w:val="20"/>
          <w:szCs w:val="20"/>
        </w:rPr>
        <w:t>Celkovo je však možné konštatovať stabilný až mierne stúpajúci trend vycestovaných študentov v rámci programu Erasmus+ v pomere k celkovému počtu študentov STU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_Ref474777583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lang w:eastAsia="sk-SK"/>
        </w:rPr>
        <w:t xml:space="preserve">Tab. č. </w:t>
      </w:r>
      <w:r w:rsidR="001C349F">
        <w:rPr>
          <w:rFonts w:ascii="Times New Roman" w:hAnsi="Times New Roman"/>
          <w:sz w:val="20"/>
          <w:szCs w:val="20"/>
        </w:rPr>
        <w:t>19</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br w:type="page"/>
      </w:r>
    </w:p>
    <w:p w:rsidR="00AD09B4" w:rsidRPr="00EF2265" w:rsidRDefault="00AD09B4" w:rsidP="00E86605">
      <w:pPr>
        <w:tabs>
          <w:tab w:val="left" w:pos="5700"/>
          <w:tab w:val="left" w:pos="9356"/>
        </w:tabs>
        <w:jc w:val="left"/>
        <w:rPr>
          <w:rFonts w:ascii="Times New Roman" w:hAnsi="Times New Roman"/>
          <w:sz w:val="20"/>
          <w:szCs w:val="20"/>
          <w:lang w:eastAsia="sk-SK"/>
        </w:rPr>
      </w:pPr>
      <w:bookmarkStart w:id="64" w:name="_Ref474777583"/>
      <w:bookmarkStart w:id="65" w:name="_Toc534793958"/>
      <w:r w:rsidRPr="00EF2265">
        <w:rPr>
          <w:rFonts w:ascii="Times New Roman" w:hAnsi="Times New Roman"/>
          <w:sz w:val="20"/>
          <w:szCs w:val="20"/>
          <w:lang w:eastAsia="sk-SK"/>
        </w:rPr>
        <w:lastRenderedPageBreak/>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19</w:t>
      </w:r>
      <w:r w:rsidRPr="00EF2265">
        <w:rPr>
          <w:rFonts w:ascii="Times New Roman" w:hAnsi="Times New Roman"/>
          <w:sz w:val="20"/>
          <w:szCs w:val="20"/>
        </w:rPr>
        <w:fldChar w:fldCharType="end"/>
      </w:r>
      <w:bookmarkEnd w:id="64"/>
      <w:r w:rsidRPr="00EF2265">
        <w:rPr>
          <w:rFonts w:ascii="Times New Roman" w:hAnsi="Times New Roman"/>
          <w:sz w:val="20"/>
          <w:szCs w:val="20"/>
          <w:lang w:eastAsia="sk-SK"/>
        </w:rPr>
        <w:t>: Percentuálne vyjadrenie pomeru vycestovaných študentov/absolventov STU v  rámci programu Erasmus+ k celkovému počtu študentov</w:t>
      </w:r>
      <w:bookmarkEnd w:id="65"/>
    </w:p>
    <w:tbl>
      <w:tblPr>
        <w:tblW w:w="9356" w:type="dxa"/>
        <w:tblInd w:w="-5" w:type="dxa"/>
        <w:tblCellMar>
          <w:left w:w="70" w:type="dxa"/>
          <w:right w:w="70" w:type="dxa"/>
        </w:tblCellMar>
        <w:tblLook w:val="04A0" w:firstRow="1" w:lastRow="0" w:firstColumn="1" w:lastColumn="0" w:noHBand="0" w:noVBand="1"/>
      </w:tblPr>
      <w:tblGrid>
        <w:gridCol w:w="1289"/>
        <w:gridCol w:w="1931"/>
        <w:gridCol w:w="3068"/>
        <w:gridCol w:w="3068"/>
      </w:tblGrid>
      <w:tr w:rsidR="00AD09B4" w:rsidRPr="00EF2265" w:rsidTr="00351A8A">
        <w:trPr>
          <w:trHeight w:val="51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akad. rok</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celkový počet študentov STU</w:t>
            </w:r>
          </w:p>
        </w:tc>
        <w:tc>
          <w:tcPr>
            <w:tcW w:w="3068"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študentov/absolventov STU vyslaných cez Erasmus+</w:t>
            </w:r>
          </w:p>
        </w:tc>
        <w:tc>
          <w:tcPr>
            <w:tcW w:w="3068"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Pomer vycestovaní/celkový</w:t>
            </w:r>
            <w:r w:rsidRPr="00EF2265">
              <w:rPr>
                <w:rFonts w:ascii="Times New Roman" w:eastAsia="Times New Roman" w:hAnsi="Times New Roman"/>
                <w:b/>
                <w:bCs/>
                <w:sz w:val="20"/>
                <w:szCs w:val="20"/>
                <w:lang w:eastAsia="sk-SK"/>
              </w:rPr>
              <w:br/>
              <w:t>počet študentov</w:t>
            </w:r>
          </w:p>
        </w:tc>
      </w:tr>
      <w:tr w:rsidR="00AD09B4" w:rsidRPr="00EF2265" w:rsidTr="00351A8A">
        <w:trPr>
          <w:trHeight w:val="300"/>
        </w:trPr>
        <w:tc>
          <w:tcPr>
            <w:tcW w:w="1289"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2011/2012</w:t>
            </w:r>
          </w:p>
        </w:tc>
        <w:tc>
          <w:tcPr>
            <w:tcW w:w="193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17 736</w:t>
            </w:r>
          </w:p>
        </w:tc>
        <w:tc>
          <w:tcPr>
            <w:tcW w:w="306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176</w:t>
            </w:r>
          </w:p>
        </w:tc>
        <w:tc>
          <w:tcPr>
            <w:tcW w:w="306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0,99%</w:t>
            </w:r>
          </w:p>
        </w:tc>
      </w:tr>
      <w:tr w:rsidR="00AD09B4" w:rsidRPr="00EF2265" w:rsidTr="00351A8A">
        <w:trPr>
          <w:trHeight w:val="300"/>
        </w:trPr>
        <w:tc>
          <w:tcPr>
            <w:tcW w:w="1289" w:type="dxa"/>
            <w:tcBorders>
              <w:top w:val="nil"/>
              <w:left w:val="single" w:sz="4" w:space="0" w:color="auto"/>
              <w:bottom w:val="single" w:sz="4" w:space="0" w:color="auto"/>
              <w:right w:val="single" w:sz="4" w:space="0" w:color="auto"/>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2012/2013</w:t>
            </w:r>
          </w:p>
        </w:tc>
        <w:tc>
          <w:tcPr>
            <w:tcW w:w="1931" w:type="dxa"/>
            <w:tcBorders>
              <w:top w:val="nil"/>
              <w:left w:val="nil"/>
              <w:bottom w:val="single" w:sz="4" w:space="0" w:color="auto"/>
              <w:right w:val="single" w:sz="4" w:space="0" w:color="auto"/>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17 059</w:t>
            </w:r>
          </w:p>
        </w:tc>
        <w:tc>
          <w:tcPr>
            <w:tcW w:w="3068" w:type="dxa"/>
            <w:tcBorders>
              <w:top w:val="nil"/>
              <w:left w:val="nil"/>
              <w:bottom w:val="single" w:sz="4" w:space="0" w:color="auto"/>
              <w:right w:val="single" w:sz="4" w:space="0" w:color="auto"/>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192</w:t>
            </w:r>
          </w:p>
        </w:tc>
        <w:tc>
          <w:tcPr>
            <w:tcW w:w="3068" w:type="dxa"/>
            <w:tcBorders>
              <w:top w:val="nil"/>
              <w:left w:val="nil"/>
              <w:bottom w:val="single" w:sz="4" w:space="0" w:color="auto"/>
              <w:right w:val="single" w:sz="4" w:space="0" w:color="auto"/>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1,13%</w:t>
            </w:r>
          </w:p>
        </w:tc>
      </w:tr>
      <w:tr w:rsidR="00AD09B4" w:rsidRPr="00EF2265" w:rsidTr="00351A8A">
        <w:trPr>
          <w:trHeight w:val="300"/>
        </w:trPr>
        <w:tc>
          <w:tcPr>
            <w:tcW w:w="1289"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2013/2014</w:t>
            </w:r>
          </w:p>
        </w:tc>
        <w:tc>
          <w:tcPr>
            <w:tcW w:w="1931"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16 402</w:t>
            </w:r>
          </w:p>
        </w:tc>
        <w:tc>
          <w:tcPr>
            <w:tcW w:w="306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230</w:t>
            </w:r>
          </w:p>
        </w:tc>
        <w:tc>
          <w:tcPr>
            <w:tcW w:w="306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1,40%</w:t>
            </w:r>
          </w:p>
        </w:tc>
      </w:tr>
      <w:tr w:rsidR="00AD09B4" w:rsidRPr="00EF2265" w:rsidTr="00351A8A">
        <w:trPr>
          <w:trHeight w:val="300"/>
        </w:trPr>
        <w:tc>
          <w:tcPr>
            <w:tcW w:w="1289"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2014/2015</w:t>
            </w:r>
          </w:p>
        </w:tc>
        <w:tc>
          <w:tcPr>
            <w:tcW w:w="1931"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15 403</w:t>
            </w:r>
          </w:p>
        </w:tc>
        <w:tc>
          <w:tcPr>
            <w:tcW w:w="306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305</w:t>
            </w:r>
          </w:p>
        </w:tc>
        <w:tc>
          <w:tcPr>
            <w:tcW w:w="306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1,98%</w:t>
            </w:r>
          </w:p>
        </w:tc>
      </w:tr>
      <w:tr w:rsidR="00AD09B4" w:rsidRPr="00EF2265" w:rsidTr="00351A8A">
        <w:trPr>
          <w:trHeight w:val="300"/>
        </w:trPr>
        <w:tc>
          <w:tcPr>
            <w:tcW w:w="1289" w:type="dxa"/>
            <w:tcBorders>
              <w:top w:val="nil"/>
              <w:left w:val="single" w:sz="4" w:space="0" w:color="auto"/>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2015/2016</w:t>
            </w:r>
          </w:p>
        </w:tc>
        <w:tc>
          <w:tcPr>
            <w:tcW w:w="1931"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14 286</w:t>
            </w:r>
          </w:p>
        </w:tc>
        <w:tc>
          <w:tcPr>
            <w:tcW w:w="3068"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280</w:t>
            </w:r>
          </w:p>
        </w:tc>
        <w:tc>
          <w:tcPr>
            <w:tcW w:w="306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1,96%</w:t>
            </w:r>
          </w:p>
        </w:tc>
      </w:tr>
      <w:tr w:rsidR="00AD09B4" w:rsidRPr="00EF2265" w:rsidTr="00351A8A">
        <w:trPr>
          <w:trHeight w:val="300"/>
        </w:trPr>
        <w:tc>
          <w:tcPr>
            <w:tcW w:w="1289" w:type="dxa"/>
            <w:tcBorders>
              <w:top w:val="nil"/>
              <w:left w:val="single" w:sz="4" w:space="0" w:color="auto"/>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2016/2017</w:t>
            </w:r>
          </w:p>
        </w:tc>
        <w:tc>
          <w:tcPr>
            <w:tcW w:w="1931"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13 108</w:t>
            </w:r>
          </w:p>
        </w:tc>
        <w:tc>
          <w:tcPr>
            <w:tcW w:w="3068" w:type="dxa"/>
            <w:tcBorders>
              <w:top w:val="nil"/>
              <w:left w:val="nil"/>
              <w:bottom w:val="single" w:sz="4" w:space="0" w:color="auto"/>
              <w:right w:val="single" w:sz="4" w:space="0" w:color="auto"/>
            </w:tcBorders>
            <w:shd w:val="clear" w:color="000000" w:fill="FFFFFF"/>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261</w:t>
            </w:r>
          </w:p>
        </w:tc>
        <w:tc>
          <w:tcPr>
            <w:tcW w:w="3068" w:type="dxa"/>
            <w:tcBorders>
              <w:top w:val="nil"/>
              <w:left w:val="nil"/>
              <w:bottom w:val="single" w:sz="4" w:space="0" w:color="auto"/>
              <w:right w:val="single" w:sz="4" w:space="0" w:color="auto"/>
            </w:tcBorders>
            <w:shd w:val="clear" w:color="auto" w:fill="auto"/>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1,99%</w:t>
            </w:r>
          </w:p>
        </w:tc>
      </w:tr>
      <w:tr w:rsidR="00AD09B4" w:rsidRPr="00EF2265" w:rsidTr="00351A8A">
        <w:trPr>
          <w:trHeight w:val="300"/>
        </w:trPr>
        <w:tc>
          <w:tcPr>
            <w:tcW w:w="1289" w:type="dxa"/>
            <w:tcBorders>
              <w:top w:val="nil"/>
              <w:left w:val="single" w:sz="4" w:space="0" w:color="auto"/>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2017/2018</w:t>
            </w:r>
          </w:p>
        </w:tc>
        <w:tc>
          <w:tcPr>
            <w:tcW w:w="1931"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11 748</w:t>
            </w:r>
          </w:p>
        </w:tc>
        <w:tc>
          <w:tcPr>
            <w:tcW w:w="306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276</w:t>
            </w:r>
          </w:p>
        </w:tc>
        <w:tc>
          <w:tcPr>
            <w:tcW w:w="3068"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2,35%</w:t>
            </w:r>
          </w:p>
        </w:tc>
      </w:tr>
    </w:tbl>
    <w:p w:rsidR="00AD09B4" w:rsidRPr="00EF2265" w:rsidRDefault="00AD09B4" w:rsidP="00E86605">
      <w:pPr>
        <w:tabs>
          <w:tab w:val="left" w:pos="9356"/>
        </w:tabs>
        <w:ind w:right="-2"/>
        <w:jc w:val="left"/>
        <w:rPr>
          <w:rFonts w:ascii="Times New Roman" w:eastAsia="Calibri" w:hAnsi="Times New Roman"/>
          <w:sz w:val="20"/>
          <w:szCs w:val="20"/>
        </w:rPr>
      </w:pPr>
    </w:p>
    <w:p w:rsidR="00AD09B4" w:rsidRPr="00EF2265" w:rsidRDefault="00AD09B4" w:rsidP="00E86605">
      <w:pPr>
        <w:tabs>
          <w:tab w:val="left" w:pos="9356"/>
        </w:tabs>
        <w:ind w:right="-2"/>
        <w:jc w:val="left"/>
        <w:rPr>
          <w:rFonts w:ascii="Times New Roman" w:hAnsi="Times New Roman"/>
          <w:sz w:val="20"/>
          <w:szCs w:val="20"/>
        </w:rPr>
      </w:pPr>
      <w:r w:rsidRPr="00EF2265">
        <w:rPr>
          <w:rFonts w:ascii="Times New Roman" w:hAnsi="Times New Roman"/>
          <w:sz w:val="20"/>
          <w:szCs w:val="20"/>
        </w:rPr>
        <w:t xml:space="preserve">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_Ref474777608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lang w:eastAsia="sk-SK"/>
        </w:rPr>
        <w:t xml:space="preserve">Tab. č. </w:t>
      </w:r>
      <w:r w:rsidR="001C349F">
        <w:rPr>
          <w:rFonts w:ascii="Times New Roman" w:hAnsi="Times New Roman"/>
          <w:sz w:val="20"/>
          <w:szCs w:val="20"/>
        </w:rPr>
        <w:t>20</w:t>
      </w:r>
      <w:r w:rsidRPr="00EF2265">
        <w:rPr>
          <w:rFonts w:ascii="Times New Roman" w:hAnsi="Times New Roman"/>
          <w:sz w:val="20"/>
          <w:szCs w:val="20"/>
        </w:rPr>
        <w:fldChar w:fldCharType="end"/>
      </w:r>
      <w:r w:rsidRPr="00EF2265">
        <w:rPr>
          <w:rFonts w:ascii="Times New Roman" w:hAnsi="Times New Roman"/>
          <w:sz w:val="20"/>
          <w:szCs w:val="20"/>
        </w:rPr>
        <w:t xml:space="preserve"> je prezentovaný vývoj evidovaných medzinárodných akademických mobilít študentov na STU.</w:t>
      </w:r>
    </w:p>
    <w:p w:rsidR="00AD09B4" w:rsidRPr="00EF2265" w:rsidRDefault="00AD09B4" w:rsidP="00E86605">
      <w:pPr>
        <w:tabs>
          <w:tab w:val="left" w:pos="9356"/>
        </w:tabs>
        <w:ind w:right="-2"/>
        <w:jc w:val="left"/>
        <w:rPr>
          <w:rFonts w:ascii="Times New Roman" w:eastAsia="Calibri" w:hAnsi="Times New Roman"/>
          <w:sz w:val="20"/>
          <w:szCs w:val="20"/>
        </w:rPr>
      </w:pPr>
    </w:p>
    <w:p w:rsidR="00AD09B4" w:rsidRPr="00EF2265" w:rsidRDefault="00AD09B4" w:rsidP="00E86605">
      <w:pPr>
        <w:tabs>
          <w:tab w:val="left" w:pos="5700"/>
          <w:tab w:val="left" w:pos="9356"/>
        </w:tabs>
        <w:jc w:val="left"/>
        <w:rPr>
          <w:rFonts w:ascii="Times New Roman" w:hAnsi="Times New Roman"/>
          <w:sz w:val="20"/>
          <w:szCs w:val="20"/>
          <w:lang w:eastAsia="sk-SK"/>
        </w:rPr>
      </w:pPr>
      <w:bookmarkStart w:id="66" w:name="_Ref474777608"/>
      <w:bookmarkStart w:id="67" w:name="_Toc534793959"/>
      <w:r w:rsidRPr="00EF2265">
        <w:rPr>
          <w:rFonts w:ascii="Times New Roman" w:hAnsi="Times New Roman"/>
          <w:sz w:val="20"/>
          <w:szCs w:val="20"/>
          <w:lang w:eastAsia="sk-SK"/>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20</w:t>
      </w:r>
      <w:r w:rsidRPr="00EF2265">
        <w:rPr>
          <w:rFonts w:ascii="Times New Roman" w:hAnsi="Times New Roman"/>
          <w:sz w:val="20"/>
          <w:szCs w:val="20"/>
        </w:rPr>
        <w:fldChar w:fldCharType="end"/>
      </w:r>
      <w:bookmarkEnd w:id="66"/>
      <w:r w:rsidRPr="00EF2265">
        <w:rPr>
          <w:rFonts w:ascii="Times New Roman" w:hAnsi="Times New Roman"/>
          <w:sz w:val="20"/>
          <w:szCs w:val="20"/>
          <w:lang w:eastAsia="sk-SK"/>
        </w:rPr>
        <w:t>: Medzinárodné akademické mobility na STU za akademické roky 2011/2012 – 2017/2018</w:t>
      </w:r>
      <w:bookmarkEnd w:id="67"/>
    </w:p>
    <w:tbl>
      <w:tblPr>
        <w:tblW w:w="9371" w:type="dxa"/>
        <w:tblInd w:w="55" w:type="dxa"/>
        <w:tblLayout w:type="fixed"/>
        <w:tblCellMar>
          <w:left w:w="70" w:type="dxa"/>
          <w:right w:w="70" w:type="dxa"/>
        </w:tblCellMar>
        <w:tblLook w:val="04A0" w:firstRow="1" w:lastRow="0" w:firstColumn="1" w:lastColumn="0" w:noHBand="0" w:noVBand="1"/>
      </w:tblPr>
      <w:tblGrid>
        <w:gridCol w:w="1074"/>
        <w:gridCol w:w="993"/>
        <w:gridCol w:w="574"/>
        <w:gridCol w:w="918"/>
        <w:gridCol w:w="614"/>
        <w:gridCol w:w="729"/>
        <w:gridCol w:w="992"/>
        <w:gridCol w:w="522"/>
        <w:gridCol w:w="970"/>
        <w:gridCol w:w="567"/>
        <w:gridCol w:w="679"/>
        <w:gridCol w:w="739"/>
      </w:tblGrid>
      <w:tr w:rsidR="00AD09B4" w:rsidRPr="00EF2265" w:rsidTr="00351A8A">
        <w:trPr>
          <w:trHeight w:val="255"/>
        </w:trPr>
        <w:tc>
          <w:tcPr>
            <w:tcW w:w="10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akad. rok</w:t>
            </w:r>
          </w:p>
        </w:tc>
        <w:tc>
          <w:tcPr>
            <w:tcW w:w="3828" w:type="dxa"/>
            <w:gridSpan w:val="5"/>
            <w:tcBorders>
              <w:top w:val="single" w:sz="4" w:space="0" w:color="000000"/>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vyslaní</w:t>
            </w:r>
          </w:p>
        </w:tc>
        <w:tc>
          <w:tcPr>
            <w:tcW w:w="3730" w:type="dxa"/>
            <w:gridSpan w:val="5"/>
            <w:tcBorders>
              <w:top w:val="single" w:sz="4" w:space="0" w:color="000000"/>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prijatí</w:t>
            </w:r>
          </w:p>
        </w:tc>
        <w:tc>
          <w:tcPr>
            <w:tcW w:w="739" w:type="dxa"/>
            <w:vMerge w:val="restart"/>
            <w:tcBorders>
              <w:top w:val="single" w:sz="4" w:space="0" w:color="000000"/>
              <w:left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r>
      <w:tr w:rsidR="00AD09B4" w:rsidRPr="00EF2265" w:rsidTr="00351A8A">
        <w:trPr>
          <w:trHeight w:val="255"/>
        </w:trPr>
        <w:tc>
          <w:tcPr>
            <w:tcW w:w="1074" w:type="dxa"/>
            <w:vMerge/>
            <w:tcBorders>
              <w:top w:val="single" w:sz="4" w:space="0" w:color="000000"/>
              <w:left w:val="single" w:sz="4" w:space="0" w:color="000000"/>
              <w:bottom w:val="single" w:sz="4" w:space="0" w:color="000000"/>
              <w:right w:val="single" w:sz="4" w:space="0" w:color="000000"/>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93"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Erasmus+</w:t>
            </w:r>
          </w:p>
        </w:tc>
        <w:tc>
          <w:tcPr>
            <w:tcW w:w="57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NŠP</w:t>
            </w:r>
          </w:p>
        </w:tc>
        <w:tc>
          <w:tcPr>
            <w:tcW w:w="918"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CEEPUS</w:t>
            </w:r>
          </w:p>
        </w:tc>
        <w:tc>
          <w:tcPr>
            <w:tcW w:w="61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iné</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99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Erasmus+</w:t>
            </w:r>
          </w:p>
        </w:tc>
        <w:tc>
          <w:tcPr>
            <w:tcW w:w="52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NŠP</w:t>
            </w:r>
          </w:p>
        </w:tc>
        <w:tc>
          <w:tcPr>
            <w:tcW w:w="970"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CEEPUS</w:t>
            </w:r>
          </w:p>
        </w:tc>
        <w:tc>
          <w:tcPr>
            <w:tcW w:w="567"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iné</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739" w:type="dxa"/>
            <w:vMerge/>
            <w:tcBorders>
              <w:left w:val="single" w:sz="4" w:space="0" w:color="000000"/>
              <w:bottom w:val="single" w:sz="4" w:space="0" w:color="000000"/>
              <w:right w:val="single" w:sz="4" w:space="0" w:color="000000"/>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r>
      <w:tr w:rsidR="00AD09B4" w:rsidRPr="00EF2265" w:rsidTr="00351A8A">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2011/2012</w:t>
            </w:r>
          </w:p>
        </w:tc>
        <w:tc>
          <w:tcPr>
            <w:tcW w:w="993"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176</w:t>
            </w:r>
          </w:p>
        </w:tc>
        <w:tc>
          <w:tcPr>
            <w:tcW w:w="57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28</w:t>
            </w:r>
          </w:p>
        </w:tc>
        <w:tc>
          <w:tcPr>
            <w:tcW w:w="918"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59</w:t>
            </w:r>
          </w:p>
        </w:tc>
        <w:tc>
          <w:tcPr>
            <w:tcW w:w="61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263</w:t>
            </w:r>
          </w:p>
        </w:tc>
        <w:tc>
          <w:tcPr>
            <w:tcW w:w="99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57</w:t>
            </w:r>
          </w:p>
        </w:tc>
        <w:tc>
          <w:tcPr>
            <w:tcW w:w="52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5</w:t>
            </w:r>
          </w:p>
        </w:tc>
        <w:tc>
          <w:tcPr>
            <w:tcW w:w="970"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24</w:t>
            </w:r>
          </w:p>
        </w:tc>
        <w:tc>
          <w:tcPr>
            <w:tcW w:w="567"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86</w:t>
            </w:r>
          </w:p>
        </w:tc>
        <w:tc>
          <w:tcPr>
            <w:tcW w:w="739"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349</w:t>
            </w:r>
          </w:p>
        </w:tc>
      </w:tr>
      <w:tr w:rsidR="00AD09B4" w:rsidRPr="00EF2265" w:rsidTr="00351A8A">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2012/2013</w:t>
            </w:r>
          </w:p>
        </w:tc>
        <w:tc>
          <w:tcPr>
            <w:tcW w:w="993"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192</w:t>
            </w:r>
          </w:p>
        </w:tc>
        <w:tc>
          <w:tcPr>
            <w:tcW w:w="57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22</w:t>
            </w:r>
          </w:p>
        </w:tc>
        <w:tc>
          <w:tcPr>
            <w:tcW w:w="918"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w:t>
            </w:r>
          </w:p>
        </w:tc>
        <w:tc>
          <w:tcPr>
            <w:tcW w:w="61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214</w:t>
            </w:r>
          </w:p>
        </w:tc>
        <w:tc>
          <w:tcPr>
            <w:tcW w:w="99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76</w:t>
            </w:r>
          </w:p>
        </w:tc>
        <w:tc>
          <w:tcPr>
            <w:tcW w:w="52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13</w:t>
            </w:r>
          </w:p>
        </w:tc>
        <w:tc>
          <w:tcPr>
            <w:tcW w:w="970"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23</w:t>
            </w:r>
          </w:p>
        </w:tc>
        <w:tc>
          <w:tcPr>
            <w:tcW w:w="567"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112</w:t>
            </w:r>
          </w:p>
        </w:tc>
        <w:tc>
          <w:tcPr>
            <w:tcW w:w="739"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326</w:t>
            </w:r>
          </w:p>
        </w:tc>
      </w:tr>
      <w:tr w:rsidR="00AD09B4" w:rsidRPr="00EF2265" w:rsidTr="00351A8A">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2013/2014</w:t>
            </w:r>
          </w:p>
        </w:tc>
        <w:tc>
          <w:tcPr>
            <w:tcW w:w="993"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230</w:t>
            </w:r>
          </w:p>
        </w:tc>
        <w:tc>
          <w:tcPr>
            <w:tcW w:w="574"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33</w:t>
            </w:r>
          </w:p>
        </w:tc>
        <w:tc>
          <w:tcPr>
            <w:tcW w:w="918"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35</w:t>
            </w:r>
          </w:p>
        </w:tc>
        <w:tc>
          <w:tcPr>
            <w:tcW w:w="614"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34</w:t>
            </w:r>
          </w:p>
        </w:tc>
        <w:tc>
          <w:tcPr>
            <w:tcW w:w="729" w:type="dxa"/>
            <w:tcBorders>
              <w:top w:val="nil"/>
              <w:left w:val="nil"/>
              <w:bottom w:val="single" w:sz="4" w:space="0" w:color="000000"/>
              <w:right w:val="single" w:sz="4" w:space="0" w:color="000000"/>
            </w:tcBorders>
            <w:shd w:val="clear" w:color="auto" w:fill="EEECE1" w:themeFill="background2"/>
            <w:vAlign w:val="center"/>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332</w:t>
            </w:r>
          </w:p>
        </w:tc>
        <w:tc>
          <w:tcPr>
            <w:tcW w:w="992"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89</w:t>
            </w:r>
          </w:p>
        </w:tc>
        <w:tc>
          <w:tcPr>
            <w:tcW w:w="522"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13</w:t>
            </w:r>
          </w:p>
        </w:tc>
        <w:tc>
          <w:tcPr>
            <w:tcW w:w="970"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34</w:t>
            </w:r>
          </w:p>
        </w:tc>
        <w:tc>
          <w:tcPr>
            <w:tcW w:w="567"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30</w:t>
            </w:r>
          </w:p>
        </w:tc>
        <w:tc>
          <w:tcPr>
            <w:tcW w:w="679" w:type="dxa"/>
            <w:tcBorders>
              <w:top w:val="nil"/>
              <w:left w:val="nil"/>
              <w:bottom w:val="single" w:sz="4" w:space="0" w:color="000000"/>
              <w:right w:val="single" w:sz="4" w:space="0" w:color="000000"/>
            </w:tcBorders>
            <w:shd w:val="clear" w:color="auto" w:fill="EEECE1" w:themeFill="background2"/>
            <w:vAlign w:val="center"/>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166</w:t>
            </w:r>
          </w:p>
        </w:tc>
        <w:tc>
          <w:tcPr>
            <w:tcW w:w="739"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498</w:t>
            </w:r>
          </w:p>
        </w:tc>
      </w:tr>
      <w:tr w:rsidR="00AD09B4" w:rsidRPr="00EF2265" w:rsidTr="00351A8A">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2014/2015</w:t>
            </w:r>
          </w:p>
        </w:tc>
        <w:tc>
          <w:tcPr>
            <w:tcW w:w="993"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305</w:t>
            </w:r>
          </w:p>
        </w:tc>
        <w:tc>
          <w:tcPr>
            <w:tcW w:w="57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15</w:t>
            </w:r>
          </w:p>
        </w:tc>
        <w:tc>
          <w:tcPr>
            <w:tcW w:w="918"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67</w:t>
            </w:r>
          </w:p>
        </w:tc>
        <w:tc>
          <w:tcPr>
            <w:tcW w:w="61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30</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417</w:t>
            </w:r>
          </w:p>
        </w:tc>
        <w:tc>
          <w:tcPr>
            <w:tcW w:w="99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100</w:t>
            </w:r>
          </w:p>
        </w:tc>
        <w:tc>
          <w:tcPr>
            <w:tcW w:w="52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8</w:t>
            </w:r>
          </w:p>
        </w:tc>
        <w:tc>
          <w:tcPr>
            <w:tcW w:w="970"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47</w:t>
            </w:r>
          </w:p>
        </w:tc>
        <w:tc>
          <w:tcPr>
            <w:tcW w:w="567"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22</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177</w:t>
            </w:r>
          </w:p>
        </w:tc>
        <w:tc>
          <w:tcPr>
            <w:tcW w:w="739"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594</w:t>
            </w:r>
          </w:p>
        </w:tc>
      </w:tr>
      <w:tr w:rsidR="00AD09B4" w:rsidRPr="00EF2265" w:rsidTr="00351A8A">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2015/2016</w:t>
            </w:r>
          </w:p>
        </w:tc>
        <w:tc>
          <w:tcPr>
            <w:tcW w:w="993"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280</w:t>
            </w:r>
          </w:p>
        </w:tc>
        <w:tc>
          <w:tcPr>
            <w:tcW w:w="57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9</w:t>
            </w:r>
          </w:p>
        </w:tc>
        <w:tc>
          <w:tcPr>
            <w:tcW w:w="918"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35</w:t>
            </w:r>
          </w:p>
        </w:tc>
        <w:tc>
          <w:tcPr>
            <w:tcW w:w="61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30</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354</w:t>
            </w:r>
          </w:p>
        </w:tc>
        <w:tc>
          <w:tcPr>
            <w:tcW w:w="99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113</w:t>
            </w:r>
          </w:p>
        </w:tc>
        <w:tc>
          <w:tcPr>
            <w:tcW w:w="52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w:t>
            </w:r>
          </w:p>
        </w:tc>
        <w:tc>
          <w:tcPr>
            <w:tcW w:w="970"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19</w:t>
            </w:r>
          </w:p>
        </w:tc>
        <w:tc>
          <w:tcPr>
            <w:tcW w:w="567"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34</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168</w:t>
            </w:r>
          </w:p>
        </w:tc>
        <w:tc>
          <w:tcPr>
            <w:tcW w:w="739"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522</w:t>
            </w:r>
          </w:p>
        </w:tc>
      </w:tr>
      <w:tr w:rsidR="00AD09B4" w:rsidRPr="00EF2265" w:rsidTr="00351A8A">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2016/2017</w:t>
            </w:r>
          </w:p>
        </w:tc>
        <w:tc>
          <w:tcPr>
            <w:tcW w:w="993"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261</w:t>
            </w:r>
          </w:p>
        </w:tc>
        <w:tc>
          <w:tcPr>
            <w:tcW w:w="574"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918"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23</w:t>
            </w:r>
          </w:p>
        </w:tc>
        <w:tc>
          <w:tcPr>
            <w:tcW w:w="614"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w:t>
            </w:r>
          </w:p>
        </w:tc>
        <w:tc>
          <w:tcPr>
            <w:tcW w:w="729" w:type="dxa"/>
            <w:tcBorders>
              <w:top w:val="nil"/>
              <w:left w:val="nil"/>
              <w:bottom w:val="single" w:sz="4" w:space="0" w:color="000000"/>
              <w:right w:val="single" w:sz="4" w:space="0" w:color="000000"/>
            </w:tcBorders>
            <w:shd w:val="clear" w:color="auto" w:fill="EEECE1" w:themeFill="background2"/>
            <w:vAlign w:val="center"/>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310</w:t>
            </w:r>
          </w:p>
        </w:tc>
        <w:tc>
          <w:tcPr>
            <w:tcW w:w="992"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157</w:t>
            </w:r>
          </w:p>
        </w:tc>
        <w:tc>
          <w:tcPr>
            <w:tcW w:w="522"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970"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567"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679" w:type="dxa"/>
            <w:tcBorders>
              <w:top w:val="nil"/>
              <w:left w:val="nil"/>
              <w:bottom w:val="single" w:sz="4" w:space="0" w:color="000000"/>
              <w:right w:val="single" w:sz="4" w:space="0" w:color="000000"/>
            </w:tcBorders>
            <w:shd w:val="clear" w:color="auto" w:fill="EEECE1" w:themeFill="background2"/>
            <w:vAlign w:val="center"/>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184</w:t>
            </w:r>
          </w:p>
        </w:tc>
        <w:tc>
          <w:tcPr>
            <w:tcW w:w="739" w:type="dxa"/>
            <w:tcBorders>
              <w:top w:val="nil"/>
              <w:left w:val="nil"/>
              <w:bottom w:val="single" w:sz="4" w:space="0" w:color="000000"/>
              <w:right w:val="single" w:sz="4" w:space="0" w:color="000000"/>
            </w:tcBorders>
            <w:shd w:val="clear" w:color="auto" w:fill="auto"/>
            <w:vAlign w:val="center"/>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494</w:t>
            </w:r>
          </w:p>
        </w:tc>
      </w:tr>
      <w:tr w:rsidR="00AD09B4" w:rsidRPr="00EF2265" w:rsidTr="00351A8A">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2017/2018</w:t>
            </w:r>
          </w:p>
        </w:tc>
        <w:tc>
          <w:tcPr>
            <w:tcW w:w="993"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276</w:t>
            </w:r>
          </w:p>
        </w:tc>
        <w:tc>
          <w:tcPr>
            <w:tcW w:w="57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918"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w:t>
            </w:r>
          </w:p>
        </w:tc>
        <w:tc>
          <w:tcPr>
            <w:tcW w:w="614"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318</w:t>
            </w:r>
          </w:p>
        </w:tc>
        <w:tc>
          <w:tcPr>
            <w:tcW w:w="99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180</w:t>
            </w:r>
          </w:p>
        </w:tc>
        <w:tc>
          <w:tcPr>
            <w:tcW w:w="522"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970"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567"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38</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223</w:t>
            </w:r>
          </w:p>
        </w:tc>
        <w:tc>
          <w:tcPr>
            <w:tcW w:w="739" w:type="dxa"/>
            <w:tcBorders>
              <w:top w:val="nil"/>
              <w:left w:val="nil"/>
              <w:bottom w:val="single" w:sz="4" w:space="0" w:color="000000"/>
              <w:right w:val="single" w:sz="4" w:space="0" w:color="000000"/>
            </w:tcBorders>
            <w:shd w:val="clear" w:color="auto" w:fill="auto"/>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541</w:t>
            </w:r>
          </w:p>
        </w:tc>
      </w:tr>
    </w:tbl>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Vysvetlivky: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z daného akademického roka nie sú údaje k dispozícii</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STU má záujem na zvyšovaní akademickej mobility študentov, nakoľko pobyt študenta na zahraničnej inštitúcii je vždy pozitívnym prvkom v priebehu štúdia študenta. Jednoznačne sa tento prínos prejaví nielen počas ďalšieho štúdia na univerzite, ale i následne po absolvovaní univerzity pri hľadaní si pracovných príležitostí na trhu práce.</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Od roku 2015 sú v rámci programu Erasmus+ prostredníctvom grantovej schémy „Medzinárodná kreditová mobilita“ podporované aj výmeny študentov a zamestnancov vysokých škôl s kolegami z krajín mimo Európy. Aj z uvedeného dôvodu sa STU zúčastnila v roku 2016 výzvy vyhlásenej cez agentúru SAAIC na zapojenie sa do novej kľúčovej aktivity Erasmus+ KA107 - Erasmus+ International Credit Mobility.</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Po úspechu STU vo výberovom procese projektov Medzinárodná kreditová mobilita (ICM) Výzvy Erasmus+ 2016 a 2017, bol STU schválený dvojročný projekt aj v rámci Výzvy roku 2018. Kvalita vypracovanej žiadosti bola hodnotená externými hodnotiteľmi, ktorí spolu s vysokým bodovým kvalitatívnym hodnotením schválili STU finančný príspevok.</w:t>
      </w:r>
    </w:p>
    <w:p w:rsidR="00AD09B4" w:rsidRPr="00EF2265" w:rsidRDefault="00AD09B4" w:rsidP="00E86605">
      <w:pPr>
        <w:tabs>
          <w:tab w:val="left" w:pos="9356"/>
        </w:tabs>
        <w:spacing w:after="120"/>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Tento projekt umožňuje realizáciu akademických mobilít študentov a zamestnancov univerzity v rámci podpísaných interinštitucionálnych zmlúv medzi krajinami programu (Slovensko) a partnerskými krajinami, to je krajinami mimo EU. STU bol schválený grant pre 4 inštitúcie zo 4 partnerských krajín pričom pri jednej krajine bol grant vyšší, než bol žiadaný. </w:t>
      </w:r>
    </w:p>
    <w:p w:rsidR="00AD09B4" w:rsidRPr="00EF2265" w:rsidRDefault="00AD09B4" w:rsidP="00E86605">
      <w:pPr>
        <w:tabs>
          <w:tab w:val="left" w:pos="9356"/>
        </w:tabs>
        <w:spacing w:after="100" w:afterAutospacing="1"/>
        <w:jc w:val="left"/>
        <w:rPr>
          <w:rFonts w:ascii="Times New Roman" w:hAnsi="Times New Roman"/>
          <w:sz w:val="20"/>
          <w:szCs w:val="20"/>
        </w:rPr>
      </w:pPr>
      <w:r w:rsidRPr="00EF2265">
        <w:rPr>
          <w:rFonts w:ascii="Times New Roman" w:eastAsia="Times New Roman" w:hAnsi="Times New Roman"/>
          <w:sz w:val="20"/>
          <w:szCs w:val="20"/>
          <w:lang w:eastAsia="sk-SK"/>
        </w:rPr>
        <w:t>Na rozdiel od akademických mobilít realizovaných cez Erasmus+, v rámci Erasmus+ ICM projektu zabezpečuje inštitúcia v krajine programu (STU) celú administráciu mobilít a finančného grantu pre STU účastníkov mobilít i účastníkov z partnerskej inštitúcie.</w:t>
      </w:r>
      <w:r w:rsidRPr="00EF2265">
        <w:rPr>
          <w:rFonts w:ascii="Times New Roman" w:hAnsi="Times New Roman"/>
          <w:sz w:val="20"/>
          <w:szCs w:val="20"/>
        </w:rPr>
        <w:br w:type="page"/>
      </w:r>
    </w:p>
    <w:p w:rsidR="00AD09B4" w:rsidRPr="00EF2265" w:rsidRDefault="00AD09B4" w:rsidP="00E86605">
      <w:pPr>
        <w:pStyle w:val="Nadpis1"/>
        <w:numPr>
          <w:ilvl w:val="1"/>
          <w:numId w:val="8"/>
        </w:numPr>
        <w:tabs>
          <w:tab w:val="left" w:pos="9356"/>
        </w:tabs>
        <w:spacing w:after="120"/>
        <w:rPr>
          <w:rFonts w:ascii="Times New Roman" w:hAnsi="Times New Roman" w:cs="Times New Roman"/>
          <w:color w:val="auto"/>
          <w:sz w:val="20"/>
          <w:szCs w:val="20"/>
        </w:rPr>
      </w:pPr>
      <w:bookmarkStart w:id="68" w:name="_Informácie_o_záujme"/>
      <w:bookmarkStart w:id="69" w:name="_Toc534722882"/>
      <w:bookmarkEnd w:id="68"/>
      <w:r w:rsidRPr="00EF2265">
        <w:rPr>
          <w:rFonts w:ascii="Times New Roman" w:hAnsi="Times New Roman" w:cs="Times New Roman"/>
          <w:color w:val="auto"/>
          <w:sz w:val="20"/>
          <w:szCs w:val="20"/>
        </w:rPr>
        <w:lastRenderedPageBreak/>
        <w:t>Informácie o záujme o štúdium a výsledkoch prijímacieho konania na akademický rok 2018/2019</w:t>
      </w:r>
      <w:bookmarkEnd w:id="69"/>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Prijímacie konanie na všetky stupne vysokoškolského vzdelávania je na STU zamerané na získanie najmä tých uchádzačov, ktorí majú počas štúdia najlepšie predpoklady zvládnuť náročné štúdium v technických študijných odboroch.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Proces prijímacieho konania sa riadi § 55 - 58 zákona. V rámci jeho prípravy akademické senáty fakúlt a univerzity schválili ďalšie podmienky prijatia na štúdium študijných programov predkladané dekanmi, resp. rektorom univerzity. Ďalšie podmienky spolu s harmonogramom prijímacieho konania boli v zákonom stanovenom termíne a stanoveným spôsobom zverejnené.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Všetky súčasti univerzity s výnimkou FIIT vypísali aj druhé kolo prijímacieho konania na prvý stupeň štúdia, ktorého sa mohli zúčastniť aj uchádzači, ktorí neuspeli v prvom kole prijímacieho konania.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STU v prijímacom konaní na akademický rok 2018/2019 využila na </w:t>
      </w:r>
      <w:r w:rsidRPr="00EF2265">
        <w:rPr>
          <w:rFonts w:ascii="Times New Roman" w:hAnsi="Times New Roman"/>
          <w:b/>
          <w:sz w:val="20"/>
          <w:szCs w:val="20"/>
        </w:rPr>
        <w:t xml:space="preserve">propagáciu štúdia zameranú predovšetkým na získanie uchádzačov o štúdium bakalárskych študijných programov </w:t>
      </w:r>
      <w:r w:rsidRPr="00EF2265">
        <w:rPr>
          <w:rFonts w:ascii="Times New Roman" w:hAnsi="Times New Roman"/>
          <w:sz w:val="20"/>
          <w:szCs w:val="20"/>
        </w:rPr>
        <w:t xml:space="preserve">rôzne možnosti a formy - vo všeobecnosti hlavne prostredníctvom informácií na webovej stránke univerzity a fakúlt, na webovej stránke </w:t>
      </w:r>
      <w:hyperlink r:id="rId30" w:history="1">
        <w:r w:rsidRPr="00EF2265">
          <w:rPr>
            <w:rStyle w:val="Hypertextovprepojenie"/>
            <w:rFonts w:ascii="Times New Roman" w:hAnsi="Times New Roman"/>
            <w:sz w:val="20"/>
            <w:szCs w:val="20"/>
          </w:rPr>
          <w:t>www.portalvs.sk</w:t>
        </w:r>
      </w:hyperlink>
      <w:r w:rsidRPr="00EF2265">
        <w:rPr>
          <w:rFonts w:ascii="Times New Roman" w:hAnsi="Times New Roman"/>
          <w:sz w:val="20"/>
          <w:szCs w:val="20"/>
        </w:rPr>
        <w:t>, účasťou na podujatiach zameraných na propagáciu štúdia (najmä veľtrhy vzdelávania AKADEMIA-VAPAC v Bratislave, GAUDEAMUS v Nitre a v Brne, PRO EDUCO v Košiciach a pod.), účasťou na podujatiach propagujúcich vedu (najmä Noc výskumníkov, Týždeň vedy a techniky, Noc architektúry), organizovaním podujatí pre študentov stredných škôl (napr. Letná univerzita pre stredoškolákov, olympiády, súťaže, workshopy, výstavy, dni, resp. týždeň otvorených dverí), pravidelným zverejňovaním informácií o STU v médiách, zverejňovaním reklamných banerov na webových stránkach populárnych medzi stredoškolskými študentmi, vo vyhľadávači Google a na sociálnych sieťach, ale aj umiesťovaním propagačných letákov v</w:t>
      </w:r>
      <w:r w:rsidRPr="00EF2265">
        <w:rPr>
          <w:rFonts w:ascii="Times New Roman" w:hAnsi="Times New Roman"/>
          <w:color w:val="333333"/>
          <w:sz w:val="20"/>
          <w:szCs w:val="20"/>
        </w:rPr>
        <w:t xml:space="preserve"> najčastejšie používaných dopravných prostriedkoch (najmä MHD, </w:t>
      </w:r>
      <w:r w:rsidRPr="00EF2265">
        <w:rPr>
          <w:rStyle w:val="Siln"/>
          <w:rFonts w:ascii="Times New Roman" w:hAnsi="Times New Roman"/>
          <w:b w:val="0"/>
          <w:color w:val="333333"/>
          <w:sz w:val="20"/>
          <w:szCs w:val="20"/>
        </w:rPr>
        <w:t>autobusy a vlaky)</w:t>
      </w:r>
      <w:r w:rsidRPr="00EF2265">
        <w:rPr>
          <w:rFonts w:ascii="Times New Roman" w:hAnsi="Times New Roman"/>
          <w:sz w:val="20"/>
          <w:szCs w:val="20"/>
        </w:rPr>
        <w:t xml:space="preserve">.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Primárnou cieľovou skupinou propagačnej kampane boli študenti stredných škôl vo veku 17 až 21 rokov, sekundárnou cieľovou skupinou boli rodičia týchto študentov.</w:t>
      </w:r>
      <w:r w:rsidRPr="00EF2265">
        <w:rPr>
          <w:rFonts w:ascii="Times New Roman" w:hAnsi="Times New Roman"/>
          <w:color w:val="333333"/>
          <w:sz w:val="20"/>
          <w:szCs w:val="20"/>
        </w:rPr>
        <w:t xml:space="preserve">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V kampani sa využili aj propagačné videá vytvorené v spolupráci so študentskou televíziou mc2 a portálom refresher.sk</w:t>
      </w:r>
    </w:p>
    <w:p w:rsidR="00AD09B4" w:rsidRPr="00EF2265" w:rsidRDefault="00AD09B4" w:rsidP="00E86605">
      <w:pPr>
        <w:tabs>
          <w:tab w:val="left" w:pos="9356"/>
        </w:tabs>
        <w:spacing w:after="120"/>
        <w:jc w:val="left"/>
        <w:rPr>
          <w:rFonts w:ascii="Times New Roman" w:hAnsi="Times New Roman"/>
          <w:sz w:val="20"/>
          <w:szCs w:val="20"/>
          <w:highlight w:val="yellow"/>
        </w:rPr>
      </w:pPr>
      <w:r w:rsidRPr="00EF2265">
        <w:rPr>
          <w:rFonts w:ascii="Times New Roman" w:hAnsi="Times New Roman"/>
          <w:sz w:val="20"/>
          <w:szCs w:val="20"/>
        </w:rPr>
        <w:t>V rámci propagácie štúdia STU spolupracovala aj s profesionálnou reklamnou agentúrou najmä v oblasti online marketingu. V nemalej miere sa na propagácii štúdia na STU podieľali aj študentské organizácie pôsobiace na STU.</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b/>
          <w:sz w:val="20"/>
          <w:szCs w:val="20"/>
        </w:rPr>
        <w:t>Online marketingu bola venovaná významná pozornosť</w:t>
      </w:r>
      <w:r w:rsidRPr="00EF2265">
        <w:rPr>
          <w:rFonts w:ascii="Times New Roman" w:hAnsi="Times New Roman"/>
          <w:sz w:val="20"/>
          <w:szCs w:val="20"/>
        </w:rPr>
        <w:t>, pretože predstavuje v súčasnosti nevyhnutnú a nanajvýš efektívnu formu komunikácie, pričom u niektorých vekových skupín, ktorými bezpochyby sú práve študenti stredných škôl, ide takmer o výhradný spôsob komunikácie. V priebehu roka 2018 boli touto formou zrealizované nasledovné aktivity: sponzorované kampane na Facebooku STU a Instagrame; propagujúce články na internetových portáloch čítaných mladými ľuďmi (refresher, startitup, </w:t>
      </w:r>
      <w:hyperlink r:id="rId31" w:tgtFrame="_blank" w:history="1">
        <w:r w:rsidRPr="00EF2265">
          <w:rPr>
            <w:rFonts w:ascii="Times New Roman" w:hAnsi="Times New Roman"/>
            <w:sz w:val="20"/>
            <w:szCs w:val="20"/>
          </w:rPr>
          <w:t>fici.sk</w:t>
        </w:r>
      </w:hyperlink>
      <w:r w:rsidRPr="00EF2265">
        <w:rPr>
          <w:rFonts w:ascii="Times New Roman" w:hAnsi="Times New Roman"/>
          <w:sz w:val="20"/>
          <w:szCs w:val="20"/>
        </w:rPr>
        <w:t xml:space="preserve">); spustenie a nastavenie aktívnej komunikácie s uchádzačmi o štúdium hromadnými elektronickými správami a distribúcia newsletterov; príprava a zverejňovanie videí na YouTube ako aj medializácia úspechov STU, vedcov a študentov.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Jedným zo spomenutých spôsobov propagácie bola aktívna komunikácia s uchádzačmi formou hromadných mailov, zasielaním elektronických newsletterov, a to v období medzi podaním prihlášky na štúdium až do momentu vydania rozhodnutia o neprijatí, v prípade prijatých uchádzačov až do momentu zápisu na štúdium (takmer 10 000 mailov v priebehu mesiacov apríl až august). Cieľom bolo motivovať uchádzačov k ich konečnému rozhodnutiu zapísať sa na štúdium na STU. Obsah komunikácie bol diferencovaný podľa súčasti STU, na ktorú si podali prihlášku a cieľovej skupiny (prihlásení uchádzači a prijatí uchádzači).</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Rovnako dôležitou formou propagácie štúdia na STU boli návštevy stredných škôl na Slovensku, na ktorých učitelia a tiež študenti fakúlt informovali stredoškolákov o STU, možnostiach štúdia, možnostiach uplatnenia sa, o poskytovanej sociálnej podpore študentom STU a v neposlednom rade aj o študentskom živote s cieľom vzbudiť záujem o štúdium na STU.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Na jednotlivých fakultách aj v rámci univerzity boli pripravené viaceré propagačné materiály, osobitne aj pre študijných poradcov, fakulty privítali stredoškolákov v rámci dni otvorených dverí a s tým spojených aktivít.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Aj v roku 2018 sa STU prezentovala na Letnej univerzite pre stredoškolákov, v rámci ktorej boli vybraným stredoškolákom - ambasádorom STU predstavené jednotlivé fakulty, navštívili laboratóriá, učebne a ďalšie priestory fakúlt s predvedenými ukážkami experimentov kombinovaných s prednáškami.</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Zaujímavou akciou pre stredoškolákov bol aj projekt Mini-Erasmus, do ktorého sa STU pravidelne zapája. Projekt bol zabezpečovaný v spolupráci s Future Generation Europe. Cieľom projektu bolo ukázať žiakom stredných škôl z celého Slovenska reálne vyučovanie na vybraných fakultách univerzity, ako aj motivovať ich k dosahovaniu lepších výsledkov v štúdiu už na strednej škole, ktoré im môžu umožniť ľahšie zvládnutie vysokoškolského štúdia v technických študijných odboroch.</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b/>
          <w:sz w:val="20"/>
          <w:szCs w:val="20"/>
        </w:rPr>
        <w:lastRenderedPageBreak/>
        <w:t>Na propagáciu inžinierskych, magisterských a doktorandských študijných programov</w:t>
      </w:r>
      <w:r w:rsidRPr="00EF2265">
        <w:rPr>
          <w:rFonts w:ascii="Times New Roman" w:hAnsi="Times New Roman"/>
          <w:sz w:val="20"/>
          <w:szCs w:val="20"/>
        </w:rPr>
        <w:t xml:space="preserve"> sa pre vlastných absolventov prvého stupňa, resp. druhého stupňa štúdia využívali aj konzultácie a usmerňovanie na študijných oddeleniach. Najefektívnejšou formou propagácie pre vlastných študentov je najmä poskytovanie kvalitného vysokoškolského vzdelávania a sociálna starostlivosť o študentov počas ich štúdia, ktorá ich motivuje pokračovať na vyššom stupni štúdia práve na STU. Pre študentov iných vysokých škôl sa v tomto zmysle využívala najmä e-mailová komunikácia a ďalšie už spomenuté formy propagácie.</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V prijímacom konaní na jednotlivé stupne vysokoškolského vzdelávania sú určité odlišnosti, ktoré sú dané poslaním a cieľom daného stupňa vzdelávania. Tieto odlišnosti sú ďalej v stručnosti uvedené aj s príslušnými štatistickými údajmi.</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K propagácii štúdia doma a predovšetkým v zahraničí pozitívne prispieva aj fakt, že STU je nositeľom prestížnych ocenení </w:t>
      </w:r>
      <w:r w:rsidRPr="00EF2265">
        <w:rPr>
          <w:rFonts w:ascii="Times New Roman" w:hAnsi="Times New Roman"/>
          <w:b/>
          <w:sz w:val="20"/>
          <w:szCs w:val="20"/>
        </w:rPr>
        <w:t>ECTS Label</w:t>
      </w:r>
      <w:r w:rsidRPr="00EF2265">
        <w:rPr>
          <w:rFonts w:ascii="Times New Roman" w:hAnsi="Times New Roman"/>
          <w:sz w:val="20"/>
          <w:szCs w:val="20"/>
        </w:rPr>
        <w:t xml:space="preserve"> a </w:t>
      </w:r>
      <w:r w:rsidRPr="00EF2265">
        <w:rPr>
          <w:rFonts w:ascii="Times New Roman" w:hAnsi="Times New Roman"/>
          <w:b/>
          <w:sz w:val="20"/>
          <w:szCs w:val="20"/>
        </w:rPr>
        <w:t>DS Label</w:t>
      </w:r>
      <w:r w:rsidRPr="00EF2265">
        <w:rPr>
          <w:rFonts w:ascii="Times New Roman" w:hAnsi="Times New Roman"/>
          <w:sz w:val="20"/>
          <w:szCs w:val="20"/>
        </w:rPr>
        <w:t>.</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Do budúcnosti bude potrebné prijať ďalšie opatrenia na zvýšenie atraktívnosti štúdia na STU a získanie vyššieho počtu uchádzačov zo Slovenska, ako aj zo zahraničia. Jedným z opatrení je </w:t>
      </w:r>
      <w:r w:rsidRPr="00EF2265">
        <w:rPr>
          <w:rFonts w:ascii="Times New Roman" w:hAnsi="Times New Roman"/>
          <w:b/>
          <w:sz w:val="20"/>
          <w:szCs w:val="20"/>
        </w:rPr>
        <w:t>nepretržitá intenzívna reklamná kampaň zameraná na konkrétne cieľové skupiny mladých ľudí prostredníctvom sociálnych sietí</w:t>
      </w:r>
      <w:r w:rsidRPr="00EF2265">
        <w:rPr>
          <w:rFonts w:ascii="Times New Roman" w:hAnsi="Times New Roman"/>
          <w:sz w:val="20"/>
          <w:szCs w:val="20"/>
        </w:rPr>
        <w:t xml:space="preserve"> (Facebook, Instagram, You Tube, Google a pod.).</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STU v roku 2017 upravila vnútorné predpisy súvisiace s prijímaním na štúdium na všetky tri stupne vysokoškolského vzdelávania, čím bolo od prijímacieho konania na akademický rok 2018/2019 uchádzačom o štúdium umožnené doručenie prihlášky v elektronickej forme bez zaručeného elektronického podpisu použitím AIS (bez následného doručenia papierovej formy prihlášky ako tomu bolo doposiaľ), pričom AIS umožňuje uchádzačom overenie jej zaevidovania v AIS odo dňa jej podania do dňa skončenia prijímacieho konania. AIS bol upravený o nové funkcionality umožňujúce doručovanie elektronickej prihlášky a zároveň vkladanie potrených príloh k prihláške vo formáte pdf. Jednou z nových funkcionalít v AIS je aj možnosť online platby poplatku za materiálne zabezpečenie prijímacieho konania platobnou kartou. Elektronickú formu doručenia prihlášky použitím AIS využilo 98 % uchádzačov o štúdium na STU na všetky tri stupne štúdia.</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Zároveň bola klientom Tatra banky, a. s. a VÚB, a. s. vytvorená možnosť platby poplatku za materiálne zabezpečenie prijímacieho konania prostredníctvom aplikácie VIAMO.</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Uchádzači o štúdium mali aj naďalej možnosť doručiť písomnú prihlášku vyplnenú mimo AIS na tlačive predpísanom MŠVVaŠ SR, pričom túto možnosť využili len 2 % uchádzačov zo zahraničia.</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Ďalším opatrením na zvýšenie záujmu o štúdium na STU je </w:t>
      </w:r>
      <w:r w:rsidRPr="00EF2265">
        <w:rPr>
          <w:rFonts w:ascii="Times New Roman" w:hAnsi="Times New Roman"/>
          <w:b/>
          <w:sz w:val="20"/>
          <w:szCs w:val="20"/>
        </w:rPr>
        <w:t>podpora študentov študujúcich na STU formou štipendií</w:t>
      </w:r>
      <w:r w:rsidRPr="00EF2265">
        <w:rPr>
          <w:rFonts w:ascii="Times New Roman" w:hAnsi="Times New Roman"/>
          <w:sz w:val="20"/>
          <w:szCs w:val="20"/>
        </w:rPr>
        <w:t xml:space="preserve">, na uvedený účel je možné použiť finančné prostriedky zo štátneho rozpočtu určené na motivačné štipendiá (najmä vo vybraných študijných odboroch – odborové štipendiá) a tiež prostriedky zo štipendijného fondu z vlastných zdrojov STU.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Nedostatočnú pripravenosť študentov z prírodovedných predmetov, najmä z matematiky, fyziky alebo chémie, je možné riešiť </w:t>
      </w:r>
      <w:r w:rsidRPr="00EF2265">
        <w:rPr>
          <w:rFonts w:ascii="Times New Roman" w:hAnsi="Times New Roman"/>
          <w:b/>
          <w:sz w:val="20"/>
          <w:szCs w:val="20"/>
        </w:rPr>
        <w:t>akreditáciou konverzných študijných programov prvého stupňa k existujúcim 3-ročným bakalárskym študijným programom,</w:t>
      </w:r>
      <w:r w:rsidRPr="00EF2265">
        <w:rPr>
          <w:rFonts w:ascii="Times New Roman" w:hAnsi="Times New Roman"/>
          <w:sz w:val="20"/>
          <w:szCs w:val="20"/>
        </w:rPr>
        <w:t xml:space="preserve"> pričom prvé ročníky by boli koncipované tak, aby sa vyrovnali rozdiely a doplnili vedomosti študentov z rôznych stredných škôl z vyššie uvedených prírodovedných predmetov nevyhnutných na zvládnutie štúdia na STU.</w:t>
      </w:r>
    </w:p>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hAnsi="Times New Roman"/>
          <w:sz w:val="20"/>
          <w:szCs w:val="20"/>
        </w:rPr>
        <w:t>Konverzné študijné programy už niekoľko rokov úspešne uskutočňuje FIIT. V roku 2018 boli priznané práva pre 12 nových konverzných bakalárskych študijných programov na FCHPT, z toho 6 v štátnom jazyku a 6 v anglickom jazyku uskutočňovania.</w:t>
      </w:r>
      <w:r w:rsidRPr="00EF2265">
        <w:rPr>
          <w:rFonts w:ascii="Times New Roman" w:hAnsi="Times New Roman"/>
          <w:b/>
          <w:sz w:val="20"/>
          <w:szCs w:val="20"/>
        </w:rPr>
        <w:br w:type="page"/>
      </w:r>
    </w:p>
    <w:p w:rsidR="00AD09B4" w:rsidRPr="00EF2265" w:rsidRDefault="00AD09B4" w:rsidP="00E86605">
      <w:pPr>
        <w:pStyle w:val="Nadpis2"/>
        <w:numPr>
          <w:ilvl w:val="2"/>
          <w:numId w:val="9"/>
        </w:numPr>
        <w:tabs>
          <w:tab w:val="left" w:pos="9356"/>
        </w:tabs>
        <w:rPr>
          <w:rFonts w:ascii="Times New Roman" w:hAnsi="Times New Roman" w:cs="Times New Roman"/>
          <w:color w:val="auto"/>
          <w:sz w:val="20"/>
          <w:szCs w:val="20"/>
        </w:rPr>
      </w:pPr>
      <w:bookmarkStart w:id="70" w:name="_Toc534722883"/>
      <w:r w:rsidRPr="00EF2265">
        <w:rPr>
          <w:rFonts w:ascii="Times New Roman" w:hAnsi="Times New Roman" w:cs="Times New Roman"/>
          <w:color w:val="auto"/>
          <w:sz w:val="20"/>
          <w:szCs w:val="20"/>
        </w:rPr>
        <w:lastRenderedPageBreak/>
        <w:t>Prijímacie konanie na prvý stupeň štúdia</w:t>
      </w:r>
      <w:bookmarkEnd w:id="70"/>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Na prvý stupeň štúdia bolo pre akademický rok 2018/2019 plánované prijať celkovo </w:t>
      </w:r>
      <w:r w:rsidRPr="00EF2265">
        <w:rPr>
          <w:rFonts w:ascii="Times New Roman" w:hAnsi="Times New Roman"/>
          <w:b/>
          <w:sz w:val="20"/>
          <w:szCs w:val="20"/>
        </w:rPr>
        <w:t>4 715</w:t>
      </w:r>
      <w:r w:rsidRPr="00EF2265">
        <w:rPr>
          <w:rFonts w:ascii="Times New Roman" w:hAnsi="Times New Roman"/>
          <w:sz w:val="20"/>
          <w:szCs w:val="20"/>
        </w:rPr>
        <w:t xml:space="preserve"> uchádzačov; prihlásených bolo </w:t>
      </w:r>
      <w:r w:rsidRPr="00EF2265">
        <w:rPr>
          <w:rFonts w:ascii="Times New Roman" w:hAnsi="Times New Roman"/>
          <w:b/>
          <w:sz w:val="20"/>
          <w:szCs w:val="20"/>
        </w:rPr>
        <w:t>6 100</w:t>
      </w:r>
      <w:r w:rsidRPr="00EF2265">
        <w:rPr>
          <w:rFonts w:ascii="Times New Roman" w:hAnsi="Times New Roman"/>
          <w:sz w:val="20"/>
          <w:szCs w:val="20"/>
        </w:rPr>
        <w:t xml:space="preserve"> uchádzačov; z toho bolo prijatých </w:t>
      </w:r>
      <w:r w:rsidRPr="00EF2265">
        <w:rPr>
          <w:rFonts w:ascii="Times New Roman" w:hAnsi="Times New Roman"/>
          <w:b/>
          <w:sz w:val="20"/>
          <w:szCs w:val="20"/>
        </w:rPr>
        <w:t xml:space="preserve">4 956 </w:t>
      </w:r>
      <w:r w:rsidRPr="00EF2265">
        <w:rPr>
          <w:rFonts w:ascii="Times New Roman" w:hAnsi="Times New Roman"/>
          <w:sz w:val="20"/>
          <w:szCs w:val="20"/>
        </w:rPr>
        <w:t xml:space="preserve">uchádzačov. </w:t>
      </w:r>
      <w:r w:rsidRPr="00EF2265">
        <w:rPr>
          <w:rFonts w:ascii="Times New Roman" w:hAnsi="Times New Roman"/>
          <w:b/>
          <w:sz w:val="20"/>
          <w:szCs w:val="20"/>
        </w:rPr>
        <w:t xml:space="preserve">Celkovo sa na STU v akademickom roku 2018/2019 zapísalo na prvom stupni štúdia 3 345 študentov z novoprijatých uchádzačov, </w:t>
      </w:r>
      <w:r w:rsidRPr="00EF2265">
        <w:rPr>
          <w:rFonts w:ascii="Times New Roman" w:hAnsi="Times New Roman"/>
          <w:sz w:val="20"/>
          <w:szCs w:val="20"/>
        </w:rPr>
        <w:t xml:space="preserve">čo predstavuje </w:t>
      </w:r>
      <w:r w:rsidRPr="00EF2265">
        <w:rPr>
          <w:rFonts w:ascii="Times New Roman" w:hAnsi="Times New Roman"/>
          <w:b/>
          <w:sz w:val="20"/>
          <w:szCs w:val="20"/>
        </w:rPr>
        <w:t>nárast</w:t>
      </w:r>
      <w:r w:rsidRPr="00EF2265">
        <w:rPr>
          <w:rFonts w:ascii="Times New Roman" w:hAnsi="Times New Roman"/>
          <w:sz w:val="20"/>
          <w:szCs w:val="20"/>
        </w:rPr>
        <w:t xml:space="preserve"> oproti predchádzajúcemu akademickému roku </w:t>
      </w:r>
      <w:r w:rsidRPr="00EF2265">
        <w:rPr>
          <w:rFonts w:ascii="Times New Roman" w:hAnsi="Times New Roman"/>
          <w:b/>
          <w:sz w:val="20"/>
          <w:szCs w:val="20"/>
        </w:rPr>
        <w:t xml:space="preserve">o 4 %. </w:t>
      </w:r>
      <w:r w:rsidRPr="00EF2265">
        <w:rPr>
          <w:rFonts w:ascii="Times New Roman" w:hAnsi="Times New Roman"/>
          <w:sz w:val="20"/>
          <w:szCs w:val="20"/>
        </w:rPr>
        <w:t xml:space="preserve">Z celkového počtu zapísaných študentov bolo </w:t>
      </w:r>
      <w:r w:rsidRPr="00EF2265">
        <w:rPr>
          <w:rFonts w:ascii="Times New Roman" w:hAnsi="Times New Roman"/>
          <w:b/>
          <w:sz w:val="20"/>
          <w:szCs w:val="20"/>
        </w:rPr>
        <w:t>144</w:t>
      </w:r>
      <w:r w:rsidRPr="00EF2265">
        <w:rPr>
          <w:rFonts w:ascii="Times New Roman" w:hAnsi="Times New Roman"/>
          <w:sz w:val="20"/>
          <w:szCs w:val="20"/>
        </w:rPr>
        <w:t xml:space="preserve"> zahraničných študentov.</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_Ref474777632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bCs/>
          <w:iCs/>
          <w:sz w:val="20"/>
          <w:szCs w:val="20"/>
        </w:rPr>
        <w:t xml:space="preserve">Tab. č. </w:t>
      </w:r>
      <w:r w:rsidR="001C349F">
        <w:rPr>
          <w:rFonts w:ascii="Times New Roman" w:hAnsi="Times New Roman"/>
          <w:sz w:val="20"/>
          <w:szCs w:val="20"/>
        </w:rPr>
        <w:t>21</w:t>
      </w:r>
      <w:r w:rsidRPr="00EF2265">
        <w:rPr>
          <w:rFonts w:ascii="Times New Roman" w:hAnsi="Times New Roman"/>
          <w:sz w:val="20"/>
          <w:szCs w:val="20"/>
        </w:rPr>
        <w:fldChar w:fldCharType="end"/>
      </w:r>
      <w:r w:rsidRPr="00EF2265">
        <w:rPr>
          <w:rFonts w:ascii="Times New Roman" w:hAnsi="Times New Roman"/>
          <w:sz w:val="20"/>
          <w:szCs w:val="20"/>
        </w:rPr>
        <w:t xml:space="preserve"> prezentuje celkový prehľad o prijímacom konaní na prvom stupni štúdia. Z tabuľky je zrejmé, že záujem uchádzačov o štúdium ako aj počty prijatých uchádzačov síce presahujú plánované kapacity, ale tento fakt sa nepremieta do počtov skutočne zapísaných študentov, pričom percento zapísaných študentov z prijatých uchádzačov dlhodobo osciluje na úrovni okolo 65 %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_Ref474779897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Graf č. </w:t>
      </w:r>
      <w:r w:rsidR="001C349F">
        <w:rPr>
          <w:rFonts w:ascii="Times New Roman" w:hAnsi="Times New Roman"/>
          <w:sz w:val="20"/>
          <w:szCs w:val="20"/>
        </w:rPr>
        <w:t>9</w:t>
      </w:r>
      <w:r w:rsidRPr="00EF2265">
        <w:rPr>
          <w:rFonts w:ascii="Times New Roman" w:hAnsi="Times New Roman"/>
          <w:sz w:val="20"/>
          <w:szCs w:val="20"/>
        </w:rPr>
        <w:fldChar w:fldCharType="end"/>
      </w:r>
      <w:r w:rsidRPr="00EF2265">
        <w:rPr>
          <w:rFonts w:ascii="Times New Roman" w:hAnsi="Times New Roman"/>
          <w:sz w:val="20"/>
          <w:szCs w:val="20"/>
        </w:rPr>
        <w:t xml:space="preserve">). </w:t>
      </w:r>
    </w:p>
    <w:p w:rsidR="00AD09B4" w:rsidRPr="00EF2265" w:rsidRDefault="00AD09B4" w:rsidP="00E86605">
      <w:pPr>
        <w:tabs>
          <w:tab w:val="left" w:pos="9356"/>
        </w:tabs>
        <w:spacing w:after="120"/>
        <w:jc w:val="left"/>
        <w:rPr>
          <w:rFonts w:ascii="Times New Roman" w:hAnsi="Times New Roman"/>
          <w:iCs/>
          <w:sz w:val="20"/>
          <w:szCs w:val="20"/>
        </w:rPr>
      </w:pPr>
      <w:bookmarkStart w:id="71" w:name="_Ref474777632"/>
      <w:bookmarkStart w:id="72" w:name="_Toc534793960"/>
      <w:r w:rsidRPr="00EF2265">
        <w:rPr>
          <w:rFonts w:ascii="Times New Roman" w:hAnsi="Times New Roman"/>
          <w:bCs/>
          <w:iCs/>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21</w:t>
      </w:r>
      <w:r w:rsidRPr="00EF2265">
        <w:rPr>
          <w:rFonts w:ascii="Times New Roman" w:hAnsi="Times New Roman"/>
          <w:sz w:val="20"/>
          <w:szCs w:val="20"/>
        </w:rPr>
        <w:fldChar w:fldCharType="end"/>
      </w:r>
      <w:bookmarkEnd w:id="71"/>
      <w:r w:rsidRPr="00EF2265">
        <w:rPr>
          <w:rFonts w:ascii="Times New Roman" w:hAnsi="Times New Roman"/>
          <w:bCs/>
          <w:iCs/>
          <w:sz w:val="20"/>
          <w:szCs w:val="20"/>
        </w:rPr>
        <w:t xml:space="preserve">: </w:t>
      </w:r>
      <w:r w:rsidRPr="00EF2265">
        <w:rPr>
          <w:rFonts w:ascii="Times New Roman" w:hAnsi="Times New Roman"/>
          <w:iCs/>
          <w:sz w:val="20"/>
          <w:szCs w:val="20"/>
        </w:rPr>
        <w:t xml:space="preserve">Prehľad prijímacieho konania na </w:t>
      </w:r>
      <w:r w:rsidRPr="00EF2265">
        <w:rPr>
          <w:rFonts w:ascii="Times New Roman" w:hAnsi="Times New Roman"/>
          <w:b/>
          <w:iCs/>
          <w:sz w:val="20"/>
          <w:szCs w:val="20"/>
        </w:rPr>
        <w:t>prvý stupeň štúdia</w:t>
      </w:r>
      <w:r w:rsidRPr="00EF2265">
        <w:rPr>
          <w:rFonts w:ascii="Times New Roman" w:hAnsi="Times New Roman"/>
          <w:iCs/>
          <w:sz w:val="20"/>
          <w:szCs w:val="20"/>
        </w:rPr>
        <w:t xml:space="preserve"> na akademický rok 2018/2019</w:t>
      </w:r>
      <w:bookmarkEnd w:id="72"/>
    </w:p>
    <w:tbl>
      <w:tblPr>
        <w:tblW w:w="9493" w:type="dxa"/>
        <w:tblLayout w:type="fixed"/>
        <w:tblCellMar>
          <w:left w:w="70" w:type="dxa"/>
          <w:right w:w="70" w:type="dxa"/>
        </w:tblCellMar>
        <w:tblLook w:val="04A0" w:firstRow="1" w:lastRow="0" w:firstColumn="1" w:lastColumn="0" w:noHBand="0" w:noVBand="1"/>
      </w:tblPr>
      <w:tblGrid>
        <w:gridCol w:w="960"/>
        <w:gridCol w:w="1006"/>
        <w:gridCol w:w="1006"/>
        <w:gridCol w:w="794"/>
        <w:gridCol w:w="1014"/>
        <w:gridCol w:w="794"/>
        <w:gridCol w:w="967"/>
        <w:gridCol w:w="967"/>
        <w:gridCol w:w="992"/>
        <w:gridCol w:w="993"/>
      </w:tblGrid>
      <w:tr w:rsidR="00AD09B4" w:rsidRPr="00EF2265" w:rsidTr="00351A8A">
        <w:trPr>
          <w:trHeight w:val="2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Fakulta</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ind w:left="-41" w:right="-125" w:hanging="142"/>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Plánované počty (Pp)</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Prihlásení (Ph)</w:t>
            </w:r>
          </w:p>
        </w:tc>
        <w:tc>
          <w:tcPr>
            <w:tcW w:w="794"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Ph/Pp</w:t>
            </w:r>
          </w:p>
        </w:tc>
        <w:tc>
          <w:tcPr>
            <w:tcW w:w="10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Prijatí (Pr)</w:t>
            </w:r>
          </w:p>
        </w:tc>
        <w:tc>
          <w:tcPr>
            <w:tcW w:w="794"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Pr/Pp</w:t>
            </w:r>
          </w:p>
        </w:tc>
        <w:tc>
          <w:tcPr>
            <w:tcW w:w="1934" w:type="dxa"/>
            <w:gridSpan w:val="2"/>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Zapísaní (Z)</w:t>
            </w:r>
          </w:p>
        </w:tc>
        <w:tc>
          <w:tcPr>
            <w:tcW w:w="992" w:type="dxa"/>
            <w:vMerge w:val="restart"/>
            <w:tcBorders>
              <w:top w:val="single" w:sz="4" w:space="0" w:color="auto"/>
              <w:left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Z/Pr</w:t>
            </w:r>
          </w:p>
        </w:tc>
        <w:tc>
          <w:tcPr>
            <w:tcW w:w="993" w:type="dxa"/>
            <w:vMerge w:val="restart"/>
            <w:tcBorders>
              <w:top w:val="single" w:sz="4" w:space="0" w:color="auto"/>
              <w:left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Z/Pp</w:t>
            </w:r>
          </w:p>
        </w:tc>
      </w:tr>
      <w:tr w:rsidR="00AD09B4" w:rsidRPr="00EF2265" w:rsidTr="00351A8A">
        <w:trPr>
          <w:trHeight w:val="34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006"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006"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794"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014"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794"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67"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967"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 toho zahraniční</w:t>
            </w:r>
          </w:p>
        </w:tc>
        <w:tc>
          <w:tcPr>
            <w:tcW w:w="992" w:type="dxa"/>
            <w:vMerge/>
            <w:tcBorders>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93" w:type="dxa"/>
            <w:vMerge/>
            <w:tcBorders>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860</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1 054</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1,23</w:t>
            </w:r>
          </w:p>
        </w:tc>
        <w:tc>
          <w:tcPr>
            <w:tcW w:w="10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946</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1,10</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712</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32</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0,75</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0,83</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1006"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515</w:t>
            </w:r>
          </w:p>
        </w:tc>
        <w:tc>
          <w:tcPr>
            <w:tcW w:w="1006"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504</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0,98</w:t>
            </w:r>
          </w:p>
        </w:tc>
        <w:tc>
          <w:tcPr>
            <w:tcW w:w="1014"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418</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0,81</w:t>
            </w:r>
          </w:p>
        </w:tc>
        <w:tc>
          <w:tcPr>
            <w:tcW w:w="967"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296</w:t>
            </w:r>
          </w:p>
        </w:tc>
        <w:tc>
          <w:tcPr>
            <w:tcW w:w="967"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0,71</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0,57</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860</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1 404</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1,63</w:t>
            </w:r>
          </w:p>
        </w:tc>
        <w:tc>
          <w:tcPr>
            <w:tcW w:w="10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1 119</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1,30</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776</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53</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0,69</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0,90</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730</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898</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1,23</w:t>
            </w:r>
          </w:p>
        </w:tc>
        <w:tc>
          <w:tcPr>
            <w:tcW w:w="10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864</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1,18</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422</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0,49</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0,58</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280</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391</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1,40</w:t>
            </w:r>
          </w:p>
        </w:tc>
        <w:tc>
          <w:tcPr>
            <w:tcW w:w="10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268</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0,96</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166</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0,62</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0,59</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1006"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660</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858</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1,30</w:t>
            </w:r>
          </w:p>
        </w:tc>
        <w:tc>
          <w:tcPr>
            <w:tcW w:w="10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768</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1,16</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572</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0,74</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0,87</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700</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924</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1,32</w:t>
            </w:r>
          </w:p>
        </w:tc>
        <w:tc>
          <w:tcPr>
            <w:tcW w:w="10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533</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0,76</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370</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0,69</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0,53</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110</w:t>
            </w:r>
          </w:p>
        </w:tc>
        <w:tc>
          <w:tcPr>
            <w:tcW w:w="1006"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67</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0,61</w:t>
            </w:r>
          </w:p>
        </w:tc>
        <w:tc>
          <w:tcPr>
            <w:tcW w:w="101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40</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0,36</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w:t>
            </w:r>
          </w:p>
        </w:tc>
        <w:tc>
          <w:tcPr>
            <w:tcW w:w="96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0,78</w:t>
            </w:r>
          </w:p>
        </w:tc>
        <w:tc>
          <w:tcPr>
            <w:tcW w:w="99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0,28</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1006"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4 715</w:t>
            </w:r>
          </w:p>
        </w:tc>
        <w:tc>
          <w:tcPr>
            <w:tcW w:w="1006"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6 100</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1,29</w:t>
            </w:r>
          </w:p>
        </w:tc>
        <w:tc>
          <w:tcPr>
            <w:tcW w:w="101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4 956</w:t>
            </w:r>
          </w:p>
        </w:tc>
        <w:tc>
          <w:tcPr>
            <w:tcW w:w="79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1,05</w:t>
            </w:r>
          </w:p>
        </w:tc>
        <w:tc>
          <w:tcPr>
            <w:tcW w:w="9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3 345</w:t>
            </w:r>
          </w:p>
        </w:tc>
        <w:tc>
          <w:tcPr>
            <w:tcW w:w="96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144</w:t>
            </w:r>
          </w:p>
        </w:tc>
        <w:tc>
          <w:tcPr>
            <w:tcW w:w="992"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0,67</w:t>
            </w:r>
          </w:p>
        </w:tc>
        <w:tc>
          <w:tcPr>
            <w:tcW w:w="99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0,71</w:t>
            </w:r>
          </w:p>
        </w:tc>
      </w:tr>
    </w:tbl>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Vysvetlivky:Pp - plánované počty; Ph -prihlásení uchádzači; Pr - prijatí uchádzači; Z – zapísaní</w:t>
      </w:r>
    </w:p>
    <w:p w:rsidR="00AD09B4" w:rsidRPr="00EF2265" w:rsidRDefault="00AD09B4" w:rsidP="00E86605">
      <w:pPr>
        <w:tabs>
          <w:tab w:val="left" w:pos="9356"/>
        </w:tabs>
        <w:jc w:val="left"/>
        <w:rPr>
          <w:rFonts w:ascii="Times New Roman" w:eastAsia="Times New Roman" w:hAnsi="Times New Roman"/>
          <w:bCs/>
          <w:sz w:val="20"/>
          <w:szCs w:val="20"/>
          <w:lang w:eastAsia="sk-SK"/>
        </w:rPr>
      </w:pP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akademickom roku 2018/2019 sa </w:t>
      </w:r>
      <w:r w:rsidRPr="00EF2265">
        <w:rPr>
          <w:rFonts w:ascii="Times New Roman" w:hAnsi="Times New Roman"/>
          <w:b/>
          <w:sz w:val="20"/>
          <w:szCs w:val="20"/>
        </w:rPr>
        <w:t xml:space="preserve">percento zapísaných študentov </w:t>
      </w:r>
      <w:r w:rsidRPr="00EF2265">
        <w:rPr>
          <w:rFonts w:ascii="Times New Roman" w:hAnsi="Times New Roman"/>
          <w:sz w:val="20"/>
          <w:szCs w:val="20"/>
        </w:rPr>
        <w:t xml:space="preserve">z prijatých uchádzačov </w:t>
      </w:r>
      <w:r w:rsidRPr="00EF2265">
        <w:rPr>
          <w:rFonts w:ascii="Times New Roman" w:hAnsi="Times New Roman"/>
          <w:b/>
          <w:sz w:val="20"/>
          <w:szCs w:val="20"/>
        </w:rPr>
        <w:t>mierne znížilo na úroveň 67 %.</w:t>
      </w:r>
      <w:r w:rsidRPr="00EF2265">
        <w:rPr>
          <w:rFonts w:ascii="Times New Roman" w:hAnsi="Times New Roman"/>
          <w:sz w:val="20"/>
          <w:szCs w:val="20"/>
        </w:rPr>
        <w:t xml:space="preserve"> Dôvodom dlhodobo klesajúceho počtu zapísaných študentov je nízka kvalita uchádzačov, ako aj fakt, že uchádzači sú často prijatí na viac študijných programov na rôznych vysokých školách (alebo aj v rámci STU), ale sa zapíšu len na jeden z nich. Často si uchádzači vyberajú menej náročné štúdium nie v technických študijných odboroch a zároveň kvalitní uchádzači si volia štúdium v zahraničí, najmä na konkurenčných vysokých školách technického zamerania v Českej republike.</w:t>
      </w:r>
    </w:p>
    <w:p w:rsidR="00AD09B4" w:rsidRPr="00EF2265" w:rsidRDefault="00AD09B4" w:rsidP="00E86605">
      <w:pPr>
        <w:tabs>
          <w:tab w:val="left" w:pos="9356"/>
        </w:tabs>
        <w:jc w:val="left"/>
        <w:rPr>
          <w:rFonts w:ascii="Times New Roman" w:hAnsi="Times New Roman"/>
          <w:sz w:val="20"/>
          <w:szCs w:val="20"/>
        </w:rPr>
      </w:pPr>
      <w:bookmarkStart w:id="73" w:name="_Ref474779897"/>
      <w:bookmarkStart w:id="74" w:name="_Toc534724796"/>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9</w:t>
      </w:r>
      <w:r w:rsidRPr="00EF2265">
        <w:rPr>
          <w:rFonts w:ascii="Times New Roman" w:hAnsi="Times New Roman"/>
          <w:sz w:val="20"/>
          <w:szCs w:val="20"/>
        </w:rPr>
        <w:fldChar w:fldCharType="end"/>
      </w:r>
      <w:bookmarkEnd w:id="73"/>
      <w:r w:rsidRPr="00EF2265">
        <w:rPr>
          <w:rFonts w:ascii="Times New Roman" w:hAnsi="Times New Roman"/>
          <w:sz w:val="20"/>
          <w:szCs w:val="20"/>
        </w:rPr>
        <w:t>: Pomer zapísaných a prijatých uchádzačov prvého stupňa štúdia na STU za posledných päť rokov</w:t>
      </w:r>
      <w:bookmarkEnd w:id="74"/>
    </w:p>
    <w:p w:rsidR="00AD09B4" w:rsidRPr="00EF2265" w:rsidRDefault="00AD09B4" w:rsidP="00E86605">
      <w:pPr>
        <w:tabs>
          <w:tab w:val="left" w:pos="9356"/>
        </w:tabs>
        <w:jc w:val="left"/>
        <w:rPr>
          <w:rFonts w:ascii="Times New Roman" w:eastAsia="Calibri" w:hAnsi="Times New Roman"/>
          <w:sz w:val="20"/>
          <w:szCs w:val="20"/>
        </w:rPr>
      </w:pPr>
      <w:r w:rsidRPr="00EF2265">
        <w:rPr>
          <w:rFonts w:ascii="Times New Roman" w:hAnsi="Times New Roman"/>
          <w:noProof/>
          <w:sz w:val="20"/>
          <w:szCs w:val="20"/>
          <w:lang w:eastAsia="sk-SK"/>
        </w:rPr>
        <w:drawing>
          <wp:inline distT="0" distB="0" distL="0" distR="0" wp14:anchorId="1D18E702" wp14:editId="5F630893">
            <wp:extent cx="5311140" cy="2644140"/>
            <wp:effectExtent l="0" t="0" r="3810" b="381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EF2265">
        <w:rPr>
          <w:rFonts w:ascii="Times New Roman" w:eastAsia="Calibri" w:hAnsi="Times New Roman"/>
          <w:sz w:val="20"/>
          <w:szCs w:val="20"/>
        </w:rPr>
        <w:br w:type="page"/>
      </w:r>
    </w:p>
    <w:p w:rsidR="00AD09B4" w:rsidRPr="00EF2265" w:rsidRDefault="00AD09B4" w:rsidP="00E86605">
      <w:pPr>
        <w:tabs>
          <w:tab w:val="left" w:pos="9356"/>
        </w:tabs>
        <w:jc w:val="left"/>
        <w:rPr>
          <w:rFonts w:ascii="Times New Roman" w:eastAsia="Calibri" w:hAnsi="Times New Roman"/>
          <w:sz w:val="20"/>
          <w:szCs w:val="20"/>
        </w:rPr>
      </w:pPr>
      <w:r w:rsidRPr="00EF2265">
        <w:rPr>
          <w:rFonts w:ascii="Times New Roman" w:eastAsia="Calibri" w:hAnsi="Times New Roman"/>
          <w:sz w:val="20"/>
          <w:szCs w:val="20"/>
        </w:rPr>
        <w:lastRenderedPageBreak/>
        <w:t xml:space="preserve">V porovnaní s akademickým rokom 2017/2018 </w:t>
      </w:r>
      <w:r w:rsidRPr="00EF2265">
        <w:rPr>
          <w:rFonts w:ascii="Times New Roman" w:eastAsia="Calibri" w:hAnsi="Times New Roman"/>
          <w:b/>
          <w:sz w:val="20"/>
          <w:szCs w:val="20"/>
        </w:rPr>
        <w:t>nebol v absolútnych číslach zaznamenaný pokles zapísaných študentov z prijatých uchádzačov, zapísalo sa o 135 študentov viac</w:t>
      </w:r>
      <w:r w:rsidRPr="00EF2265">
        <w:rPr>
          <w:rFonts w:ascii="Times New Roman" w:eastAsia="Calibri" w:hAnsi="Times New Roman"/>
          <w:sz w:val="20"/>
          <w:szCs w:val="20"/>
        </w:rPr>
        <w:t xml:space="preserve">. V celkovom počte zapísaných študentov do prvých ročníkov bakalárskych študijných programov sú však zahrnutí aj študenti, ktorí v predchádzajúcich rokoch už študovali na STU, ale štúdium neskončili úspešne, boli vylúčení pre nesplnenie požiadaviek, prípadne štúdium zanechali. Z </w:t>
      </w:r>
      <w:r w:rsidRPr="00EF2265">
        <w:rPr>
          <w:rFonts w:ascii="Times New Roman" w:eastAsia="Calibri" w:hAnsi="Times New Roman"/>
          <w:sz w:val="20"/>
          <w:szCs w:val="20"/>
        </w:rPr>
        <w:fldChar w:fldCharType="begin"/>
      </w:r>
      <w:r w:rsidRPr="00EF2265">
        <w:rPr>
          <w:rFonts w:ascii="Times New Roman" w:eastAsia="Calibri" w:hAnsi="Times New Roman"/>
          <w:sz w:val="20"/>
          <w:szCs w:val="20"/>
        </w:rPr>
        <w:instrText xml:space="preserve"> REF _Ref474777686 \h  \* MERGEFORMAT </w:instrText>
      </w:r>
      <w:r w:rsidRPr="00EF2265">
        <w:rPr>
          <w:rFonts w:ascii="Times New Roman" w:eastAsia="Calibri" w:hAnsi="Times New Roman"/>
          <w:sz w:val="20"/>
          <w:szCs w:val="20"/>
        </w:rPr>
      </w:r>
      <w:r w:rsidRPr="00EF2265">
        <w:rPr>
          <w:rFonts w:ascii="Times New Roman" w:eastAsia="Calibri" w:hAnsi="Times New Roman"/>
          <w:sz w:val="20"/>
          <w:szCs w:val="20"/>
        </w:rPr>
        <w:fldChar w:fldCharType="separate"/>
      </w:r>
      <w:r w:rsidR="001C349F" w:rsidRPr="00EF2265">
        <w:rPr>
          <w:rFonts w:ascii="Times New Roman" w:hAnsi="Times New Roman"/>
          <w:bCs/>
          <w:iCs/>
          <w:sz w:val="20"/>
          <w:szCs w:val="20"/>
        </w:rPr>
        <w:t xml:space="preserve">Tab. č. </w:t>
      </w:r>
      <w:r w:rsidR="001C349F">
        <w:rPr>
          <w:rFonts w:ascii="Times New Roman" w:hAnsi="Times New Roman"/>
          <w:sz w:val="20"/>
          <w:szCs w:val="20"/>
        </w:rPr>
        <w:t>22</w:t>
      </w:r>
      <w:r w:rsidRPr="00EF2265">
        <w:rPr>
          <w:rFonts w:ascii="Times New Roman" w:eastAsia="Calibri" w:hAnsi="Times New Roman"/>
          <w:sz w:val="20"/>
          <w:szCs w:val="20"/>
        </w:rPr>
        <w:fldChar w:fldCharType="end"/>
      </w:r>
      <w:r w:rsidRPr="00EF2265">
        <w:rPr>
          <w:rFonts w:ascii="Times New Roman" w:eastAsia="Calibri" w:hAnsi="Times New Roman"/>
          <w:sz w:val="20"/>
          <w:szCs w:val="20"/>
        </w:rPr>
        <w:t xml:space="preserve"> je možné konštatovať, že v priemere za univerzitu </w:t>
      </w:r>
      <w:r w:rsidRPr="00EF2265">
        <w:rPr>
          <w:rFonts w:ascii="Times New Roman" w:eastAsia="Calibri" w:hAnsi="Times New Roman"/>
          <w:b/>
          <w:sz w:val="20"/>
          <w:szCs w:val="20"/>
        </w:rPr>
        <w:t>takmer 19 %</w:t>
      </w:r>
      <w:r w:rsidRPr="00EF2265">
        <w:rPr>
          <w:rFonts w:ascii="Times New Roman" w:eastAsia="Calibri" w:hAnsi="Times New Roman"/>
          <w:sz w:val="20"/>
          <w:szCs w:val="20"/>
        </w:rPr>
        <w:t xml:space="preserve"> zapísaných študentov z celkového počtu zapísaných študentov STU z novoprijatých </w:t>
      </w:r>
      <w:r w:rsidRPr="00EF2265">
        <w:rPr>
          <w:rFonts w:ascii="Times New Roman" w:eastAsia="Calibri" w:hAnsi="Times New Roman"/>
          <w:b/>
          <w:sz w:val="20"/>
          <w:szCs w:val="20"/>
        </w:rPr>
        <w:t>už v minulosti neúspešne skončili štúdium na príslušnej súčasti STU</w:t>
      </w:r>
      <w:r w:rsidRPr="00EF2265">
        <w:rPr>
          <w:rFonts w:ascii="Times New Roman" w:eastAsia="Calibri" w:hAnsi="Times New Roman"/>
          <w:sz w:val="20"/>
          <w:szCs w:val="20"/>
        </w:rPr>
        <w:t>, pričom uvedené percento v rámci univerzity kleslo oproti akad. roku 2017/2018 takmer o 7 %.</w:t>
      </w:r>
    </w:p>
    <w:p w:rsidR="00AD09B4" w:rsidRPr="00EF2265" w:rsidRDefault="00AD09B4" w:rsidP="00E86605">
      <w:pPr>
        <w:tabs>
          <w:tab w:val="left" w:pos="9356"/>
        </w:tabs>
        <w:jc w:val="left"/>
        <w:rPr>
          <w:rFonts w:ascii="Times New Roman" w:eastAsia="Calibri" w:hAnsi="Times New Roman"/>
          <w:sz w:val="20"/>
          <w:szCs w:val="20"/>
        </w:rPr>
      </w:pPr>
    </w:p>
    <w:p w:rsidR="00AD09B4" w:rsidRPr="00EF2265" w:rsidRDefault="00AD09B4" w:rsidP="00E86605">
      <w:pPr>
        <w:tabs>
          <w:tab w:val="left" w:pos="9356"/>
        </w:tabs>
        <w:jc w:val="left"/>
        <w:rPr>
          <w:rFonts w:ascii="Times New Roman" w:eastAsia="Calibri" w:hAnsi="Times New Roman"/>
          <w:sz w:val="20"/>
          <w:szCs w:val="20"/>
        </w:rPr>
      </w:pPr>
      <w:bookmarkStart w:id="75" w:name="_Ref474777686"/>
      <w:bookmarkStart w:id="76" w:name="_Toc534793961"/>
      <w:r w:rsidRPr="00EF2265">
        <w:rPr>
          <w:rFonts w:ascii="Times New Roman" w:hAnsi="Times New Roman"/>
          <w:bCs/>
          <w:iCs/>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22</w:t>
      </w:r>
      <w:r w:rsidRPr="00EF2265">
        <w:rPr>
          <w:rFonts w:ascii="Times New Roman" w:hAnsi="Times New Roman"/>
          <w:sz w:val="20"/>
          <w:szCs w:val="20"/>
        </w:rPr>
        <w:fldChar w:fldCharType="end"/>
      </w:r>
      <w:bookmarkEnd w:id="75"/>
      <w:r w:rsidRPr="00EF2265">
        <w:rPr>
          <w:rFonts w:ascii="Times New Roman" w:hAnsi="Times New Roman"/>
          <w:bCs/>
          <w:iCs/>
          <w:sz w:val="20"/>
          <w:szCs w:val="20"/>
        </w:rPr>
        <w:t>: Štruktúra zapísaných študentov s ohľadom na skutočnosť, či v minulosti neúspešne skončili štúdium na príslušnej súčasti STU</w:t>
      </w:r>
      <w:bookmarkEnd w:id="76"/>
    </w:p>
    <w:tbl>
      <w:tblPr>
        <w:tblW w:w="9498" w:type="dxa"/>
        <w:tblInd w:w="-5" w:type="dxa"/>
        <w:tblLayout w:type="fixed"/>
        <w:tblCellMar>
          <w:left w:w="70" w:type="dxa"/>
          <w:right w:w="70" w:type="dxa"/>
        </w:tblCellMar>
        <w:tblLook w:val="04A0" w:firstRow="1" w:lastRow="0" w:firstColumn="1" w:lastColumn="0" w:noHBand="0" w:noVBand="1"/>
      </w:tblPr>
      <w:tblGrid>
        <w:gridCol w:w="851"/>
        <w:gridCol w:w="992"/>
        <w:gridCol w:w="1134"/>
        <w:gridCol w:w="2130"/>
        <w:gridCol w:w="989"/>
        <w:gridCol w:w="1134"/>
        <w:gridCol w:w="2268"/>
      </w:tblGrid>
      <w:tr w:rsidR="00AD09B4" w:rsidRPr="00EF2265" w:rsidTr="00351A8A">
        <w:trPr>
          <w:trHeight w:val="294"/>
        </w:trPr>
        <w:tc>
          <w:tcPr>
            <w:tcW w:w="851" w:type="dxa"/>
            <w:vMerge w:val="restart"/>
            <w:tcBorders>
              <w:top w:val="single" w:sz="4" w:space="0" w:color="auto"/>
              <w:left w:val="single" w:sz="4" w:space="0" w:color="auto"/>
              <w:right w:val="single" w:sz="4" w:space="0" w:color="auto"/>
            </w:tcBorders>
            <w:shd w:val="clear" w:color="auto" w:fill="auto"/>
            <w:vAlign w:val="center"/>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Fakulta</w:t>
            </w:r>
          </w:p>
        </w:tc>
        <w:tc>
          <w:tcPr>
            <w:tcW w:w="4256" w:type="dxa"/>
            <w:gridSpan w:val="3"/>
            <w:tcBorders>
              <w:top w:val="single" w:sz="4" w:space="0" w:color="auto"/>
              <w:left w:val="nil"/>
              <w:bottom w:val="single" w:sz="4" w:space="0" w:color="auto"/>
              <w:right w:val="single" w:sz="4" w:space="0" w:color="auto"/>
            </w:tcBorders>
            <w:shd w:val="clear" w:color="auto" w:fill="auto"/>
            <w:vAlign w:val="bottom"/>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b/>
                <w:bCs/>
                <w:sz w:val="20"/>
                <w:szCs w:val="20"/>
                <w:lang w:eastAsia="sk-SK"/>
              </w:rPr>
              <w:t>2017/2018</w:t>
            </w:r>
          </w:p>
        </w:tc>
        <w:tc>
          <w:tcPr>
            <w:tcW w:w="4391" w:type="dxa"/>
            <w:gridSpan w:val="3"/>
            <w:tcBorders>
              <w:top w:val="single" w:sz="4" w:space="0" w:color="auto"/>
              <w:left w:val="nil"/>
              <w:bottom w:val="single" w:sz="4" w:space="0" w:color="auto"/>
              <w:right w:val="single" w:sz="4" w:space="0" w:color="auto"/>
            </w:tcBorders>
            <w:shd w:val="clear" w:color="auto" w:fill="auto"/>
            <w:vAlign w:val="bottom"/>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b/>
                <w:bCs/>
                <w:sz w:val="20"/>
                <w:szCs w:val="20"/>
                <w:lang w:eastAsia="sk-SK"/>
              </w:rPr>
              <w:t>2018/2019</w:t>
            </w:r>
          </w:p>
        </w:tc>
      </w:tr>
      <w:tr w:rsidR="00AD09B4" w:rsidRPr="00EF2265" w:rsidTr="00351A8A">
        <w:trPr>
          <w:trHeight w:val="554"/>
        </w:trPr>
        <w:tc>
          <w:tcPr>
            <w:tcW w:w="851" w:type="dxa"/>
            <w:vMerge/>
            <w:tcBorders>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92" w:type="dxa"/>
            <w:tcBorders>
              <w:top w:val="nil"/>
              <w:left w:val="nil"/>
              <w:bottom w:val="single" w:sz="4" w:space="0" w:color="auto"/>
              <w:right w:val="single" w:sz="4" w:space="0" w:color="auto"/>
            </w:tcBorders>
            <w:shd w:val="clear" w:color="auto" w:fill="auto"/>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zapísaných</w:t>
            </w:r>
          </w:p>
        </w:tc>
        <w:tc>
          <w:tcPr>
            <w:tcW w:w="1134" w:type="dxa"/>
            <w:tcBorders>
              <w:top w:val="nil"/>
              <w:left w:val="nil"/>
              <w:bottom w:val="single" w:sz="4" w:space="0" w:color="auto"/>
              <w:right w:val="single" w:sz="4" w:space="0" w:color="auto"/>
            </w:tcBorders>
            <w:shd w:val="clear" w:color="auto" w:fill="auto"/>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 toho novoprijatí</w:t>
            </w:r>
          </w:p>
        </w:tc>
        <w:tc>
          <w:tcPr>
            <w:tcW w:w="2130" w:type="dxa"/>
            <w:tcBorders>
              <w:top w:val="nil"/>
              <w:left w:val="nil"/>
              <w:bottom w:val="single" w:sz="4" w:space="0" w:color="auto"/>
              <w:right w:val="single" w:sz="4" w:space="0" w:color="auto"/>
            </w:tcBorders>
            <w:shd w:val="clear" w:color="auto" w:fill="auto"/>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neúspešne skončených študentov, ktorí boli znovu prijatí a zapísali sa</w:t>
            </w:r>
          </w:p>
        </w:tc>
        <w:tc>
          <w:tcPr>
            <w:tcW w:w="989" w:type="dxa"/>
            <w:tcBorders>
              <w:top w:val="nil"/>
              <w:left w:val="nil"/>
              <w:bottom w:val="single" w:sz="4" w:space="0" w:color="auto"/>
              <w:right w:val="single" w:sz="4" w:space="0" w:color="auto"/>
            </w:tcBorders>
            <w:shd w:val="clear" w:color="auto" w:fill="auto"/>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počet zapísaných</w:t>
            </w:r>
          </w:p>
        </w:tc>
        <w:tc>
          <w:tcPr>
            <w:tcW w:w="1134" w:type="dxa"/>
            <w:tcBorders>
              <w:top w:val="nil"/>
              <w:left w:val="nil"/>
              <w:bottom w:val="single" w:sz="4" w:space="0" w:color="auto"/>
              <w:right w:val="single" w:sz="4" w:space="0" w:color="auto"/>
            </w:tcBorders>
            <w:shd w:val="clear" w:color="auto" w:fill="auto"/>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 toho novoprijatí</w:t>
            </w:r>
          </w:p>
        </w:tc>
        <w:tc>
          <w:tcPr>
            <w:tcW w:w="2268" w:type="dxa"/>
            <w:tcBorders>
              <w:top w:val="nil"/>
              <w:left w:val="nil"/>
              <w:bottom w:val="single" w:sz="4" w:space="0" w:color="auto"/>
              <w:right w:val="single" w:sz="4" w:space="0" w:color="auto"/>
            </w:tcBorders>
            <w:shd w:val="clear" w:color="auto" w:fill="auto"/>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neúspešne skončených študentov, ktorí boli znovu prijatí a zapísali sa</w:t>
            </w:r>
          </w:p>
        </w:tc>
      </w:tr>
      <w:tr w:rsidR="00AD09B4" w:rsidRPr="00EF2265" w:rsidTr="00351A8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SvF</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740</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419</w:t>
            </w:r>
          </w:p>
        </w:tc>
        <w:tc>
          <w:tcPr>
            <w:tcW w:w="21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43,4%</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712</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490</w:t>
            </w:r>
          </w:p>
        </w:tc>
        <w:tc>
          <w:tcPr>
            <w:tcW w:w="226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31,2%</w:t>
            </w:r>
          </w:p>
        </w:tc>
      </w:tr>
      <w:tr w:rsidR="00AD09B4" w:rsidRPr="00EF2265" w:rsidTr="00351A8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SjF</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262</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186</w:t>
            </w:r>
          </w:p>
        </w:tc>
        <w:tc>
          <w:tcPr>
            <w:tcW w:w="21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29,0%</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296</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221</w:t>
            </w:r>
          </w:p>
        </w:tc>
        <w:tc>
          <w:tcPr>
            <w:tcW w:w="226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25,3%</w:t>
            </w:r>
          </w:p>
        </w:tc>
      </w:tr>
      <w:tr w:rsidR="00AD09B4" w:rsidRPr="00EF2265" w:rsidTr="00351A8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FEI</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680</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611</w:t>
            </w:r>
          </w:p>
        </w:tc>
        <w:tc>
          <w:tcPr>
            <w:tcW w:w="21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10,1%</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776</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692</w:t>
            </w:r>
          </w:p>
        </w:tc>
        <w:tc>
          <w:tcPr>
            <w:tcW w:w="226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10,8%</w:t>
            </w:r>
          </w:p>
        </w:tc>
      </w:tr>
      <w:tr w:rsidR="00AD09B4" w:rsidRPr="00EF2265" w:rsidTr="00351A8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FCHPT</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372</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309</w:t>
            </w:r>
          </w:p>
        </w:tc>
        <w:tc>
          <w:tcPr>
            <w:tcW w:w="21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16,9%</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422</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352</w:t>
            </w:r>
          </w:p>
        </w:tc>
        <w:tc>
          <w:tcPr>
            <w:tcW w:w="226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16,6%</w:t>
            </w:r>
          </w:p>
        </w:tc>
      </w:tr>
      <w:tr w:rsidR="00AD09B4" w:rsidRPr="00EF2265" w:rsidTr="00351A8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FA</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173</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165</w:t>
            </w:r>
          </w:p>
        </w:tc>
        <w:tc>
          <w:tcPr>
            <w:tcW w:w="21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4,6%</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166</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161</w:t>
            </w:r>
          </w:p>
        </w:tc>
        <w:tc>
          <w:tcPr>
            <w:tcW w:w="226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3,0%</w:t>
            </w:r>
          </w:p>
        </w:tc>
      </w:tr>
      <w:tr w:rsidR="00AD09B4" w:rsidRPr="00EF2265" w:rsidTr="00351A8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MtF</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716</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456</w:t>
            </w:r>
          </w:p>
        </w:tc>
        <w:tc>
          <w:tcPr>
            <w:tcW w:w="21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36,3%</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572</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408</w:t>
            </w:r>
          </w:p>
        </w:tc>
        <w:tc>
          <w:tcPr>
            <w:tcW w:w="226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28,7%</w:t>
            </w:r>
          </w:p>
        </w:tc>
      </w:tr>
      <w:tr w:rsidR="00AD09B4" w:rsidRPr="00EF2265" w:rsidTr="00351A8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FIIT</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236</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221</w:t>
            </w:r>
          </w:p>
        </w:tc>
        <w:tc>
          <w:tcPr>
            <w:tcW w:w="21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6,4%</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362</w:t>
            </w:r>
          </w:p>
        </w:tc>
        <w:tc>
          <w:tcPr>
            <w:tcW w:w="226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2,2%</w:t>
            </w:r>
          </w:p>
        </w:tc>
      </w:tr>
      <w:tr w:rsidR="00AD09B4" w:rsidRPr="00EF2265" w:rsidTr="00351A8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ÚM</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31</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29</w:t>
            </w:r>
          </w:p>
        </w:tc>
        <w:tc>
          <w:tcPr>
            <w:tcW w:w="21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6,5%</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31</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31</w:t>
            </w:r>
          </w:p>
        </w:tc>
        <w:tc>
          <w:tcPr>
            <w:tcW w:w="226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0,0%</w:t>
            </w:r>
          </w:p>
        </w:tc>
      </w:tr>
      <w:tr w:rsidR="00AD09B4" w:rsidRPr="00EF2265" w:rsidTr="00351A8A">
        <w:trPr>
          <w:trHeight w:val="300"/>
        </w:trPr>
        <w:tc>
          <w:tcPr>
            <w:tcW w:w="851"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STU</w:t>
            </w:r>
          </w:p>
        </w:tc>
        <w:tc>
          <w:tcPr>
            <w:tcW w:w="992"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3 210</w:t>
            </w:r>
          </w:p>
        </w:tc>
        <w:tc>
          <w:tcPr>
            <w:tcW w:w="113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2 396</w:t>
            </w:r>
          </w:p>
        </w:tc>
        <w:tc>
          <w:tcPr>
            <w:tcW w:w="213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25,4%</w:t>
            </w:r>
          </w:p>
        </w:tc>
        <w:tc>
          <w:tcPr>
            <w:tcW w:w="989"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3 345</w:t>
            </w:r>
          </w:p>
        </w:tc>
        <w:tc>
          <w:tcPr>
            <w:tcW w:w="113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2 717</w:t>
            </w:r>
          </w:p>
        </w:tc>
        <w:tc>
          <w:tcPr>
            <w:tcW w:w="2268"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18,8%</w:t>
            </w:r>
          </w:p>
        </w:tc>
      </w:tr>
    </w:tbl>
    <w:p w:rsidR="00AD09B4" w:rsidRPr="00EF2265" w:rsidRDefault="00AD09B4" w:rsidP="00E86605">
      <w:pPr>
        <w:tabs>
          <w:tab w:val="left" w:pos="9356"/>
        </w:tabs>
        <w:jc w:val="left"/>
        <w:rPr>
          <w:rFonts w:ascii="Times New Roman" w:eastAsia="Calibri" w:hAnsi="Times New Roman"/>
          <w:sz w:val="20"/>
          <w:szCs w:val="20"/>
        </w:rPr>
      </w:pPr>
      <w:r w:rsidRPr="00EF2265">
        <w:rPr>
          <w:rFonts w:ascii="Times New Roman" w:eastAsia="Calibri" w:hAnsi="Times New Roman"/>
          <w:sz w:val="20"/>
          <w:szCs w:val="20"/>
        </w:rPr>
        <w:t xml:space="preserve">Vysvetlivky: </w:t>
      </w:r>
    </w:p>
    <w:p w:rsidR="00AD09B4" w:rsidRPr="00EF2265" w:rsidRDefault="00AD09B4" w:rsidP="00E86605">
      <w:pPr>
        <w:tabs>
          <w:tab w:val="left" w:pos="9356"/>
        </w:tabs>
        <w:jc w:val="left"/>
        <w:rPr>
          <w:rFonts w:ascii="Times New Roman" w:eastAsia="Calibri" w:hAnsi="Times New Roman"/>
          <w:sz w:val="20"/>
          <w:szCs w:val="20"/>
        </w:rPr>
      </w:pPr>
      <w:r w:rsidRPr="00EF2265">
        <w:rPr>
          <w:rFonts w:ascii="Times New Roman" w:eastAsia="Calibri" w:hAnsi="Times New Roman"/>
          <w:sz w:val="20"/>
          <w:szCs w:val="20"/>
        </w:rPr>
        <w:t>Počet novoprijatých predstavuje študentov prijatých a zapísaných na prvý stupeň, ktorí nemali v minulosti na príslušnej súčasti STU žiadne neúspešne skončené štúdium</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Vývoj počtu prihlásených a prijatých uchádzačov o štúdium na STU a z toho zapísaných študentov od akademického roku 2009/2010 je zaznamenaný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_Ref474779915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Graf č. </w:t>
      </w:r>
      <w:r w:rsidR="001C349F">
        <w:rPr>
          <w:rFonts w:ascii="Times New Roman" w:hAnsi="Times New Roman"/>
          <w:sz w:val="20"/>
          <w:szCs w:val="20"/>
        </w:rPr>
        <w:t>10</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77" w:name="_Ref474779915"/>
      <w:bookmarkStart w:id="78" w:name="_Toc534724797"/>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10</w:t>
      </w:r>
      <w:r w:rsidRPr="00EF2265">
        <w:rPr>
          <w:rFonts w:ascii="Times New Roman" w:hAnsi="Times New Roman"/>
          <w:sz w:val="20"/>
          <w:szCs w:val="20"/>
        </w:rPr>
        <w:fldChar w:fldCharType="end"/>
      </w:r>
      <w:bookmarkEnd w:id="77"/>
      <w:r w:rsidRPr="00EF2265">
        <w:rPr>
          <w:rFonts w:ascii="Times New Roman" w:hAnsi="Times New Roman"/>
          <w:sz w:val="20"/>
          <w:szCs w:val="20"/>
        </w:rPr>
        <w:t>: Vývoj prijímacieho konania na I. stupni štúdia v dennej forme od akademického roku 2009/2010</w:t>
      </w:r>
      <w:bookmarkEnd w:id="78"/>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754CC8DD" wp14:editId="1DC2C1D8">
            <wp:extent cx="6159261" cy="3036498"/>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09B4" w:rsidRPr="00EF2265" w:rsidRDefault="00AD09B4" w:rsidP="00E86605">
      <w:pPr>
        <w:tabs>
          <w:tab w:val="left" w:pos="9356"/>
        </w:tabs>
        <w:ind w:hanging="284"/>
        <w:jc w:val="left"/>
        <w:rPr>
          <w:rFonts w:ascii="Times New Roman" w:hAnsi="Times New Roman"/>
          <w:sz w:val="20"/>
          <w:szCs w:val="20"/>
        </w:rPr>
      </w:pPr>
      <w:r w:rsidRPr="00EF2265">
        <w:rPr>
          <w:rFonts w:ascii="Times New Roman" w:hAnsi="Times New Roman"/>
          <w:sz w:val="20"/>
          <w:szCs w:val="20"/>
        </w:rPr>
        <w:br w:type="page"/>
      </w:r>
      <w:r w:rsidRPr="00EF2265">
        <w:rPr>
          <w:rFonts w:ascii="Times New Roman" w:hAnsi="Times New Roman"/>
          <w:sz w:val="20"/>
          <w:szCs w:val="20"/>
        </w:rPr>
        <w:lastRenderedPageBreak/>
        <w:t xml:space="preserve">Pokles uchádzačov o štúdium na prvom stupni je spôsobený najmä demografickým vývojom obyvateľstva SR, ktorý naznačuje ďalší pokles potenciálnych uchádzačov o štúdium na vysokých školách v SR aj v nasledujúcich rokoch. Na druhej strane je potešiteľné, že </w:t>
      </w:r>
      <w:r w:rsidRPr="00EF2265">
        <w:rPr>
          <w:rFonts w:ascii="Times New Roman" w:hAnsi="Times New Roman"/>
          <w:b/>
          <w:sz w:val="20"/>
          <w:szCs w:val="20"/>
        </w:rPr>
        <w:t xml:space="preserve">percento zapísaných študentov na STU z celkového počtu maturantov v SR je z dlhodobého hľadiska pomerne stabilné, osciluje v rozmedzí okolo 5 % až 6 % </w:t>
      </w:r>
      <w:r w:rsidRPr="00EF2265">
        <w:rPr>
          <w:rFonts w:ascii="Times New Roman" w:hAnsi="Times New Roman"/>
          <w:sz w:val="20"/>
          <w:szCs w:val="20"/>
        </w:rPr>
        <w:t>(v</w:t>
      </w:r>
      <w:r w:rsidRPr="00EF2265">
        <w:rPr>
          <w:rFonts w:ascii="Times New Roman" w:hAnsi="Times New Roman"/>
          <w:b/>
          <w:sz w:val="20"/>
          <w:szCs w:val="20"/>
        </w:rPr>
        <w:t xml:space="preserve"> </w:t>
      </w:r>
      <w:r w:rsidRPr="00EF2265">
        <w:rPr>
          <w:rFonts w:ascii="Times New Roman" w:hAnsi="Times New Roman"/>
          <w:sz w:val="20"/>
          <w:szCs w:val="20"/>
        </w:rPr>
        <w:t xml:space="preserve">akademickom roku 2018/2019 bol zaznamenaný mierny nárast oproti predchádzajúcemu akademickému roku, to je na úroveň </w:t>
      </w:r>
      <w:r w:rsidRPr="00EF2265">
        <w:rPr>
          <w:rFonts w:ascii="Times New Roman" w:hAnsi="Times New Roman"/>
          <w:b/>
          <w:sz w:val="20"/>
          <w:szCs w:val="20"/>
        </w:rPr>
        <w:t>5,1 %</w:t>
      </w:r>
      <w:r w:rsidRPr="00EF2265">
        <w:rPr>
          <w:rFonts w:ascii="Times New Roman" w:hAnsi="Times New Roman"/>
          <w:sz w:val="20"/>
          <w:szCs w:val="20"/>
        </w:rPr>
        <w:t xml:space="preserve">). V školskom roku 2017/2018 bol zaznamenaný aj </w:t>
      </w:r>
      <w:r w:rsidRPr="00EF2265">
        <w:rPr>
          <w:rFonts w:ascii="Times New Roman" w:hAnsi="Times New Roman"/>
          <w:b/>
          <w:sz w:val="20"/>
          <w:szCs w:val="20"/>
        </w:rPr>
        <w:t>nárast</w:t>
      </w:r>
      <w:r w:rsidRPr="00EF2265">
        <w:rPr>
          <w:rFonts w:ascii="Times New Roman" w:hAnsi="Times New Roman"/>
          <w:sz w:val="20"/>
          <w:szCs w:val="20"/>
        </w:rPr>
        <w:t xml:space="preserve"> </w:t>
      </w:r>
      <w:r w:rsidRPr="00EF2265">
        <w:rPr>
          <w:rFonts w:ascii="Times New Roman" w:hAnsi="Times New Roman"/>
          <w:b/>
          <w:sz w:val="20"/>
          <w:szCs w:val="20"/>
        </w:rPr>
        <w:t>maturantov SR</w:t>
      </w:r>
      <w:r w:rsidRPr="00EF2265">
        <w:rPr>
          <w:rFonts w:ascii="Times New Roman" w:hAnsi="Times New Roman"/>
          <w:sz w:val="20"/>
          <w:szCs w:val="20"/>
        </w:rPr>
        <w:t xml:space="preserve"> oproti školskému roku 2016/2017, ktorý </w:t>
      </w:r>
      <w:r w:rsidRPr="00EF2265">
        <w:rPr>
          <w:rFonts w:ascii="Times New Roman" w:hAnsi="Times New Roman"/>
          <w:b/>
          <w:sz w:val="20"/>
          <w:szCs w:val="20"/>
        </w:rPr>
        <w:t xml:space="preserve">predstavuje 7,1 %, </w:t>
      </w:r>
      <w:r w:rsidRPr="00EF2265">
        <w:rPr>
          <w:rFonts w:ascii="Times New Roman" w:hAnsi="Times New Roman"/>
          <w:sz w:val="20"/>
          <w:szCs w:val="20"/>
        </w:rPr>
        <w:t xml:space="preserve">uvedené je spôsobené tým, že v školskom roku 2016/2017 bol nízky počet maturantov z dôvodu výpadku osemročných gymnázií. Demografický vývoj Slovenska, ako aj počty maturantov a porovnanie počtu študentov SR na vysokých školách v Českej republike prehľadne uvádza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_Ref474777735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23</w:t>
      </w:r>
      <w:r w:rsidRPr="00EF2265">
        <w:rPr>
          <w:rFonts w:ascii="Times New Roman" w:hAnsi="Times New Roman"/>
          <w:sz w:val="20"/>
          <w:szCs w:val="20"/>
        </w:rPr>
        <w:fldChar w:fldCharType="end"/>
      </w:r>
      <w:r w:rsidRPr="00EF2265">
        <w:rPr>
          <w:rFonts w:ascii="Times New Roman" w:hAnsi="Times New Roman"/>
          <w:sz w:val="20"/>
          <w:szCs w:val="20"/>
        </w:rPr>
        <w:t xml:space="preserve"> 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_Ref474779930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Graf č. </w:t>
      </w:r>
      <w:r w:rsidR="001C349F">
        <w:rPr>
          <w:rFonts w:ascii="Times New Roman" w:hAnsi="Times New Roman"/>
          <w:sz w:val="20"/>
          <w:szCs w:val="20"/>
        </w:rPr>
        <w:t>11</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79" w:name="_Ref474779930"/>
      <w:bookmarkStart w:id="80" w:name="_Toc534724798"/>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11</w:t>
      </w:r>
      <w:r w:rsidRPr="00EF2265">
        <w:rPr>
          <w:rFonts w:ascii="Times New Roman" w:hAnsi="Times New Roman"/>
          <w:sz w:val="20"/>
          <w:szCs w:val="20"/>
        </w:rPr>
        <w:fldChar w:fldCharType="end"/>
      </w:r>
      <w:bookmarkEnd w:id="79"/>
      <w:r w:rsidRPr="00EF2265">
        <w:rPr>
          <w:rFonts w:ascii="Times New Roman" w:hAnsi="Times New Roman"/>
          <w:sz w:val="20"/>
          <w:szCs w:val="20"/>
        </w:rPr>
        <w:t>: Počet zapísaných na 1. stupni v závislosti od demografického vývoja v SR</w:t>
      </w:r>
      <w:bookmarkEnd w:id="80"/>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5393432D" wp14:editId="5384E8AB">
            <wp:extent cx="5753735" cy="3217653"/>
            <wp:effectExtent l="0" t="0" r="0" b="190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Základnou podmienkou prijatia na prvý stupeň štúdia na STU je absolvovanie úplného stredného alebo úplného stredného odborného vzdelania ukončeného maturitnou skúškou. Na niektorých súčastiach univerzity je splnenie ďalších podmienok prijatia na štúdium overované absolvovaním prijímacej skúšky. Ak prijímacie konanie prebehlo bez prijímacej skúšky, kvalitatívne poradie bolo tvorené kombináciou viacerých kvalitatívnych kritérií ako celkové študijné výsledky zo strednej školy, dosiahnuté študijné výsledky z profilujúcich predmetov (matematika, fyzika, resp. chémia), dosiahnuté študijné výsledky z externej maturitnej skúšky z matematiky, typom absolvovanej strednej školy a záujmu o štúdium (účasť a umiestnenie na odborných súťažiach a olympiádach). </w:t>
      </w:r>
      <w:r w:rsidRPr="00EF2265">
        <w:rPr>
          <w:rFonts w:ascii="Times New Roman" w:hAnsi="Times New Roman"/>
          <w:b/>
          <w:sz w:val="20"/>
          <w:szCs w:val="20"/>
        </w:rPr>
        <w:t>Tri fakulty STU využili v prijímacom konaní výsledky testov, ktoré boli zabezpečované nezávislou inštitúciou</w:t>
      </w:r>
      <w:r w:rsidRPr="00EF2265">
        <w:rPr>
          <w:rFonts w:ascii="Times New Roman" w:hAnsi="Times New Roman"/>
          <w:sz w:val="20"/>
          <w:szCs w:val="20"/>
        </w:rPr>
        <w:t xml:space="preserve"> (SCIO, s.r.o.) – FA, FEI a FIIT.</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O štúdium sa maturanti mohli uchádzať v dvoch kolách prijímacieho </w:t>
      </w:r>
      <w:r w:rsidRPr="00EF2265">
        <w:rPr>
          <w:rFonts w:ascii="Times New Roman" w:hAnsi="Times New Roman"/>
          <w:sz w:val="20"/>
          <w:szCs w:val="20"/>
          <w:shd w:val="clear" w:color="auto" w:fill="FFFFFF"/>
        </w:rPr>
        <w:t>konania okrem FIIT.</w:t>
      </w:r>
      <w:r w:rsidRPr="00EF2265">
        <w:rPr>
          <w:rFonts w:ascii="Times New Roman" w:hAnsi="Times New Roman"/>
          <w:sz w:val="20"/>
          <w:szCs w:val="20"/>
        </w:rPr>
        <w:t xml:space="preserve"> STU neprijímala na študijné programy v externej forme štúdia.</w:t>
      </w:r>
    </w:p>
    <w:p w:rsidR="00AD09B4" w:rsidRPr="00EF2265" w:rsidRDefault="00AD09B4" w:rsidP="00E86605">
      <w:pPr>
        <w:tabs>
          <w:tab w:val="left" w:pos="9356"/>
        </w:tabs>
        <w:jc w:val="left"/>
        <w:rPr>
          <w:rFonts w:ascii="Times New Roman" w:hAnsi="Times New Roman"/>
          <w:sz w:val="20"/>
          <w:szCs w:val="20"/>
        </w:rPr>
        <w:sectPr w:rsidR="00AD09B4" w:rsidRPr="00EF2265" w:rsidSect="00351A8A">
          <w:headerReference w:type="default" r:id="rId35"/>
          <w:pgSz w:w="11906" w:h="16838"/>
          <w:pgMar w:top="1418" w:right="991" w:bottom="851" w:left="1417" w:header="708" w:footer="545" w:gutter="0"/>
          <w:cols w:space="708"/>
        </w:sectPr>
      </w:pPr>
    </w:p>
    <w:p w:rsidR="00AD09B4" w:rsidRPr="00EF2265" w:rsidRDefault="00AD09B4" w:rsidP="00E86605">
      <w:pPr>
        <w:tabs>
          <w:tab w:val="left" w:pos="9356"/>
        </w:tabs>
        <w:jc w:val="left"/>
        <w:rPr>
          <w:rFonts w:ascii="Times New Roman" w:hAnsi="Times New Roman"/>
          <w:sz w:val="20"/>
          <w:szCs w:val="20"/>
        </w:rPr>
      </w:pPr>
      <w:bookmarkStart w:id="81" w:name="_Ref474777735"/>
      <w:bookmarkStart w:id="82" w:name="_Toc534793962"/>
      <w:r w:rsidRPr="00EF2265">
        <w:rPr>
          <w:rFonts w:ascii="Times New Roman" w:hAnsi="Times New Roman"/>
          <w:sz w:val="20"/>
          <w:szCs w:val="20"/>
        </w:rPr>
        <w:lastRenderedPageBreak/>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23</w:t>
      </w:r>
      <w:r w:rsidRPr="00EF2265">
        <w:rPr>
          <w:rFonts w:ascii="Times New Roman" w:hAnsi="Times New Roman"/>
          <w:sz w:val="20"/>
          <w:szCs w:val="20"/>
        </w:rPr>
        <w:fldChar w:fldCharType="end"/>
      </w:r>
      <w:bookmarkEnd w:id="81"/>
      <w:r w:rsidRPr="00EF2265">
        <w:rPr>
          <w:rFonts w:ascii="Times New Roman" w:hAnsi="Times New Roman"/>
          <w:sz w:val="20"/>
          <w:szCs w:val="20"/>
        </w:rPr>
        <w:t>: Pomer zapísaných študentov na prvom stupni štúdia vzhľadom na demografický vývoj v Slovenskej republike</w:t>
      </w:r>
      <w:bookmarkEnd w:id="82"/>
    </w:p>
    <w:tbl>
      <w:tblPr>
        <w:tblW w:w="15021" w:type="dxa"/>
        <w:tblLayout w:type="fixed"/>
        <w:tblCellMar>
          <w:left w:w="70" w:type="dxa"/>
          <w:right w:w="70" w:type="dxa"/>
        </w:tblCellMar>
        <w:tblLook w:val="04A0" w:firstRow="1" w:lastRow="0" w:firstColumn="1" w:lastColumn="0" w:noHBand="0" w:noVBand="1"/>
      </w:tblPr>
      <w:tblGrid>
        <w:gridCol w:w="1062"/>
        <w:gridCol w:w="1063"/>
        <w:gridCol w:w="989"/>
        <w:gridCol w:w="1137"/>
        <w:gridCol w:w="1131"/>
        <w:gridCol w:w="992"/>
        <w:gridCol w:w="1065"/>
        <w:gridCol w:w="1203"/>
        <w:gridCol w:w="923"/>
        <w:gridCol w:w="920"/>
        <w:gridCol w:w="1205"/>
        <w:gridCol w:w="1205"/>
        <w:gridCol w:w="992"/>
        <w:gridCol w:w="1134"/>
      </w:tblGrid>
      <w:tr w:rsidR="00AD09B4" w:rsidRPr="00EF2265" w:rsidTr="00351A8A">
        <w:trPr>
          <w:trHeight w:val="1590"/>
        </w:trPr>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akad. rok</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19 ročných obyvateľov v SR</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ind w:left="-77"/>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všetkých maturantov SR</w:t>
            </w:r>
          </w:p>
        </w:tc>
        <w:tc>
          <w:tcPr>
            <w:tcW w:w="1137" w:type="dxa"/>
            <w:tcBorders>
              <w:top w:val="single" w:sz="4" w:space="0" w:color="auto"/>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maturujúcich z matematiky zo všetkých maturantov SR</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maturujúcich z matematiky zo všetkých maturantov SR (d/c)*100%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ind w:left="-72"/>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maturantov z 19 roč. obyvateľov SR (c/b)*100%</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zapísaných študentov STU, ktorí maturovali</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 predch. škol. roku</w:t>
            </w:r>
          </w:p>
        </w:tc>
        <w:tc>
          <w:tcPr>
            <w:tcW w:w="1203" w:type="dxa"/>
            <w:tcBorders>
              <w:top w:val="single" w:sz="4" w:space="0" w:color="auto"/>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zapísaných študentov STU z maturantov SR</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(g/c)*100%</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Celkový počet študentov vysokých škôl v SR</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Celkový počet študentov STU</w:t>
            </w:r>
          </w:p>
        </w:tc>
        <w:tc>
          <w:tcPr>
            <w:tcW w:w="1205" w:type="dxa"/>
            <w:tcBorders>
              <w:top w:val="single" w:sz="4" w:space="0" w:color="auto"/>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 študentov STU z celkového počtu študentov SR (j/i)*100%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Celkový počet študentov vysokých škôl v ČR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študentov SR v ČR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študentov SR v ČR (m/l)*100%</w:t>
            </w:r>
          </w:p>
        </w:tc>
      </w:tr>
      <w:tr w:rsidR="00AD09B4" w:rsidRPr="00EF2265" w:rsidTr="00351A8A">
        <w:trPr>
          <w:trHeight w:val="255"/>
        </w:trPr>
        <w:tc>
          <w:tcPr>
            <w:tcW w:w="1062"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a</w:t>
            </w:r>
          </w:p>
        </w:tc>
        <w:tc>
          <w:tcPr>
            <w:tcW w:w="1063"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b</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w:t>
            </w:r>
          </w:p>
        </w:tc>
        <w:tc>
          <w:tcPr>
            <w:tcW w:w="1137"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w:t>
            </w:r>
          </w:p>
        </w:tc>
        <w:tc>
          <w:tcPr>
            <w:tcW w:w="113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w:t>
            </w:r>
          </w:p>
        </w:tc>
        <w:tc>
          <w:tcPr>
            <w:tcW w:w="992"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w:t>
            </w:r>
          </w:p>
        </w:tc>
        <w:tc>
          <w:tcPr>
            <w:tcW w:w="1065"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g</w:t>
            </w:r>
          </w:p>
        </w:tc>
        <w:tc>
          <w:tcPr>
            <w:tcW w:w="120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h</w:t>
            </w:r>
          </w:p>
        </w:tc>
        <w:tc>
          <w:tcPr>
            <w:tcW w:w="923"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w:t>
            </w:r>
          </w:p>
        </w:tc>
        <w:tc>
          <w:tcPr>
            <w:tcW w:w="92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j</w:t>
            </w:r>
          </w:p>
        </w:tc>
        <w:tc>
          <w:tcPr>
            <w:tcW w:w="1205"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k</w:t>
            </w:r>
          </w:p>
        </w:tc>
        <w:tc>
          <w:tcPr>
            <w:tcW w:w="1205"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l</w:t>
            </w:r>
          </w:p>
        </w:tc>
        <w:tc>
          <w:tcPr>
            <w:tcW w:w="992"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2007/2008</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82 193</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62 397</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9 949</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15,9%</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76%</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3 404</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5,5%</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224 943</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19 057</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8,5%</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343 942</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18 095</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5,3%</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2008/2009</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80 633</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60 301</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9 381</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15,6%</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75%</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2 863</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4,7%</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230 519</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18 672</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8,1%</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368 050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19 863</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5,4%</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2009/2010</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79 049</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60 832</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9 250</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15,2%</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77%</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3 058</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5,0%</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230 127</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18 253</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7,9%</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388 990</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22 229</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5,7%</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2010/2011</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78 128</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62 263</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9 010</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14,5%</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80%</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3 305</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5,3%</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221 669</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18 142</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8,2%</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395 979</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24 331</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6,1%</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2011/2012</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75 124</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60 369</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8 803</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14,6%</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80%</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3 181</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5,3%</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216 303</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17 736</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8,2%</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392 039</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24 556</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6,3%</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2012/2013</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72 826</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59 465</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8 753</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14,7%</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82%</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3 460</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5,8%</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204 724</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17 059</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8,3%</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380 891</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24 052</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6,3%</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2013/2014</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69 073</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56 345</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8 203</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14,6%</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82%</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3 164</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5,6%</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192 851</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16 402</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8,5%</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367 747</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23 388</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6,4%</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2014/2015</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63 394</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50 215</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7 205</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14,3%</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79%</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2 747</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5,5%</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179 391</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15 403</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8,6%</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346 893</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22 656</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6,5%</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2015/2016</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60 352</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46 583</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6 658</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14,3%</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77%</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2 483</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5,3%</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162 568</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14 286</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8,8%</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326 528</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22 224</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6,8%</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2016/2017</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59 128</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44 991</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6 068</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13,5%</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76%</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2 192</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4,9%</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151 316</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13 108</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8,7%</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311 168</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22 178</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7,1%</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2017/2018</w:t>
            </w:r>
          </w:p>
        </w:tc>
        <w:tc>
          <w:tcPr>
            <w:tcW w:w="1063"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57 679</w:t>
            </w:r>
          </w:p>
        </w:tc>
        <w:tc>
          <w:tcPr>
            <w:tcW w:w="989"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39 670</w:t>
            </w:r>
          </w:p>
        </w:tc>
        <w:tc>
          <w:tcPr>
            <w:tcW w:w="1137" w:type="dxa"/>
            <w:tcBorders>
              <w:top w:val="nil"/>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4 621</w:t>
            </w:r>
          </w:p>
        </w:tc>
        <w:tc>
          <w:tcPr>
            <w:tcW w:w="1131"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11,6%</w:t>
            </w:r>
          </w:p>
        </w:tc>
        <w:tc>
          <w:tcPr>
            <w:tcW w:w="992"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69%</w:t>
            </w:r>
          </w:p>
        </w:tc>
        <w:tc>
          <w:tcPr>
            <w:tcW w:w="1065"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1 836</w:t>
            </w:r>
          </w:p>
        </w:tc>
        <w:tc>
          <w:tcPr>
            <w:tcW w:w="1203" w:type="dxa"/>
            <w:tcBorders>
              <w:top w:val="nil"/>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4,6%</w:t>
            </w:r>
          </w:p>
        </w:tc>
        <w:tc>
          <w:tcPr>
            <w:tcW w:w="923"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140 047</w:t>
            </w:r>
          </w:p>
        </w:tc>
        <w:tc>
          <w:tcPr>
            <w:tcW w:w="920"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11 748</w:t>
            </w:r>
          </w:p>
        </w:tc>
        <w:tc>
          <w:tcPr>
            <w:tcW w:w="1205" w:type="dxa"/>
            <w:tcBorders>
              <w:top w:val="nil"/>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8,4%</w:t>
            </w:r>
          </w:p>
        </w:tc>
        <w:tc>
          <w:tcPr>
            <w:tcW w:w="1205"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299 054</w:t>
            </w:r>
          </w:p>
        </w:tc>
        <w:tc>
          <w:tcPr>
            <w:tcW w:w="992"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21 481</w:t>
            </w:r>
          </w:p>
        </w:tc>
        <w:tc>
          <w:tcPr>
            <w:tcW w:w="1134"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7,2%</w:t>
            </w:r>
          </w:p>
        </w:tc>
      </w:tr>
      <w:tr w:rsidR="00AD09B4" w:rsidRPr="00EF2265" w:rsidTr="00351A8A">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2018/2019</w:t>
            </w:r>
          </w:p>
        </w:tc>
        <w:tc>
          <w:tcPr>
            <w:tcW w:w="10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color w:val="FF0000"/>
                <w:sz w:val="20"/>
                <w:szCs w:val="20"/>
              </w:rPr>
            </w:pPr>
            <w:r w:rsidRPr="00EF2265">
              <w:rPr>
                <w:rFonts w:ascii="Times New Roman" w:hAnsi="Times New Roman"/>
                <w:color w:val="FF0000"/>
                <w:sz w:val="20"/>
                <w:szCs w:val="20"/>
              </w:rPr>
              <w:t>56 352</w:t>
            </w:r>
          </w:p>
        </w:tc>
        <w:tc>
          <w:tcPr>
            <w:tcW w:w="989"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42 483</w:t>
            </w:r>
          </w:p>
        </w:tc>
        <w:tc>
          <w:tcPr>
            <w:tcW w:w="113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5 422</w:t>
            </w:r>
          </w:p>
        </w:tc>
        <w:tc>
          <w:tcPr>
            <w:tcW w:w="113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12,8%</w:t>
            </w: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75%</w:t>
            </w:r>
          </w:p>
        </w:tc>
        <w:tc>
          <w:tcPr>
            <w:tcW w:w="10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2 187</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5,1%</w:t>
            </w:r>
          </w:p>
        </w:tc>
        <w:tc>
          <w:tcPr>
            <w:tcW w:w="92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136 874</w:t>
            </w:r>
          </w:p>
        </w:tc>
        <w:tc>
          <w:tcPr>
            <w:tcW w:w="9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11 130</w:t>
            </w:r>
          </w:p>
        </w:tc>
        <w:tc>
          <w:tcPr>
            <w:tcW w:w="120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8,1%</w:t>
            </w:r>
          </w:p>
        </w:tc>
        <w:tc>
          <w:tcPr>
            <w:tcW w:w="120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p>
        </w:tc>
      </w:tr>
    </w:tbl>
    <w:p w:rsidR="00AD09B4" w:rsidRPr="00EF2265" w:rsidRDefault="00AD09B4" w:rsidP="00E86605">
      <w:pPr>
        <w:tabs>
          <w:tab w:val="left" w:pos="9356"/>
        </w:tabs>
        <w:jc w:val="left"/>
        <w:rPr>
          <w:rFonts w:ascii="Times New Roman" w:hAnsi="Times New Roman"/>
          <w:sz w:val="20"/>
          <w:szCs w:val="20"/>
          <w:lang w:eastAsia="sk-SK"/>
        </w:rPr>
      </w:pPr>
      <w:r w:rsidRPr="00EF2265">
        <w:rPr>
          <w:rFonts w:ascii="Times New Roman" w:hAnsi="Times New Roman"/>
          <w:sz w:val="20"/>
          <w:szCs w:val="20"/>
          <w:lang w:eastAsia="sk-SK"/>
        </w:rPr>
        <w:t>Vysvetlivky:</w:t>
      </w:r>
    </w:p>
    <w:p w:rsidR="00AD09B4" w:rsidRPr="00EF2265" w:rsidRDefault="00AD09B4" w:rsidP="00E86605">
      <w:pPr>
        <w:tabs>
          <w:tab w:val="left" w:pos="9356"/>
        </w:tabs>
        <w:spacing w:after="120"/>
        <w:jc w:val="left"/>
        <w:rPr>
          <w:rFonts w:ascii="Times New Roman" w:hAnsi="Times New Roman"/>
          <w:sz w:val="20"/>
          <w:szCs w:val="20"/>
          <w:lang w:eastAsia="sk-SK"/>
        </w:rPr>
      </w:pPr>
      <w:r w:rsidRPr="00EF2265">
        <w:rPr>
          <w:rFonts w:ascii="Times New Roman" w:hAnsi="Times New Roman"/>
          <w:sz w:val="20"/>
          <w:szCs w:val="20"/>
        </w:rPr>
        <w:t xml:space="preserve">Počet 19-ročných obyvateľov SR k 30. 06. aktuálneho roka, v ktorom začína príslušný akademický rok, podľa štatistiky zverejnenej Štatistickým úradom SR/Štatistiky/Demografia a sociálne štatistiky/Obyvateľstvo a migrácia/Ukazovatele/Vekové zloženie – SR, oblasti, kraje, okresy, mesto, vidiek: </w:t>
      </w:r>
      <w:hyperlink r:id="rId36" w:history="1">
        <w:r w:rsidRPr="00EF2265">
          <w:rPr>
            <w:rStyle w:val="Hypertextovprepojenie"/>
            <w:rFonts w:ascii="Times New Roman" w:hAnsi="Times New Roman"/>
            <w:sz w:val="20"/>
            <w:szCs w:val="20"/>
          </w:rPr>
          <w:t>http://portal.statistics.sk/showdoc.do?docid=38645</w:t>
        </w:r>
      </w:hyperlink>
      <w:r w:rsidRPr="00EF2265">
        <w:rPr>
          <w:rFonts w:ascii="Times New Roman" w:hAnsi="Times New Roman"/>
          <w:sz w:val="20"/>
          <w:szCs w:val="20"/>
        </w:rPr>
        <w:t xml:space="preserve">. </w:t>
      </w:r>
      <w:r w:rsidRPr="00EF2265">
        <w:rPr>
          <w:rFonts w:ascii="Times New Roman" w:hAnsi="Times New Roman"/>
          <w:sz w:val="20"/>
          <w:szCs w:val="20"/>
          <w:lang w:eastAsia="sk-SK"/>
        </w:rPr>
        <w:t xml:space="preserve">Vekové zloženie obyvateľstva v roku 2018 nebolo zatiaľ zverejnené, preto pre rok 2018 je použitý počet 18-ročných obyvateľov k 30. 06. 2017. </w:t>
      </w:r>
    </w:p>
    <w:p w:rsidR="00AD09B4" w:rsidRPr="00EF2265" w:rsidRDefault="00AD09B4" w:rsidP="00E86605">
      <w:pPr>
        <w:tabs>
          <w:tab w:val="left" w:pos="9356"/>
        </w:tabs>
        <w:spacing w:after="120"/>
        <w:jc w:val="left"/>
        <w:rPr>
          <w:rFonts w:ascii="Times New Roman" w:hAnsi="Times New Roman"/>
          <w:sz w:val="20"/>
          <w:szCs w:val="20"/>
          <w:lang w:eastAsia="sk-SK"/>
        </w:rPr>
      </w:pPr>
      <w:r w:rsidRPr="00EF2265">
        <w:rPr>
          <w:rFonts w:ascii="Times New Roman" w:hAnsi="Times New Roman"/>
          <w:sz w:val="20"/>
          <w:szCs w:val="20"/>
          <w:lang w:eastAsia="sk-SK"/>
        </w:rPr>
        <w:t xml:space="preserve">Počet všetkých maturantov v SR (denné aj externé štúdium), ktorí maturovali v školskom roku, predchádzajúcom aktuálnemu akademickému roku; zdroj: správy NUCEM, </w:t>
      </w:r>
      <w:hyperlink r:id="rId37" w:anchor="9/maturita-vcera-a-dnes" w:history="1">
        <w:r w:rsidRPr="00EF2265">
          <w:rPr>
            <w:rStyle w:val="Hypertextovprepojenie"/>
            <w:rFonts w:ascii="Times New Roman" w:hAnsi="Times New Roman"/>
            <w:sz w:val="20"/>
            <w:szCs w:val="20"/>
            <w:lang w:eastAsia="sk-SK"/>
          </w:rPr>
          <w:t>http://www.nucem.sk/sk/maturita#9/maturita-vcera-a-dnes</w:t>
        </w:r>
      </w:hyperlink>
      <w:r w:rsidRPr="00EF2265">
        <w:rPr>
          <w:rFonts w:ascii="Times New Roman" w:hAnsi="Times New Roman"/>
          <w:sz w:val="20"/>
          <w:szCs w:val="20"/>
          <w:lang w:eastAsia="sk-SK"/>
        </w:rPr>
        <w:t>.</w:t>
      </w:r>
    </w:p>
    <w:p w:rsidR="00AD09B4" w:rsidRPr="00EF2265" w:rsidRDefault="00AD09B4" w:rsidP="00E86605">
      <w:pPr>
        <w:tabs>
          <w:tab w:val="left" w:pos="9356"/>
        </w:tabs>
        <w:spacing w:after="120"/>
        <w:jc w:val="left"/>
        <w:rPr>
          <w:rFonts w:ascii="Times New Roman" w:hAnsi="Times New Roman"/>
          <w:sz w:val="20"/>
          <w:szCs w:val="20"/>
          <w:lang w:eastAsia="sk-SK"/>
        </w:rPr>
      </w:pPr>
      <w:r w:rsidRPr="00EF2265">
        <w:rPr>
          <w:rFonts w:ascii="Times New Roman" w:hAnsi="Times New Roman"/>
          <w:sz w:val="20"/>
          <w:szCs w:val="20"/>
          <w:lang w:eastAsia="sk-SK"/>
        </w:rPr>
        <w:t>Počet študentov STU k 31.10. aktuálneho akademického roka a počet zapísaných z novoprijatých do 1. roka bakalárskych študijných programov, ktorí maturovali v školskom roku, predchádzajúcom aktuálnemu akademickému roku; zdroj: AIS.</w:t>
      </w:r>
    </w:p>
    <w:p w:rsidR="00AD09B4" w:rsidRPr="00EF2265" w:rsidRDefault="00AD09B4" w:rsidP="00E86605">
      <w:pPr>
        <w:tabs>
          <w:tab w:val="left" w:pos="9356"/>
        </w:tabs>
        <w:spacing w:after="120"/>
        <w:jc w:val="left"/>
        <w:rPr>
          <w:rFonts w:ascii="Times New Roman" w:hAnsi="Times New Roman"/>
          <w:sz w:val="20"/>
          <w:szCs w:val="20"/>
          <w:lang w:eastAsia="sk-SK"/>
        </w:rPr>
      </w:pPr>
      <w:r w:rsidRPr="00EF2265">
        <w:rPr>
          <w:rFonts w:ascii="Times New Roman" w:hAnsi="Times New Roman"/>
          <w:sz w:val="20"/>
          <w:szCs w:val="20"/>
          <w:lang w:eastAsia="sk-SK"/>
        </w:rPr>
        <w:t xml:space="preserve">Počet študentov študujúcich na vysokých školách v SR zdroj: Štatistika CVTI SR, stav k 31.10. aktuálneho akademického roka, </w:t>
      </w:r>
      <w:hyperlink r:id="rId38" w:history="1">
        <w:r w:rsidRPr="00EF2265">
          <w:rPr>
            <w:rStyle w:val="Hypertextovprepojenie"/>
            <w:rFonts w:ascii="Times New Roman" w:hAnsi="Times New Roman"/>
            <w:sz w:val="20"/>
            <w:szCs w:val="20"/>
            <w:lang w:eastAsia="sk-SK"/>
          </w:rPr>
          <w:t>http://www.cvtisr.sk/cvti-sr-vedecka-kniznica/informacie-o-skolstve/statistiky/casove-rady.html?page_id=9724</w:t>
        </w:r>
      </w:hyperlink>
      <w:r w:rsidRPr="00EF2265">
        <w:rPr>
          <w:rFonts w:ascii="Times New Roman" w:hAnsi="Times New Roman"/>
          <w:sz w:val="20"/>
          <w:szCs w:val="20"/>
          <w:lang w:eastAsia="sk-SK"/>
        </w:rPr>
        <w:t>.</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lang w:eastAsia="sk-SK"/>
        </w:rPr>
        <w:t xml:space="preserve">Počet študentov SR študujúcich na vysokých školách v ČR k 31.12. aktuálneho akademického roka, podľa štatistiky zverejnenej Ministerstvom školství, mládeže a tělovýchovy ČR (štatistika F23 - studenti podle státního občanství): </w:t>
      </w:r>
      <w:hyperlink r:id="rId39" w:history="1">
        <w:r w:rsidRPr="00EF2265">
          <w:rPr>
            <w:rStyle w:val="Hypertextovprepojenie"/>
            <w:rFonts w:ascii="Times New Roman" w:hAnsi="Times New Roman"/>
            <w:sz w:val="20"/>
            <w:szCs w:val="20"/>
            <w:lang w:eastAsia="sk-SK"/>
          </w:rPr>
          <w:t>http://dsia.uiv.cz/vystupy/vu_vs_f2.html</w:t>
        </w:r>
      </w:hyperlink>
      <w:r w:rsidRPr="00EF2265">
        <w:rPr>
          <w:rStyle w:val="Hypertextovprepojenie"/>
          <w:rFonts w:ascii="Times New Roman" w:hAnsi="Times New Roman"/>
          <w:sz w:val="20"/>
          <w:szCs w:val="20"/>
          <w:lang w:eastAsia="sk-SK"/>
        </w:rPr>
        <w:t>.</w:t>
      </w:r>
      <w:r w:rsidRPr="00EF2265">
        <w:rPr>
          <w:rFonts w:ascii="Times New Roman" w:hAnsi="Times New Roman"/>
          <w:sz w:val="20"/>
          <w:szCs w:val="20"/>
          <w:lang w:eastAsia="sk-SK"/>
        </w:rPr>
        <w:t xml:space="preserve"> Počty k 31.12.2018 - za akad. rok 2018/2019 budú zverejnené po 20. 1. 2019</w:t>
      </w:r>
      <w:hyperlink r:id="rId40" w:history="1"/>
      <w:r w:rsidRPr="00EF2265">
        <w:rPr>
          <w:rFonts w:ascii="Times New Roman" w:hAnsi="Times New Roman"/>
          <w:sz w:val="20"/>
          <w:szCs w:val="20"/>
          <w:lang w:eastAsia="sk-SK"/>
        </w:rPr>
        <w:t xml:space="preserve">. </w:t>
      </w:r>
    </w:p>
    <w:p w:rsidR="00AD09B4" w:rsidRPr="00EF2265" w:rsidRDefault="00AD09B4" w:rsidP="00E86605">
      <w:pPr>
        <w:tabs>
          <w:tab w:val="left" w:pos="9356"/>
        </w:tabs>
        <w:jc w:val="left"/>
        <w:rPr>
          <w:rFonts w:ascii="Times New Roman" w:hAnsi="Times New Roman"/>
          <w:sz w:val="20"/>
          <w:szCs w:val="20"/>
        </w:rPr>
        <w:sectPr w:rsidR="00AD09B4" w:rsidRPr="00EF2265" w:rsidSect="00351A8A">
          <w:headerReference w:type="default" r:id="rId41"/>
          <w:pgSz w:w="16838" w:h="11906" w:orient="landscape"/>
          <w:pgMar w:top="1417" w:right="962" w:bottom="1135" w:left="851" w:header="708" w:footer="545" w:gutter="0"/>
          <w:cols w:space="708"/>
          <w:docGrid w:linePitch="326"/>
        </w:sectPr>
      </w:pPr>
    </w:p>
    <w:p w:rsidR="00AD09B4" w:rsidRPr="00EF2265" w:rsidRDefault="00AD09B4" w:rsidP="00E86605">
      <w:pPr>
        <w:pStyle w:val="Nadpis2"/>
        <w:numPr>
          <w:ilvl w:val="2"/>
          <w:numId w:val="9"/>
        </w:numPr>
        <w:tabs>
          <w:tab w:val="left" w:pos="9356"/>
        </w:tabs>
        <w:rPr>
          <w:rFonts w:ascii="Times New Roman" w:hAnsi="Times New Roman" w:cs="Times New Roman"/>
          <w:color w:val="auto"/>
          <w:sz w:val="20"/>
          <w:szCs w:val="20"/>
        </w:rPr>
      </w:pPr>
      <w:bookmarkStart w:id="83" w:name="_Toc534722884"/>
      <w:r w:rsidRPr="00EF2265">
        <w:rPr>
          <w:rFonts w:ascii="Times New Roman" w:hAnsi="Times New Roman" w:cs="Times New Roman"/>
          <w:color w:val="auto"/>
          <w:sz w:val="20"/>
          <w:szCs w:val="20"/>
        </w:rPr>
        <w:lastRenderedPageBreak/>
        <w:t>Prijímacie konanie na druhý stupeň štúdia</w:t>
      </w:r>
      <w:bookmarkEnd w:id="83"/>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Na druhý stupeň štúdia bolo pre akademický rok 2018/2019 plánované prijať celkovo </w:t>
      </w:r>
      <w:r w:rsidRPr="00EF2265">
        <w:rPr>
          <w:rFonts w:ascii="Times New Roman" w:hAnsi="Times New Roman"/>
          <w:b/>
          <w:sz w:val="20"/>
          <w:szCs w:val="20"/>
        </w:rPr>
        <w:t>2 525 </w:t>
      </w:r>
      <w:r w:rsidRPr="00EF2265">
        <w:rPr>
          <w:rFonts w:ascii="Times New Roman" w:hAnsi="Times New Roman"/>
          <w:sz w:val="20"/>
          <w:szCs w:val="20"/>
        </w:rPr>
        <w:t xml:space="preserve">uchádzačov; prihlásených bolo </w:t>
      </w:r>
      <w:r w:rsidRPr="00EF2265">
        <w:rPr>
          <w:rFonts w:ascii="Times New Roman" w:hAnsi="Times New Roman"/>
          <w:b/>
          <w:sz w:val="20"/>
          <w:szCs w:val="20"/>
        </w:rPr>
        <w:t>2 132</w:t>
      </w:r>
      <w:r w:rsidRPr="00EF2265">
        <w:rPr>
          <w:rFonts w:ascii="Times New Roman" w:hAnsi="Times New Roman"/>
          <w:sz w:val="20"/>
          <w:szCs w:val="20"/>
        </w:rPr>
        <w:t xml:space="preserve"> uchádzačov; z toho bolo prijatých </w:t>
      </w:r>
      <w:r w:rsidRPr="00EF2265">
        <w:rPr>
          <w:rFonts w:ascii="Times New Roman" w:hAnsi="Times New Roman"/>
          <w:b/>
          <w:sz w:val="20"/>
          <w:szCs w:val="20"/>
        </w:rPr>
        <w:t xml:space="preserve">1 869 </w:t>
      </w:r>
      <w:r w:rsidRPr="00EF2265">
        <w:rPr>
          <w:rFonts w:ascii="Times New Roman" w:hAnsi="Times New Roman"/>
          <w:sz w:val="20"/>
          <w:szCs w:val="20"/>
        </w:rPr>
        <w:t xml:space="preserve">uchádzačov. </w:t>
      </w:r>
      <w:r w:rsidRPr="00EF2265">
        <w:rPr>
          <w:rFonts w:ascii="Times New Roman" w:hAnsi="Times New Roman"/>
          <w:b/>
          <w:sz w:val="20"/>
          <w:szCs w:val="20"/>
        </w:rPr>
        <w:t xml:space="preserve">Celkovo sa na STU v akademickom roku 2018/2019 zapísalo na druhom stupni štúdia 1 661 študentov z prijatých uchádzačov, </w:t>
      </w:r>
      <w:r w:rsidRPr="00EF2265">
        <w:rPr>
          <w:rFonts w:ascii="Times New Roman" w:hAnsi="Times New Roman"/>
          <w:sz w:val="20"/>
          <w:szCs w:val="20"/>
        </w:rPr>
        <w:t xml:space="preserve">čo predstavuje </w:t>
      </w:r>
      <w:r w:rsidRPr="00EF2265">
        <w:rPr>
          <w:rFonts w:ascii="Times New Roman" w:hAnsi="Times New Roman"/>
          <w:b/>
          <w:sz w:val="20"/>
          <w:szCs w:val="20"/>
        </w:rPr>
        <w:t>pokles</w:t>
      </w:r>
      <w:r w:rsidRPr="00EF2265">
        <w:rPr>
          <w:rFonts w:ascii="Times New Roman" w:hAnsi="Times New Roman"/>
          <w:sz w:val="20"/>
          <w:szCs w:val="20"/>
        </w:rPr>
        <w:t xml:space="preserve"> oproti predchádzajúcemu akademickému roku </w:t>
      </w:r>
      <w:r w:rsidRPr="00EF2265">
        <w:rPr>
          <w:rFonts w:ascii="Times New Roman" w:hAnsi="Times New Roman"/>
          <w:b/>
          <w:sz w:val="20"/>
          <w:szCs w:val="20"/>
        </w:rPr>
        <w:t>o 7 %</w:t>
      </w:r>
      <w:r w:rsidRPr="00EF2265">
        <w:rPr>
          <w:rFonts w:ascii="Times New Roman" w:hAnsi="Times New Roman"/>
          <w:sz w:val="20"/>
          <w:szCs w:val="20"/>
        </w:rPr>
        <w:t xml:space="preserve">. Z celkového počtu zapísaných študentov bolo </w:t>
      </w:r>
      <w:r w:rsidRPr="00EF2265">
        <w:rPr>
          <w:rFonts w:ascii="Times New Roman" w:hAnsi="Times New Roman"/>
          <w:b/>
          <w:sz w:val="20"/>
          <w:szCs w:val="20"/>
        </w:rPr>
        <w:t>59</w:t>
      </w:r>
      <w:r w:rsidRPr="00EF2265">
        <w:rPr>
          <w:rFonts w:ascii="Times New Roman" w:hAnsi="Times New Roman"/>
          <w:sz w:val="20"/>
          <w:szCs w:val="20"/>
        </w:rPr>
        <w:t xml:space="preserve"> zahraničných študentov, čo predstavuje </w:t>
      </w:r>
      <w:r w:rsidRPr="00EF2265">
        <w:rPr>
          <w:rFonts w:ascii="Times New Roman" w:hAnsi="Times New Roman"/>
          <w:b/>
          <w:sz w:val="20"/>
          <w:szCs w:val="20"/>
        </w:rPr>
        <w:t>nárast</w:t>
      </w:r>
      <w:r w:rsidRPr="00EF2265">
        <w:rPr>
          <w:rFonts w:ascii="Times New Roman" w:hAnsi="Times New Roman"/>
          <w:sz w:val="20"/>
          <w:szCs w:val="20"/>
        </w:rPr>
        <w:t xml:space="preserve"> </w:t>
      </w:r>
      <w:r w:rsidRPr="00EF2265">
        <w:rPr>
          <w:rFonts w:ascii="Times New Roman" w:hAnsi="Times New Roman"/>
          <w:b/>
          <w:sz w:val="20"/>
          <w:szCs w:val="20"/>
        </w:rPr>
        <w:t>o 22 zahraničných študentov</w:t>
      </w:r>
      <w:r w:rsidRPr="00EF2265">
        <w:rPr>
          <w:rFonts w:ascii="Times New Roman" w:hAnsi="Times New Roman"/>
          <w:sz w:val="20"/>
          <w:szCs w:val="20"/>
        </w:rPr>
        <w:t xml:space="preserve"> oproti akademickému roku 2017/2018. Prehľad prijímacieho konania na druhý stupeň štúdia je uvedený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_Ref474777774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24</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rámci STU sa na druhý stupeň štúdia zapísalo </w:t>
      </w:r>
      <w:r w:rsidRPr="00EF2265">
        <w:rPr>
          <w:rFonts w:ascii="Times New Roman" w:hAnsi="Times New Roman"/>
          <w:b/>
          <w:sz w:val="20"/>
          <w:szCs w:val="20"/>
          <w:shd w:val="clear" w:color="auto" w:fill="FFFFFF"/>
        </w:rPr>
        <w:t xml:space="preserve">89 </w:t>
      </w:r>
      <w:r w:rsidRPr="00EF2265">
        <w:rPr>
          <w:rFonts w:ascii="Times New Roman" w:hAnsi="Times New Roman"/>
          <w:b/>
          <w:sz w:val="20"/>
          <w:szCs w:val="20"/>
        </w:rPr>
        <w:t>%</w:t>
      </w:r>
      <w:r w:rsidRPr="00EF2265">
        <w:rPr>
          <w:rFonts w:ascii="Times New Roman" w:hAnsi="Times New Roman"/>
          <w:sz w:val="20"/>
          <w:szCs w:val="20"/>
        </w:rPr>
        <w:t xml:space="preserve"> študentov z prijatých uchádzačov, oproti akademickému roku 2017/2018 bol zaznamenaný mierny pokles zapísaných študentov o </w:t>
      </w:r>
      <w:r w:rsidRPr="00EF2265">
        <w:rPr>
          <w:rFonts w:ascii="Times New Roman" w:hAnsi="Times New Roman"/>
          <w:b/>
          <w:sz w:val="20"/>
          <w:szCs w:val="20"/>
        </w:rPr>
        <w:t>1 %</w:t>
      </w:r>
      <w:r w:rsidRPr="00EF2265">
        <w:rPr>
          <w:rFonts w:ascii="Times New Roman" w:hAnsi="Times New Roman"/>
          <w:sz w:val="20"/>
          <w:szCs w:val="20"/>
        </w:rPr>
        <w:t xml:space="preserve">.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_Ref474779963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Graf č</w:t>
      </w:r>
      <w:r w:rsidR="001C349F" w:rsidRPr="00EF2265">
        <w:rPr>
          <w:rFonts w:ascii="Times New Roman" w:hAnsi="Times New Roman"/>
          <w:noProof/>
          <w:sz w:val="20"/>
          <w:szCs w:val="20"/>
        </w:rPr>
        <w:t>.</w:t>
      </w:r>
      <w:r w:rsidR="001C349F" w:rsidRPr="00EF2265">
        <w:rPr>
          <w:rFonts w:ascii="Times New Roman" w:hAnsi="Times New Roman"/>
          <w:sz w:val="20"/>
          <w:szCs w:val="20"/>
        </w:rPr>
        <w:t xml:space="preserve"> </w:t>
      </w:r>
      <w:r w:rsidR="001C349F">
        <w:rPr>
          <w:rFonts w:ascii="Times New Roman" w:hAnsi="Times New Roman"/>
          <w:noProof/>
          <w:sz w:val="20"/>
          <w:szCs w:val="20"/>
        </w:rPr>
        <w:t>12</w:t>
      </w:r>
      <w:r w:rsidRPr="00EF2265">
        <w:rPr>
          <w:rFonts w:ascii="Times New Roman" w:hAnsi="Times New Roman"/>
          <w:sz w:val="20"/>
          <w:szCs w:val="20"/>
        </w:rPr>
        <w:fldChar w:fldCharType="end"/>
      </w:r>
      <w:r w:rsidRPr="00EF2265">
        <w:rPr>
          <w:rFonts w:ascii="Times New Roman" w:hAnsi="Times New Roman"/>
          <w:sz w:val="20"/>
          <w:szCs w:val="20"/>
        </w:rPr>
        <w:t xml:space="preserve"> vyjadruje porovnanie za päť posledných akademických rokov. </w:t>
      </w:r>
    </w:p>
    <w:p w:rsidR="00AD09B4" w:rsidRPr="00EF2265" w:rsidRDefault="00AD09B4" w:rsidP="00E86605">
      <w:pPr>
        <w:tabs>
          <w:tab w:val="left" w:pos="9356"/>
        </w:tabs>
        <w:jc w:val="left"/>
        <w:rPr>
          <w:rFonts w:ascii="Times New Roman" w:hAnsi="Times New Roman"/>
          <w:sz w:val="20"/>
          <w:szCs w:val="20"/>
        </w:rPr>
      </w:pPr>
      <w:bookmarkStart w:id="84" w:name="_Ref474777774"/>
      <w:bookmarkStart w:id="85" w:name="_Toc534793963"/>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24</w:t>
      </w:r>
      <w:r w:rsidRPr="00EF2265">
        <w:rPr>
          <w:rFonts w:ascii="Times New Roman" w:hAnsi="Times New Roman"/>
          <w:sz w:val="20"/>
          <w:szCs w:val="20"/>
        </w:rPr>
        <w:fldChar w:fldCharType="end"/>
      </w:r>
      <w:bookmarkEnd w:id="84"/>
      <w:r w:rsidRPr="00EF2265">
        <w:rPr>
          <w:rFonts w:ascii="Times New Roman" w:hAnsi="Times New Roman"/>
          <w:sz w:val="20"/>
          <w:szCs w:val="20"/>
        </w:rPr>
        <w:t xml:space="preserve">: Prehľad prijímacieho konania na </w:t>
      </w:r>
      <w:r w:rsidRPr="00EF2265">
        <w:rPr>
          <w:rFonts w:ascii="Times New Roman" w:hAnsi="Times New Roman"/>
          <w:b/>
          <w:sz w:val="20"/>
          <w:szCs w:val="20"/>
        </w:rPr>
        <w:t>druhý stupeň štúdia</w:t>
      </w:r>
      <w:r w:rsidRPr="00EF2265">
        <w:rPr>
          <w:rFonts w:ascii="Times New Roman" w:hAnsi="Times New Roman"/>
          <w:sz w:val="20"/>
          <w:szCs w:val="20"/>
        </w:rPr>
        <w:t xml:space="preserve"> na akademický rok 2018/2019</w:t>
      </w:r>
      <w:bookmarkEnd w:id="85"/>
    </w:p>
    <w:tbl>
      <w:tblPr>
        <w:tblW w:w="9493" w:type="dxa"/>
        <w:tblLayout w:type="fixed"/>
        <w:tblCellMar>
          <w:left w:w="70" w:type="dxa"/>
          <w:right w:w="70" w:type="dxa"/>
        </w:tblCellMar>
        <w:tblLook w:val="04A0" w:firstRow="1" w:lastRow="0" w:firstColumn="1" w:lastColumn="0" w:noHBand="0" w:noVBand="1"/>
      </w:tblPr>
      <w:tblGrid>
        <w:gridCol w:w="960"/>
        <w:gridCol w:w="1120"/>
        <w:gridCol w:w="960"/>
        <w:gridCol w:w="960"/>
        <w:gridCol w:w="960"/>
        <w:gridCol w:w="960"/>
        <w:gridCol w:w="960"/>
        <w:gridCol w:w="960"/>
        <w:gridCol w:w="826"/>
        <w:gridCol w:w="827"/>
      </w:tblGrid>
      <w:tr w:rsidR="00AD09B4" w:rsidRPr="00EF2265" w:rsidTr="00351A8A">
        <w:trPr>
          <w:trHeight w:val="27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Fakulta</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Plánované počty (Pp)</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Prihlásení (Ph)</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Ph/Pp</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Prijatí (Pr)</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Pr/Pp</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Zapísaní (Z)</w:t>
            </w:r>
          </w:p>
        </w:tc>
        <w:tc>
          <w:tcPr>
            <w:tcW w:w="826"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Z/Pr</w:t>
            </w:r>
          </w:p>
        </w:tc>
        <w:tc>
          <w:tcPr>
            <w:tcW w:w="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Z/Pp</w:t>
            </w:r>
          </w:p>
        </w:tc>
      </w:tr>
      <w:tr w:rsidR="00AD09B4" w:rsidRPr="00EF2265" w:rsidTr="00351A8A">
        <w:trPr>
          <w:trHeight w:val="48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60"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60"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96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 toho zahraniční</w:t>
            </w:r>
          </w:p>
        </w:tc>
        <w:tc>
          <w:tcPr>
            <w:tcW w:w="826"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827"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11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480</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393</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0,82</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355</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0,74</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310</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82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0,87</w:t>
            </w:r>
          </w:p>
        </w:tc>
        <w:tc>
          <w:tcPr>
            <w:tcW w:w="82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0,65</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1120"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300</w:t>
            </w:r>
          </w:p>
        </w:tc>
        <w:tc>
          <w:tcPr>
            <w:tcW w:w="960"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191</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0,64</w:t>
            </w:r>
          </w:p>
        </w:tc>
        <w:tc>
          <w:tcPr>
            <w:tcW w:w="960"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181</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0,60</w:t>
            </w:r>
          </w:p>
        </w:tc>
        <w:tc>
          <w:tcPr>
            <w:tcW w:w="960"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168</w:t>
            </w:r>
          </w:p>
        </w:tc>
        <w:tc>
          <w:tcPr>
            <w:tcW w:w="960"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w:t>
            </w:r>
          </w:p>
        </w:tc>
        <w:tc>
          <w:tcPr>
            <w:tcW w:w="82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0,93</w:t>
            </w:r>
          </w:p>
        </w:tc>
        <w:tc>
          <w:tcPr>
            <w:tcW w:w="82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0,56</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11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400</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360</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0,90</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286</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0,72</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270</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w:t>
            </w:r>
          </w:p>
        </w:tc>
        <w:tc>
          <w:tcPr>
            <w:tcW w:w="82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0,94</w:t>
            </w:r>
          </w:p>
        </w:tc>
        <w:tc>
          <w:tcPr>
            <w:tcW w:w="82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0,68</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11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470</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363</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0,77</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298</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0,63</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229</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82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0,77</w:t>
            </w:r>
          </w:p>
        </w:tc>
        <w:tc>
          <w:tcPr>
            <w:tcW w:w="82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0,49</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11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170</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166</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147</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0,86</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82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0,93</w:t>
            </w:r>
          </w:p>
        </w:tc>
        <w:tc>
          <w:tcPr>
            <w:tcW w:w="82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0,81</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1120" w:type="dxa"/>
            <w:tcBorders>
              <w:top w:val="nil"/>
              <w:left w:val="nil"/>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460</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442</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0,96</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404</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0,88</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360</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82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0,89</w:t>
            </w:r>
          </w:p>
        </w:tc>
        <w:tc>
          <w:tcPr>
            <w:tcW w:w="82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0,78</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11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190</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189</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0,99</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173</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0,91</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162</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82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0,94</w:t>
            </w:r>
          </w:p>
        </w:tc>
        <w:tc>
          <w:tcPr>
            <w:tcW w:w="82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0,85</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11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55</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28</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25</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0,45</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82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1,00</w:t>
            </w:r>
          </w:p>
        </w:tc>
        <w:tc>
          <w:tcPr>
            <w:tcW w:w="827"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0,45</w:t>
            </w:r>
          </w:p>
        </w:tc>
      </w:tr>
      <w:tr w:rsidR="00AD09B4" w:rsidRPr="00EF2265" w:rsidTr="00351A8A">
        <w:trPr>
          <w:trHeight w:val="255"/>
        </w:trPr>
        <w:tc>
          <w:tcPr>
            <w:tcW w:w="960"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112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2 525</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2 132</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0,84</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1 869</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0,74</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1 661</w:t>
            </w:r>
          </w:p>
        </w:tc>
        <w:tc>
          <w:tcPr>
            <w:tcW w:w="9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59</w:t>
            </w:r>
          </w:p>
        </w:tc>
        <w:tc>
          <w:tcPr>
            <w:tcW w:w="826"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0,89</w:t>
            </w:r>
          </w:p>
        </w:tc>
        <w:tc>
          <w:tcPr>
            <w:tcW w:w="82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0,66</w:t>
            </w:r>
          </w:p>
        </w:tc>
      </w:tr>
    </w:tbl>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 xml:space="preserve">Vysvetlivky: </w:t>
      </w:r>
    </w:p>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Pp - plánované počty; Ph -prihlásení uchádzači; Pr - prijatí uchádzači; Z – zapísaní</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86" w:name="_Ref474779963"/>
      <w:bookmarkStart w:id="87" w:name="_Toc534724799"/>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12</w:t>
      </w:r>
      <w:r w:rsidRPr="00EF2265">
        <w:rPr>
          <w:rFonts w:ascii="Times New Roman" w:hAnsi="Times New Roman"/>
          <w:sz w:val="20"/>
          <w:szCs w:val="20"/>
        </w:rPr>
        <w:fldChar w:fldCharType="end"/>
      </w:r>
      <w:bookmarkEnd w:id="86"/>
      <w:r w:rsidRPr="00EF2265">
        <w:rPr>
          <w:rFonts w:ascii="Times New Roman" w:hAnsi="Times New Roman"/>
          <w:sz w:val="20"/>
          <w:szCs w:val="20"/>
        </w:rPr>
        <w:t>: Pomer zapísaných a prijatých uchádzačov druhého stupňa štúdia na STU za posledných päť rokov</w:t>
      </w:r>
      <w:bookmarkEnd w:id="87"/>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2CDEC15D" wp14:editId="78ACCD12">
            <wp:extent cx="4977442" cy="27432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D09B4" w:rsidRPr="00EF2265" w:rsidRDefault="00AD09B4" w:rsidP="00E86605">
      <w:pPr>
        <w:tabs>
          <w:tab w:val="left" w:pos="9356"/>
        </w:tabs>
        <w:jc w:val="left"/>
        <w:rPr>
          <w:rFonts w:ascii="Times New Roman" w:hAnsi="Times New Roman"/>
          <w:sz w:val="20"/>
          <w:szCs w:val="20"/>
          <w:shd w:val="clear" w:color="auto" w:fill="FFFFFF"/>
        </w:rPr>
      </w:pPr>
      <w:r w:rsidRPr="00EF2265">
        <w:rPr>
          <w:rFonts w:ascii="Times New Roman" w:hAnsi="Times New Roman"/>
          <w:sz w:val="20"/>
          <w:szCs w:val="20"/>
        </w:rPr>
        <w:t xml:space="preserve">Počet uchádzačov o štúdium na druhom stupni v rámci celej STU oproti predchádzajúcemu akademickému roku </w:t>
      </w:r>
      <w:r w:rsidRPr="00EF2265">
        <w:rPr>
          <w:rFonts w:ascii="Times New Roman" w:hAnsi="Times New Roman"/>
          <w:b/>
          <w:sz w:val="20"/>
          <w:szCs w:val="20"/>
          <w:shd w:val="clear" w:color="auto" w:fill="FFFFFF"/>
        </w:rPr>
        <w:t>klesol o 4,3 %</w:t>
      </w:r>
      <w:r w:rsidRPr="00EF2265">
        <w:rPr>
          <w:rFonts w:ascii="Times New Roman" w:hAnsi="Times New Roman"/>
          <w:sz w:val="20"/>
          <w:szCs w:val="20"/>
          <w:shd w:val="clear" w:color="auto" w:fill="FFFFFF"/>
        </w:rPr>
        <w:t>. Jedným z dôvodov poklesu uchádzačov na druhom stupni štúdia je aj fakt, že pomerne veľké percento študentov STU (</w:t>
      </w:r>
      <w:r w:rsidRPr="00EF2265">
        <w:rPr>
          <w:rFonts w:ascii="Times New Roman" w:hAnsi="Times New Roman"/>
          <w:b/>
          <w:sz w:val="20"/>
          <w:szCs w:val="20"/>
          <w:shd w:val="clear" w:color="auto" w:fill="FFFFFF"/>
        </w:rPr>
        <w:t>43 %</w:t>
      </w:r>
      <w:r w:rsidRPr="00EF2265">
        <w:rPr>
          <w:rFonts w:ascii="Times New Roman" w:hAnsi="Times New Roman"/>
          <w:sz w:val="20"/>
          <w:szCs w:val="20"/>
          <w:shd w:val="clear" w:color="auto" w:fill="FFFFFF"/>
        </w:rPr>
        <w:t xml:space="preserve">) v poslednom roku štúdia na prvom stupni, ktorí sú potenciálnymi domácimi uchádzačmi o druhý stupeň štúdia, </w:t>
      </w:r>
      <w:r w:rsidRPr="00EF2265">
        <w:rPr>
          <w:rFonts w:ascii="Times New Roman" w:hAnsi="Times New Roman"/>
          <w:b/>
          <w:sz w:val="20"/>
          <w:szCs w:val="20"/>
          <w:shd w:val="clear" w:color="auto" w:fill="FFFFFF"/>
        </w:rPr>
        <w:t>„zostáva“</w:t>
      </w:r>
      <w:r w:rsidRPr="00EF2265">
        <w:rPr>
          <w:rFonts w:ascii="Times New Roman" w:hAnsi="Times New Roman"/>
          <w:sz w:val="20"/>
          <w:szCs w:val="20"/>
          <w:shd w:val="clear" w:color="auto" w:fill="FFFFFF"/>
        </w:rPr>
        <w:t xml:space="preserve"> v štúdiu a štúdium neskončia v štandardnej dĺžke štúdia, resp. štúdium skončia neúspešne (</w:t>
      </w:r>
      <w:r w:rsidRPr="00EF2265">
        <w:rPr>
          <w:rFonts w:ascii="Times New Roman" w:hAnsi="Times New Roman"/>
          <w:sz w:val="20"/>
          <w:szCs w:val="20"/>
          <w:shd w:val="clear" w:color="auto" w:fill="FFFFFF"/>
        </w:rPr>
        <w:fldChar w:fldCharType="begin"/>
      </w:r>
      <w:r w:rsidRPr="00EF2265">
        <w:rPr>
          <w:rFonts w:ascii="Times New Roman" w:hAnsi="Times New Roman"/>
          <w:sz w:val="20"/>
          <w:szCs w:val="20"/>
          <w:shd w:val="clear" w:color="auto" w:fill="FFFFFF"/>
        </w:rPr>
        <w:instrText xml:space="preserve"> REF _Ref474777795 \h  \* MERGEFORMAT </w:instrText>
      </w:r>
      <w:r w:rsidRPr="00EF2265">
        <w:rPr>
          <w:rFonts w:ascii="Times New Roman" w:hAnsi="Times New Roman"/>
          <w:sz w:val="20"/>
          <w:szCs w:val="20"/>
          <w:shd w:val="clear" w:color="auto" w:fill="FFFFFF"/>
        </w:rPr>
      </w:r>
      <w:r w:rsidRPr="00EF2265">
        <w:rPr>
          <w:rFonts w:ascii="Times New Roman" w:hAnsi="Times New Roman"/>
          <w:sz w:val="20"/>
          <w:szCs w:val="20"/>
          <w:shd w:val="clear" w:color="auto" w:fill="FFFFFF"/>
        </w:rPr>
        <w:fldChar w:fldCharType="separate"/>
      </w:r>
      <w:r w:rsidR="001C349F" w:rsidRPr="00EF2265">
        <w:rPr>
          <w:rFonts w:ascii="Times New Roman" w:hAnsi="Times New Roman"/>
          <w:sz w:val="20"/>
          <w:szCs w:val="20"/>
        </w:rPr>
        <w:t xml:space="preserve">Tab. č. </w:t>
      </w:r>
      <w:r w:rsidR="001C349F">
        <w:rPr>
          <w:rFonts w:ascii="Times New Roman" w:hAnsi="Times New Roman"/>
          <w:noProof/>
          <w:sz w:val="20"/>
          <w:szCs w:val="20"/>
        </w:rPr>
        <w:t>25</w:t>
      </w:r>
      <w:r w:rsidRPr="00EF2265">
        <w:rPr>
          <w:rFonts w:ascii="Times New Roman" w:hAnsi="Times New Roman"/>
          <w:sz w:val="20"/>
          <w:szCs w:val="20"/>
          <w:shd w:val="clear" w:color="auto" w:fill="FFFFFF"/>
        </w:rPr>
        <w:fldChar w:fldCharType="end"/>
      </w:r>
      <w:r w:rsidRPr="00EF2265">
        <w:rPr>
          <w:rFonts w:ascii="Times New Roman" w:hAnsi="Times New Roman"/>
          <w:sz w:val="20"/>
          <w:szCs w:val="20"/>
          <w:shd w:val="clear" w:color="auto" w:fill="FFFFFF"/>
        </w:rPr>
        <w:t xml:space="preserve">). </w:t>
      </w:r>
      <w:r w:rsidRPr="00EF2265">
        <w:rPr>
          <w:rFonts w:ascii="Times New Roman" w:hAnsi="Times New Roman"/>
          <w:sz w:val="20"/>
          <w:szCs w:val="20"/>
          <w:shd w:val="clear" w:color="auto" w:fill="FFFFFF"/>
        </w:rPr>
        <w:br w:type="page"/>
      </w:r>
    </w:p>
    <w:p w:rsidR="00AD09B4" w:rsidRPr="00EF2265" w:rsidRDefault="00AD09B4" w:rsidP="00E86605">
      <w:pPr>
        <w:tabs>
          <w:tab w:val="left" w:pos="9356"/>
        </w:tabs>
        <w:jc w:val="left"/>
        <w:rPr>
          <w:rFonts w:ascii="Times New Roman" w:hAnsi="Times New Roman"/>
          <w:sz w:val="20"/>
          <w:szCs w:val="20"/>
          <w:shd w:val="clear" w:color="auto" w:fill="FFFFFF"/>
        </w:rPr>
      </w:pPr>
    </w:p>
    <w:p w:rsidR="00AD09B4" w:rsidRPr="00EF2265" w:rsidRDefault="00AD09B4" w:rsidP="00E86605">
      <w:pPr>
        <w:tabs>
          <w:tab w:val="left" w:pos="9356"/>
        </w:tabs>
        <w:jc w:val="left"/>
        <w:rPr>
          <w:rFonts w:ascii="Times New Roman" w:hAnsi="Times New Roman"/>
          <w:sz w:val="20"/>
          <w:szCs w:val="20"/>
        </w:rPr>
      </w:pPr>
      <w:bookmarkStart w:id="88" w:name="_Ref474777795"/>
      <w:bookmarkStart w:id="89" w:name="_Toc534793964"/>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25</w:t>
      </w:r>
      <w:r w:rsidRPr="00EF2265">
        <w:rPr>
          <w:rFonts w:ascii="Times New Roman" w:hAnsi="Times New Roman"/>
          <w:sz w:val="20"/>
          <w:szCs w:val="20"/>
        </w:rPr>
        <w:fldChar w:fldCharType="end"/>
      </w:r>
      <w:bookmarkEnd w:id="88"/>
      <w:r w:rsidRPr="00EF2265">
        <w:rPr>
          <w:rFonts w:ascii="Times New Roman" w:hAnsi="Times New Roman"/>
          <w:sz w:val="20"/>
          <w:szCs w:val="20"/>
        </w:rPr>
        <w:t xml:space="preserve">: Prehľad počtu študentov v poslednom roku </w:t>
      </w:r>
      <w:r w:rsidRPr="00EF2265">
        <w:rPr>
          <w:rFonts w:ascii="Times New Roman" w:hAnsi="Times New Roman"/>
          <w:b/>
          <w:sz w:val="20"/>
          <w:szCs w:val="20"/>
        </w:rPr>
        <w:t>prvého stupňa štúdia</w:t>
      </w:r>
      <w:r w:rsidRPr="00EF2265">
        <w:rPr>
          <w:rFonts w:ascii="Times New Roman" w:hAnsi="Times New Roman"/>
          <w:sz w:val="20"/>
          <w:szCs w:val="20"/>
        </w:rPr>
        <w:t>, ktorí štúdium v danom roku neskončili</w:t>
      </w:r>
      <w:bookmarkEnd w:id="89"/>
    </w:p>
    <w:tbl>
      <w:tblPr>
        <w:tblW w:w="8304" w:type="dxa"/>
        <w:tblInd w:w="55" w:type="dxa"/>
        <w:tblLayout w:type="fixed"/>
        <w:tblCellMar>
          <w:left w:w="70" w:type="dxa"/>
          <w:right w:w="70" w:type="dxa"/>
        </w:tblCellMar>
        <w:tblLook w:val="04A0" w:firstRow="1" w:lastRow="0" w:firstColumn="1" w:lastColumn="0" w:noHBand="0" w:noVBand="1"/>
      </w:tblPr>
      <w:tblGrid>
        <w:gridCol w:w="1358"/>
        <w:gridCol w:w="2724"/>
        <w:gridCol w:w="2725"/>
        <w:gridCol w:w="1497"/>
      </w:tblGrid>
      <w:tr w:rsidR="00AD09B4" w:rsidRPr="00EF2265" w:rsidTr="00351A8A">
        <w:trPr>
          <w:trHeight w:val="870"/>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Akad. rok</w:t>
            </w:r>
          </w:p>
        </w:tc>
        <w:tc>
          <w:tcPr>
            <w:tcW w:w="2724"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Počet študentov</w:t>
            </w:r>
          </w:p>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v poslednom roku štúdia</w:t>
            </w:r>
          </w:p>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k 31. 10.</w:t>
            </w:r>
          </w:p>
        </w:tc>
        <w:tc>
          <w:tcPr>
            <w:tcW w:w="2725"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Počet študentov, ktorí neskončili štúdium alebo skončili neúspešne k 31. 8.</w:t>
            </w:r>
          </w:p>
        </w:tc>
        <w:tc>
          <w:tcPr>
            <w:tcW w:w="149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w:t>
            </w:r>
          </w:p>
        </w:tc>
      </w:tr>
      <w:tr w:rsidR="00AD09B4" w:rsidRPr="00EF2265" w:rsidTr="00351A8A">
        <w:trPr>
          <w:trHeight w:val="255"/>
        </w:trPr>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2010/2011</w:t>
            </w:r>
          </w:p>
        </w:tc>
        <w:tc>
          <w:tcPr>
            <w:tcW w:w="272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2 981</w:t>
            </w:r>
          </w:p>
        </w:tc>
        <w:tc>
          <w:tcPr>
            <w:tcW w:w="272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842</w:t>
            </w:r>
          </w:p>
        </w:tc>
        <w:tc>
          <w:tcPr>
            <w:tcW w:w="149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28,2</w:t>
            </w:r>
          </w:p>
        </w:tc>
      </w:tr>
      <w:tr w:rsidR="00AD09B4" w:rsidRPr="00EF2265" w:rsidTr="00351A8A">
        <w:trPr>
          <w:trHeight w:val="255"/>
        </w:trPr>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2011/2012</w:t>
            </w:r>
          </w:p>
        </w:tc>
        <w:tc>
          <w:tcPr>
            <w:tcW w:w="272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3 070</w:t>
            </w:r>
          </w:p>
        </w:tc>
        <w:tc>
          <w:tcPr>
            <w:tcW w:w="272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925</w:t>
            </w:r>
          </w:p>
        </w:tc>
        <w:tc>
          <w:tcPr>
            <w:tcW w:w="149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30,1</w:t>
            </w:r>
          </w:p>
        </w:tc>
      </w:tr>
      <w:tr w:rsidR="00AD09B4" w:rsidRPr="00EF2265" w:rsidTr="00351A8A">
        <w:trPr>
          <w:trHeight w:val="255"/>
        </w:trPr>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2012/2013</w:t>
            </w:r>
          </w:p>
        </w:tc>
        <w:tc>
          <w:tcPr>
            <w:tcW w:w="272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2 937</w:t>
            </w:r>
          </w:p>
        </w:tc>
        <w:tc>
          <w:tcPr>
            <w:tcW w:w="272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914</w:t>
            </w:r>
          </w:p>
        </w:tc>
        <w:tc>
          <w:tcPr>
            <w:tcW w:w="1497"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31,1</w:t>
            </w:r>
          </w:p>
        </w:tc>
      </w:tr>
      <w:tr w:rsidR="00AD09B4" w:rsidRPr="00EF2265" w:rsidTr="00351A8A">
        <w:trPr>
          <w:trHeight w:val="255"/>
        </w:trPr>
        <w:tc>
          <w:tcPr>
            <w:tcW w:w="1358" w:type="dxa"/>
            <w:tcBorders>
              <w:top w:val="nil"/>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2013/2014</w:t>
            </w:r>
          </w:p>
        </w:tc>
        <w:tc>
          <w:tcPr>
            <w:tcW w:w="2724"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2 913</w:t>
            </w:r>
          </w:p>
        </w:tc>
        <w:tc>
          <w:tcPr>
            <w:tcW w:w="2725"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974</w:t>
            </w:r>
          </w:p>
        </w:tc>
        <w:tc>
          <w:tcPr>
            <w:tcW w:w="1497" w:type="dxa"/>
            <w:tcBorders>
              <w:top w:val="nil"/>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33,4</w:t>
            </w:r>
          </w:p>
        </w:tc>
      </w:tr>
      <w:tr w:rsidR="00AD09B4" w:rsidRPr="00EF2265" w:rsidTr="00351A8A">
        <w:trPr>
          <w:trHeight w:val="255"/>
        </w:trPr>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2014/2015</w:t>
            </w:r>
          </w:p>
        </w:tc>
        <w:tc>
          <w:tcPr>
            <w:tcW w:w="2724"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3 106</w:t>
            </w:r>
          </w:p>
        </w:tc>
        <w:tc>
          <w:tcPr>
            <w:tcW w:w="2725"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1 094</w:t>
            </w:r>
          </w:p>
        </w:tc>
        <w:tc>
          <w:tcPr>
            <w:tcW w:w="1497"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35,2</w:t>
            </w:r>
          </w:p>
        </w:tc>
      </w:tr>
      <w:tr w:rsidR="00AD09B4" w:rsidRPr="00EF2265" w:rsidTr="00351A8A">
        <w:trPr>
          <w:trHeight w:val="255"/>
        </w:trPr>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2015/2016</w:t>
            </w:r>
          </w:p>
        </w:tc>
        <w:tc>
          <w:tcPr>
            <w:tcW w:w="2724"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2 832</w:t>
            </w:r>
          </w:p>
        </w:tc>
        <w:tc>
          <w:tcPr>
            <w:tcW w:w="2725"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957</w:t>
            </w:r>
          </w:p>
        </w:tc>
        <w:tc>
          <w:tcPr>
            <w:tcW w:w="1497"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33,8</w:t>
            </w:r>
          </w:p>
        </w:tc>
      </w:tr>
      <w:tr w:rsidR="00AD09B4" w:rsidRPr="00EF2265" w:rsidTr="00351A8A">
        <w:trPr>
          <w:trHeight w:val="255"/>
        </w:trPr>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2016/2017</w:t>
            </w:r>
          </w:p>
        </w:tc>
        <w:tc>
          <w:tcPr>
            <w:tcW w:w="2724"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2 673</w:t>
            </w:r>
          </w:p>
        </w:tc>
        <w:tc>
          <w:tcPr>
            <w:tcW w:w="2725"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1 052</w:t>
            </w:r>
          </w:p>
        </w:tc>
        <w:tc>
          <w:tcPr>
            <w:tcW w:w="1497"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39,4</w:t>
            </w:r>
          </w:p>
        </w:tc>
      </w:tr>
      <w:tr w:rsidR="00AD09B4" w:rsidRPr="00EF2265" w:rsidTr="00351A8A">
        <w:trPr>
          <w:trHeight w:val="255"/>
        </w:trPr>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2017/2018</w:t>
            </w:r>
          </w:p>
        </w:tc>
        <w:tc>
          <w:tcPr>
            <w:tcW w:w="2724"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2 481</w:t>
            </w:r>
          </w:p>
        </w:tc>
        <w:tc>
          <w:tcPr>
            <w:tcW w:w="2725"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1 068</w:t>
            </w:r>
          </w:p>
        </w:tc>
        <w:tc>
          <w:tcPr>
            <w:tcW w:w="1497"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43,0</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shd w:val="clear" w:color="auto" w:fill="FFFFFF"/>
        </w:rPr>
      </w:pPr>
      <w:r w:rsidRPr="00EF2265">
        <w:rPr>
          <w:rFonts w:ascii="Times New Roman" w:hAnsi="Times New Roman"/>
          <w:sz w:val="20"/>
          <w:szCs w:val="20"/>
        </w:rPr>
        <w:t xml:space="preserve">Na druhej strane v akademickom roku 2018/2019 bol zaznamenaný </w:t>
      </w:r>
      <w:r w:rsidRPr="00EF2265">
        <w:rPr>
          <w:rFonts w:ascii="Times New Roman" w:hAnsi="Times New Roman"/>
          <w:b/>
          <w:sz w:val="20"/>
          <w:szCs w:val="20"/>
        </w:rPr>
        <w:t>nárast</w:t>
      </w:r>
      <w:r w:rsidRPr="00EF2265">
        <w:rPr>
          <w:rFonts w:ascii="Times New Roman" w:hAnsi="Times New Roman"/>
          <w:sz w:val="20"/>
          <w:szCs w:val="20"/>
        </w:rPr>
        <w:t xml:space="preserve"> počtu „</w:t>
      </w:r>
      <w:r w:rsidRPr="00EF2265">
        <w:rPr>
          <w:rFonts w:ascii="Times New Roman" w:hAnsi="Times New Roman"/>
          <w:b/>
          <w:sz w:val="20"/>
          <w:szCs w:val="20"/>
        </w:rPr>
        <w:t>cudzích</w:t>
      </w:r>
      <w:r w:rsidRPr="00EF2265">
        <w:rPr>
          <w:rFonts w:ascii="Times New Roman" w:hAnsi="Times New Roman"/>
          <w:sz w:val="20"/>
          <w:szCs w:val="20"/>
        </w:rPr>
        <w:t>“ absolventov uchádzajúcich sa o druhý stupeň štúdia na súčastiach STU oproti akademickému roku 2017/2018 o </w:t>
      </w:r>
      <w:r w:rsidRPr="00EF2265">
        <w:rPr>
          <w:rFonts w:ascii="Times New Roman" w:hAnsi="Times New Roman"/>
          <w:b/>
          <w:sz w:val="20"/>
          <w:szCs w:val="20"/>
        </w:rPr>
        <w:t xml:space="preserve">56,4 %, </w:t>
      </w:r>
      <w:r w:rsidRPr="00EF2265">
        <w:rPr>
          <w:rFonts w:ascii="Times New Roman" w:hAnsi="Times New Roman"/>
          <w:sz w:val="20"/>
          <w:szCs w:val="20"/>
        </w:rPr>
        <w:t xml:space="preserve">čím sa čiastočne kompenzoval pokles domácich uchádzačov (študentov STU) z už uvedených dôvodov. Štruktúra uchádzačov o štúdium vzhľadom na absolvovanú vysokú školu za posledných päť rokov je uvedená v </w:t>
      </w:r>
      <w:r w:rsidRPr="00EF2265">
        <w:rPr>
          <w:rFonts w:ascii="Times New Roman" w:hAnsi="Times New Roman"/>
          <w:sz w:val="20"/>
          <w:szCs w:val="20"/>
          <w:shd w:val="clear" w:color="auto" w:fill="FFFFFF"/>
        </w:rPr>
        <w:fldChar w:fldCharType="begin"/>
      </w:r>
      <w:r w:rsidRPr="00EF2265">
        <w:rPr>
          <w:rFonts w:ascii="Times New Roman" w:hAnsi="Times New Roman"/>
          <w:sz w:val="20"/>
          <w:szCs w:val="20"/>
        </w:rPr>
        <w:instrText xml:space="preserve"> REF _Ref474777813 \h </w:instrText>
      </w:r>
      <w:r w:rsidRPr="00EF2265">
        <w:rPr>
          <w:rFonts w:ascii="Times New Roman" w:hAnsi="Times New Roman"/>
          <w:sz w:val="20"/>
          <w:szCs w:val="20"/>
          <w:shd w:val="clear" w:color="auto" w:fill="FFFFFF"/>
        </w:rPr>
        <w:instrText xml:space="preserve"> \* MERGEFORMAT </w:instrText>
      </w:r>
      <w:r w:rsidRPr="00EF2265">
        <w:rPr>
          <w:rFonts w:ascii="Times New Roman" w:hAnsi="Times New Roman"/>
          <w:sz w:val="20"/>
          <w:szCs w:val="20"/>
          <w:shd w:val="clear" w:color="auto" w:fill="FFFFFF"/>
        </w:rPr>
      </w:r>
      <w:r w:rsidRPr="00EF2265">
        <w:rPr>
          <w:rFonts w:ascii="Times New Roman" w:hAnsi="Times New Roman"/>
          <w:sz w:val="20"/>
          <w:szCs w:val="20"/>
          <w:shd w:val="clear" w:color="auto" w:fill="FFFFFF"/>
        </w:rPr>
        <w:fldChar w:fldCharType="separate"/>
      </w:r>
      <w:r w:rsidR="001C349F" w:rsidRPr="00EF2265">
        <w:rPr>
          <w:rFonts w:ascii="Times New Roman" w:eastAsia="Times New Roman" w:hAnsi="Times New Roman"/>
          <w:sz w:val="20"/>
          <w:szCs w:val="20"/>
          <w:lang w:eastAsia="sk-SK"/>
        </w:rPr>
        <w:t xml:space="preserve">Tab. č. </w:t>
      </w:r>
      <w:r w:rsidR="001C349F">
        <w:rPr>
          <w:rFonts w:ascii="Times New Roman" w:hAnsi="Times New Roman"/>
          <w:sz w:val="20"/>
          <w:szCs w:val="20"/>
        </w:rPr>
        <w:t>26</w:t>
      </w:r>
      <w:r w:rsidRPr="00EF2265">
        <w:rPr>
          <w:rFonts w:ascii="Times New Roman" w:hAnsi="Times New Roman"/>
          <w:sz w:val="20"/>
          <w:szCs w:val="20"/>
          <w:shd w:val="clear" w:color="auto" w:fill="FFFFFF"/>
        </w:rPr>
        <w:fldChar w:fldCharType="end"/>
      </w:r>
      <w:r w:rsidRPr="00EF2265">
        <w:rPr>
          <w:rFonts w:ascii="Times New Roman" w:hAnsi="Times New Roman"/>
          <w:sz w:val="20"/>
          <w:szCs w:val="20"/>
          <w:shd w:val="clear" w:color="auto" w:fill="FFFFFF"/>
        </w:rPr>
        <w:t xml:space="preserve">. </w:t>
      </w:r>
    </w:p>
    <w:p w:rsidR="00AD09B4" w:rsidRPr="00EF2265" w:rsidRDefault="00AD09B4" w:rsidP="00E86605">
      <w:pPr>
        <w:tabs>
          <w:tab w:val="left" w:pos="9356"/>
        </w:tabs>
        <w:jc w:val="left"/>
        <w:rPr>
          <w:rFonts w:ascii="Times New Roman" w:hAnsi="Times New Roman"/>
          <w:sz w:val="20"/>
          <w:szCs w:val="20"/>
          <w:shd w:val="clear" w:color="auto" w:fill="FFFFFF"/>
        </w:rPr>
      </w:pPr>
    </w:p>
    <w:p w:rsidR="00AD09B4" w:rsidRPr="00EF2265" w:rsidRDefault="00AD09B4" w:rsidP="00E86605">
      <w:pPr>
        <w:tabs>
          <w:tab w:val="left" w:pos="9356"/>
        </w:tabs>
        <w:jc w:val="left"/>
        <w:rPr>
          <w:rFonts w:ascii="Times New Roman" w:hAnsi="Times New Roman"/>
          <w:sz w:val="20"/>
          <w:szCs w:val="20"/>
          <w:shd w:val="clear" w:color="auto" w:fill="FFFFFF"/>
        </w:rPr>
      </w:pPr>
    </w:p>
    <w:p w:rsidR="00AD09B4" w:rsidRPr="00EF2265" w:rsidRDefault="00AD09B4" w:rsidP="00E86605">
      <w:pPr>
        <w:tabs>
          <w:tab w:val="left" w:pos="9356"/>
        </w:tabs>
        <w:jc w:val="left"/>
        <w:rPr>
          <w:rFonts w:ascii="Times New Roman" w:eastAsia="Times New Roman" w:hAnsi="Times New Roman"/>
          <w:sz w:val="20"/>
          <w:szCs w:val="20"/>
          <w:lang w:eastAsia="sk-SK"/>
        </w:rPr>
      </w:pPr>
      <w:bookmarkStart w:id="90" w:name="_Ref474777813"/>
      <w:bookmarkStart w:id="91" w:name="_Toc534793965"/>
      <w:r w:rsidRPr="00EF2265">
        <w:rPr>
          <w:rFonts w:ascii="Times New Roman" w:eastAsia="Times New Roman" w:hAnsi="Times New Roman"/>
          <w:sz w:val="20"/>
          <w:szCs w:val="20"/>
          <w:lang w:eastAsia="sk-SK"/>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26</w:t>
      </w:r>
      <w:r w:rsidRPr="00EF2265">
        <w:rPr>
          <w:rFonts w:ascii="Times New Roman" w:hAnsi="Times New Roman"/>
          <w:sz w:val="20"/>
          <w:szCs w:val="20"/>
        </w:rPr>
        <w:fldChar w:fldCharType="end"/>
      </w:r>
      <w:bookmarkEnd w:id="90"/>
      <w:r w:rsidRPr="00EF2265">
        <w:rPr>
          <w:rFonts w:ascii="Times New Roman" w:eastAsia="Times New Roman" w:hAnsi="Times New Roman"/>
          <w:sz w:val="20"/>
          <w:szCs w:val="20"/>
          <w:lang w:eastAsia="sk-SK"/>
        </w:rPr>
        <w:t xml:space="preserve">: Prijímacie konanie na </w:t>
      </w:r>
      <w:r w:rsidRPr="00EF2265">
        <w:rPr>
          <w:rFonts w:ascii="Times New Roman" w:eastAsia="Times New Roman" w:hAnsi="Times New Roman"/>
          <w:b/>
          <w:sz w:val="20"/>
          <w:szCs w:val="20"/>
          <w:lang w:eastAsia="sk-SK"/>
        </w:rPr>
        <w:t>druhý stupeň štúdia</w:t>
      </w:r>
      <w:r w:rsidRPr="00EF2265">
        <w:rPr>
          <w:rFonts w:ascii="Times New Roman" w:eastAsia="Times New Roman" w:hAnsi="Times New Roman"/>
          <w:sz w:val="20"/>
          <w:szCs w:val="20"/>
          <w:lang w:eastAsia="sk-SK"/>
        </w:rPr>
        <w:t xml:space="preserve"> - uchádzači z iných VŠ</w:t>
      </w:r>
      <w:bookmarkEnd w:id="91"/>
    </w:p>
    <w:tbl>
      <w:tblPr>
        <w:tblW w:w="9513" w:type="dxa"/>
        <w:tblInd w:w="55" w:type="dxa"/>
        <w:tblLayout w:type="fixed"/>
        <w:tblCellMar>
          <w:left w:w="70" w:type="dxa"/>
          <w:right w:w="70" w:type="dxa"/>
        </w:tblCellMar>
        <w:tblLook w:val="04A0" w:firstRow="1" w:lastRow="0" w:firstColumn="1" w:lastColumn="0" w:noHBand="0" w:noVBand="1"/>
      </w:tblPr>
      <w:tblGrid>
        <w:gridCol w:w="1291"/>
        <w:gridCol w:w="1134"/>
        <w:gridCol w:w="1768"/>
        <w:gridCol w:w="1330"/>
        <w:gridCol w:w="1330"/>
        <w:gridCol w:w="1330"/>
        <w:gridCol w:w="1330"/>
      </w:tblGrid>
      <w:tr w:rsidR="00AD09B4" w:rsidRPr="00EF2265" w:rsidTr="00351A8A">
        <w:trPr>
          <w:trHeight w:val="615"/>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Akad. rok</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Prihlásení</w:t>
            </w:r>
          </w:p>
        </w:tc>
        <w:tc>
          <w:tcPr>
            <w:tcW w:w="1768" w:type="dxa"/>
            <w:tcBorders>
              <w:top w:val="single" w:sz="4" w:space="0" w:color="auto"/>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Z toho prihlásení z mimo STU</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Prijatí</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Zapísaní</w:t>
            </w:r>
          </w:p>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z STU</w:t>
            </w:r>
          </w:p>
        </w:tc>
        <w:tc>
          <w:tcPr>
            <w:tcW w:w="1330" w:type="dxa"/>
            <w:tcBorders>
              <w:top w:val="single" w:sz="4" w:space="0" w:color="auto"/>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Zapísaní</w:t>
            </w:r>
          </w:p>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z iných VŠ</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Spolu zapísaní</w:t>
            </w:r>
          </w:p>
        </w:tc>
      </w:tr>
      <w:tr w:rsidR="00AD09B4" w:rsidRPr="00EF2265" w:rsidTr="00351A8A">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2010/2011</w:t>
            </w:r>
          </w:p>
        </w:tc>
        <w:tc>
          <w:tcPr>
            <w:tcW w:w="1134"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3 882</w:t>
            </w:r>
          </w:p>
        </w:tc>
        <w:tc>
          <w:tcPr>
            <w:tcW w:w="1768"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739</w:t>
            </w:r>
          </w:p>
        </w:tc>
        <w:tc>
          <w:tcPr>
            <w:tcW w:w="133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3 085</w:t>
            </w:r>
          </w:p>
        </w:tc>
        <w:tc>
          <w:tcPr>
            <w:tcW w:w="133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2 426</w:t>
            </w:r>
          </w:p>
        </w:tc>
        <w:tc>
          <w:tcPr>
            <w:tcW w:w="1330"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394</w:t>
            </w:r>
          </w:p>
        </w:tc>
        <w:tc>
          <w:tcPr>
            <w:tcW w:w="1330"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2 820</w:t>
            </w:r>
          </w:p>
        </w:tc>
      </w:tr>
      <w:tr w:rsidR="00AD09B4" w:rsidRPr="00EF2265" w:rsidTr="00351A8A">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2011/2012</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3 179</w:t>
            </w:r>
          </w:p>
        </w:tc>
        <w:tc>
          <w:tcPr>
            <w:tcW w:w="1768"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542</w:t>
            </w:r>
          </w:p>
        </w:tc>
        <w:tc>
          <w:tcPr>
            <w:tcW w:w="13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2 696</w:t>
            </w:r>
          </w:p>
        </w:tc>
        <w:tc>
          <w:tcPr>
            <w:tcW w:w="13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2 098</w:t>
            </w:r>
          </w:p>
        </w:tc>
        <w:tc>
          <w:tcPr>
            <w:tcW w:w="133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336</w:t>
            </w:r>
          </w:p>
        </w:tc>
        <w:tc>
          <w:tcPr>
            <w:tcW w:w="13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2 434</w:t>
            </w:r>
          </w:p>
        </w:tc>
      </w:tr>
      <w:tr w:rsidR="00AD09B4" w:rsidRPr="00EF2265" w:rsidTr="00351A8A">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2012/2013</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2 852</w:t>
            </w:r>
          </w:p>
        </w:tc>
        <w:tc>
          <w:tcPr>
            <w:tcW w:w="1768"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482</w:t>
            </w:r>
          </w:p>
        </w:tc>
        <w:tc>
          <w:tcPr>
            <w:tcW w:w="13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2 452</w:t>
            </w:r>
          </w:p>
        </w:tc>
        <w:tc>
          <w:tcPr>
            <w:tcW w:w="13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2 020</w:t>
            </w:r>
          </w:p>
        </w:tc>
        <w:tc>
          <w:tcPr>
            <w:tcW w:w="133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225</w:t>
            </w:r>
          </w:p>
        </w:tc>
        <w:tc>
          <w:tcPr>
            <w:tcW w:w="13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2 245</w:t>
            </w:r>
          </w:p>
        </w:tc>
      </w:tr>
      <w:tr w:rsidR="00AD09B4" w:rsidRPr="00EF2265" w:rsidTr="00351A8A">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2013/2014</w:t>
            </w:r>
          </w:p>
        </w:tc>
        <w:tc>
          <w:tcPr>
            <w:tcW w:w="113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2 692</w:t>
            </w:r>
          </w:p>
        </w:tc>
        <w:tc>
          <w:tcPr>
            <w:tcW w:w="1768"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419</w:t>
            </w:r>
          </w:p>
        </w:tc>
        <w:tc>
          <w:tcPr>
            <w:tcW w:w="13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2 348</w:t>
            </w:r>
          </w:p>
        </w:tc>
        <w:tc>
          <w:tcPr>
            <w:tcW w:w="13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1 955</w:t>
            </w:r>
          </w:p>
        </w:tc>
        <w:tc>
          <w:tcPr>
            <w:tcW w:w="133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198</w:t>
            </w:r>
          </w:p>
        </w:tc>
        <w:tc>
          <w:tcPr>
            <w:tcW w:w="133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2 153</w:t>
            </w:r>
          </w:p>
        </w:tc>
      </w:tr>
      <w:tr w:rsidR="00AD09B4" w:rsidRPr="00EF2265" w:rsidTr="00351A8A">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2014/2015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2 637</w:t>
            </w:r>
          </w:p>
        </w:tc>
        <w:tc>
          <w:tcPr>
            <w:tcW w:w="1768"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289</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2 319</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1 920</w:t>
            </w:r>
          </w:p>
        </w:tc>
        <w:tc>
          <w:tcPr>
            <w:tcW w:w="1330"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164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2 084</w:t>
            </w:r>
          </w:p>
        </w:tc>
      </w:tr>
      <w:tr w:rsidR="00AD09B4" w:rsidRPr="00EF2265" w:rsidTr="00351A8A">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2015/2016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2 695</w:t>
            </w:r>
          </w:p>
        </w:tc>
        <w:tc>
          <w:tcPr>
            <w:tcW w:w="1768"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217</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2 411</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2 077</w:t>
            </w:r>
          </w:p>
        </w:tc>
        <w:tc>
          <w:tcPr>
            <w:tcW w:w="1330"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t>143</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2 220</w:t>
            </w:r>
          </w:p>
        </w:tc>
      </w:tr>
      <w:tr w:rsidR="00AD09B4" w:rsidRPr="00EF2265" w:rsidTr="00351A8A">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2016/2017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2 571</w:t>
            </w:r>
          </w:p>
        </w:tc>
        <w:tc>
          <w:tcPr>
            <w:tcW w:w="1768"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328</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2 326</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1 818</w:t>
            </w:r>
          </w:p>
        </w:tc>
        <w:tc>
          <w:tcPr>
            <w:tcW w:w="1330"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154</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1 972</w:t>
            </w:r>
          </w:p>
        </w:tc>
      </w:tr>
      <w:tr w:rsidR="00AD09B4" w:rsidRPr="00EF2265" w:rsidTr="00351A8A">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2017/2018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2 228</w:t>
            </w:r>
          </w:p>
        </w:tc>
        <w:tc>
          <w:tcPr>
            <w:tcW w:w="1768"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296</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1 969</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1 612</w:t>
            </w:r>
          </w:p>
        </w:tc>
        <w:tc>
          <w:tcPr>
            <w:tcW w:w="1330"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167</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1 779</w:t>
            </w:r>
          </w:p>
        </w:tc>
      </w:tr>
      <w:tr w:rsidR="00AD09B4" w:rsidRPr="00EF2265" w:rsidTr="00351A8A">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2018/2019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2 132</w:t>
            </w:r>
          </w:p>
        </w:tc>
        <w:tc>
          <w:tcPr>
            <w:tcW w:w="1768"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463</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1 869</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1 475</w:t>
            </w:r>
          </w:p>
        </w:tc>
        <w:tc>
          <w:tcPr>
            <w:tcW w:w="1330"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186</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1 661</w:t>
            </w:r>
          </w:p>
        </w:tc>
      </w:tr>
    </w:tbl>
    <w:p w:rsidR="00AD09B4" w:rsidRPr="00EF2265" w:rsidRDefault="00AD09B4" w:rsidP="00E86605">
      <w:pPr>
        <w:tabs>
          <w:tab w:val="left" w:pos="9356"/>
        </w:tabs>
        <w:jc w:val="left"/>
        <w:rPr>
          <w:rFonts w:ascii="Times New Roman" w:eastAsia="Times New Roman" w:hAnsi="Times New Roman"/>
          <w:sz w:val="20"/>
          <w:szCs w:val="20"/>
          <w:lang w:eastAsia="sk-SK"/>
        </w:rPr>
      </w:pP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Základnou podmienkou prijatia na druhý stupeň štúdia na STU je úspešné absolvovanie prvého alebo druhého stupňa štúdia. Na väčšine súčastí STU (SvF, FEI, FA, FIIT a ÚM) sa ďalšie podmienky prijatia na každý študijný program druhého stupňa štúdia overujú prijímacou skúškou, ktorá však mohla byť uchádzačovi odpustená, ak sa prihlásil na nadväzujúci študijný program na príslušnej fakulte a/alebo dosiahol na prvom stupni štúdia stanovený študijný priemer. Absolventi prvého stupňa štúdia z iných vysokých škôl spravidla absolvovali prijímaciu skúšku. Prijímacie skúšky prebiehali formou písomných testov, ústnych pohovorov alebo ich kombináciou.</w:t>
      </w:r>
    </w:p>
    <w:p w:rsidR="00AD09B4" w:rsidRPr="00EF2265" w:rsidRDefault="00AD09B4" w:rsidP="00E86605">
      <w:pPr>
        <w:shd w:val="clear" w:color="auto" w:fill="FFFFFF"/>
        <w:tabs>
          <w:tab w:val="left" w:pos="9356"/>
        </w:tabs>
        <w:jc w:val="left"/>
        <w:rPr>
          <w:rFonts w:ascii="Times New Roman" w:hAnsi="Times New Roman"/>
          <w:sz w:val="20"/>
          <w:szCs w:val="20"/>
        </w:rPr>
      </w:pPr>
      <w:r w:rsidRPr="00EF2265">
        <w:rPr>
          <w:rFonts w:ascii="Times New Roman" w:hAnsi="Times New Roman"/>
          <w:sz w:val="20"/>
          <w:szCs w:val="20"/>
          <w:shd w:val="clear" w:color="auto" w:fill="FFFFFF"/>
        </w:rPr>
        <w:t>Prijímacie konanie sa na súčastiach STU konalo jednokolovo okrem SvF, SjF, FEI a ÚM.</w:t>
      </w:r>
    </w:p>
    <w:p w:rsidR="00AD09B4" w:rsidRPr="00EF2265" w:rsidRDefault="00AD09B4" w:rsidP="00E86605">
      <w:pPr>
        <w:shd w:val="clear" w:color="auto" w:fill="FFFFFF"/>
        <w:tabs>
          <w:tab w:val="left" w:pos="9356"/>
        </w:tabs>
        <w:jc w:val="left"/>
        <w:rPr>
          <w:rFonts w:ascii="Times New Roman" w:hAnsi="Times New Roman"/>
          <w:sz w:val="20"/>
          <w:szCs w:val="20"/>
        </w:rPr>
      </w:pPr>
      <w:r w:rsidRPr="00EF2265">
        <w:rPr>
          <w:rFonts w:ascii="Times New Roman" w:hAnsi="Times New Roman"/>
          <w:sz w:val="20"/>
          <w:szCs w:val="20"/>
        </w:rPr>
        <w:t xml:space="preserve">Na žiadnej zo súčastí STU sa neprijímalo na externú formu štúdia. </w:t>
      </w:r>
    </w:p>
    <w:p w:rsidR="00AD09B4" w:rsidRPr="00EF2265" w:rsidRDefault="00AD09B4" w:rsidP="00E86605">
      <w:pPr>
        <w:tabs>
          <w:tab w:val="left" w:pos="9356"/>
        </w:tabs>
        <w:jc w:val="left"/>
        <w:rPr>
          <w:rFonts w:ascii="Times New Roman" w:hAnsi="Times New Roman"/>
          <w:b/>
          <w:sz w:val="20"/>
          <w:szCs w:val="20"/>
          <w:shd w:val="clear" w:color="auto" w:fill="FFFFFF"/>
        </w:rPr>
      </w:pPr>
      <w:r w:rsidRPr="00EF2265">
        <w:rPr>
          <w:rFonts w:ascii="Times New Roman" w:hAnsi="Times New Roman"/>
          <w:b/>
          <w:sz w:val="20"/>
          <w:szCs w:val="20"/>
          <w:shd w:val="clear" w:color="auto" w:fill="FFFFFF"/>
        </w:rPr>
        <w:br w:type="page"/>
      </w:r>
    </w:p>
    <w:p w:rsidR="00AD09B4" w:rsidRPr="00EF2265" w:rsidRDefault="00AD09B4" w:rsidP="00E86605">
      <w:pPr>
        <w:pStyle w:val="Nadpis2"/>
        <w:numPr>
          <w:ilvl w:val="2"/>
          <w:numId w:val="9"/>
        </w:numPr>
        <w:tabs>
          <w:tab w:val="left" w:pos="9356"/>
        </w:tabs>
        <w:rPr>
          <w:rFonts w:ascii="Times New Roman" w:hAnsi="Times New Roman" w:cs="Times New Roman"/>
          <w:color w:val="auto"/>
          <w:sz w:val="20"/>
          <w:szCs w:val="20"/>
        </w:rPr>
      </w:pPr>
      <w:bookmarkStart w:id="92" w:name="_Toc534722885"/>
      <w:r w:rsidRPr="00EF2265">
        <w:rPr>
          <w:rFonts w:ascii="Times New Roman" w:hAnsi="Times New Roman" w:cs="Times New Roman"/>
          <w:color w:val="auto"/>
          <w:sz w:val="20"/>
          <w:szCs w:val="20"/>
        </w:rPr>
        <w:lastRenderedPageBreak/>
        <w:t>Prijímacie konanie na tretí stupeň štúdia</w:t>
      </w:r>
      <w:bookmarkEnd w:id="92"/>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Na tretí stupeň štúdia bolo v akademickom roku 2018/2019 plánované prijať celkovo </w:t>
      </w:r>
      <w:r w:rsidRPr="00EF2265">
        <w:rPr>
          <w:rFonts w:ascii="Times New Roman" w:hAnsi="Times New Roman"/>
          <w:b/>
          <w:sz w:val="20"/>
          <w:szCs w:val="20"/>
        </w:rPr>
        <w:t xml:space="preserve">229 </w:t>
      </w:r>
      <w:r w:rsidRPr="00EF2265">
        <w:rPr>
          <w:rFonts w:ascii="Times New Roman" w:hAnsi="Times New Roman"/>
          <w:sz w:val="20"/>
          <w:szCs w:val="20"/>
        </w:rPr>
        <w:t>uchádzačov v dennej forme štúdia (DF) a </w:t>
      </w:r>
      <w:r w:rsidRPr="00EF2265">
        <w:rPr>
          <w:rFonts w:ascii="Times New Roman" w:hAnsi="Times New Roman"/>
          <w:b/>
          <w:sz w:val="20"/>
          <w:szCs w:val="20"/>
        </w:rPr>
        <w:t>125</w:t>
      </w:r>
      <w:r w:rsidRPr="00EF2265">
        <w:rPr>
          <w:rFonts w:ascii="Times New Roman" w:hAnsi="Times New Roman"/>
          <w:sz w:val="20"/>
          <w:szCs w:val="20"/>
        </w:rPr>
        <w:t xml:space="preserve"> uchádzačov v externej forme štúdia (EF); prihlásených bolo </w:t>
      </w:r>
      <w:r w:rsidRPr="00EF2265">
        <w:rPr>
          <w:rFonts w:ascii="Times New Roman" w:hAnsi="Times New Roman"/>
          <w:b/>
          <w:sz w:val="20"/>
          <w:szCs w:val="20"/>
        </w:rPr>
        <w:t>226</w:t>
      </w:r>
      <w:r w:rsidRPr="00EF2265">
        <w:rPr>
          <w:rFonts w:ascii="Times New Roman" w:hAnsi="Times New Roman"/>
          <w:sz w:val="20"/>
          <w:szCs w:val="20"/>
        </w:rPr>
        <w:t xml:space="preserve"> uchádzačov v DF a </w:t>
      </w:r>
      <w:r w:rsidRPr="00EF2265">
        <w:rPr>
          <w:rFonts w:ascii="Times New Roman" w:hAnsi="Times New Roman"/>
          <w:b/>
          <w:sz w:val="20"/>
          <w:szCs w:val="20"/>
        </w:rPr>
        <w:t>42</w:t>
      </w:r>
      <w:r w:rsidRPr="00EF2265">
        <w:rPr>
          <w:rFonts w:ascii="Times New Roman" w:hAnsi="Times New Roman"/>
          <w:sz w:val="20"/>
          <w:szCs w:val="20"/>
        </w:rPr>
        <w:t xml:space="preserve"> uchádzačov v EF; z toho bolo prijatých </w:t>
      </w:r>
      <w:r w:rsidRPr="00EF2265">
        <w:rPr>
          <w:rFonts w:ascii="Times New Roman" w:hAnsi="Times New Roman"/>
          <w:b/>
          <w:sz w:val="20"/>
          <w:szCs w:val="20"/>
        </w:rPr>
        <w:t>190</w:t>
      </w:r>
      <w:r w:rsidRPr="00EF2265">
        <w:rPr>
          <w:rFonts w:ascii="Times New Roman" w:hAnsi="Times New Roman"/>
          <w:sz w:val="20"/>
          <w:szCs w:val="20"/>
        </w:rPr>
        <w:t xml:space="preserve"> uchádzačov v DF a </w:t>
      </w:r>
      <w:r w:rsidRPr="00EF2265">
        <w:rPr>
          <w:rFonts w:ascii="Times New Roman" w:hAnsi="Times New Roman"/>
          <w:b/>
          <w:sz w:val="20"/>
          <w:szCs w:val="20"/>
        </w:rPr>
        <w:t>40</w:t>
      </w:r>
      <w:r w:rsidRPr="00EF2265">
        <w:rPr>
          <w:rFonts w:ascii="Times New Roman" w:hAnsi="Times New Roman"/>
          <w:sz w:val="20"/>
          <w:szCs w:val="20"/>
        </w:rPr>
        <w:t xml:space="preserve"> uchádzačov v EF. Spolu na </w:t>
      </w:r>
      <w:r w:rsidRPr="00EF2265">
        <w:rPr>
          <w:rFonts w:ascii="Times New Roman" w:hAnsi="Times New Roman"/>
          <w:b/>
          <w:sz w:val="20"/>
          <w:szCs w:val="20"/>
        </w:rPr>
        <w:t>treťom stupni štúdia</w:t>
      </w:r>
      <w:r w:rsidRPr="00EF2265">
        <w:rPr>
          <w:rFonts w:ascii="Times New Roman" w:hAnsi="Times New Roman"/>
          <w:sz w:val="20"/>
          <w:szCs w:val="20"/>
        </w:rPr>
        <w:t xml:space="preserve"> na STU vrátane tém vypísaných externými vzdelávacími inštitúciami</w:t>
      </w:r>
      <w:r w:rsidRPr="00EF2265">
        <w:rPr>
          <w:rFonts w:ascii="Times New Roman" w:hAnsi="Times New Roman"/>
          <w:b/>
          <w:sz w:val="20"/>
          <w:szCs w:val="20"/>
        </w:rPr>
        <w:t xml:space="preserve"> </w:t>
      </w:r>
      <w:r w:rsidRPr="00EF2265">
        <w:rPr>
          <w:rFonts w:ascii="Times New Roman" w:hAnsi="Times New Roman"/>
          <w:sz w:val="20"/>
          <w:szCs w:val="20"/>
        </w:rPr>
        <w:t>(EVI) sa</w:t>
      </w:r>
      <w:r w:rsidRPr="00EF2265">
        <w:rPr>
          <w:rFonts w:ascii="Times New Roman" w:hAnsi="Times New Roman"/>
          <w:b/>
          <w:sz w:val="20"/>
          <w:szCs w:val="20"/>
        </w:rPr>
        <w:t xml:space="preserve"> na štúdium v akademickom roku 2018/2019 celkovo zapísalo 209 študentov z prijatých uchádzačov, z toho 175 v DF a 34 v EF.</w:t>
      </w:r>
      <w:r w:rsidRPr="00EF2265">
        <w:rPr>
          <w:rFonts w:ascii="Times New Roman" w:hAnsi="Times New Roman"/>
          <w:sz w:val="20"/>
          <w:szCs w:val="20"/>
        </w:rPr>
        <w:t xml:space="preserve"> Z celkového počtu zapísaných študentov bolo </w:t>
      </w:r>
      <w:r w:rsidRPr="00EF2265">
        <w:rPr>
          <w:rFonts w:ascii="Times New Roman" w:hAnsi="Times New Roman"/>
          <w:b/>
          <w:sz w:val="20"/>
          <w:szCs w:val="20"/>
        </w:rPr>
        <w:t>22</w:t>
      </w:r>
      <w:r w:rsidRPr="00EF2265">
        <w:rPr>
          <w:rFonts w:ascii="Times New Roman" w:hAnsi="Times New Roman"/>
          <w:sz w:val="20"/>
          <w:szCs w:val="20"/>
        </w:rPr>
        <w:t xml:space="preserve"> zahraničných študentov (15 DF a 7 EF).</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Prehľad prijímacieho konania na tretí stupeň štúdia je uvedený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_Ref474777859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27</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93" w:name="_Ref474777859"/>
      <w:bookmarkStart w:id="94" w:name="_Toc534793966"/>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27</w:t>
      </w:r>
      <w:r w:rsidRPr="00EF2265">
        <w:rPr>
          <w:rFonts w:ascii="Times New Roman" w:hAnsi="Times New Roman"/>
          <w:sz w:val="20"/>
          <w:szCs w:val="20"/>
        </w:rPr>
        <w:fldChar w:fldCharType="end"/>
      </w:r>
      <w:bookmarkEnd w:id="93"/>
      <w:r w:rsidRPr="00EF2265">
        <w:rPr>
          <w:rFonts w:ascii="Times New Roman" w:hAnsi="Times New Roman"/>
          <w:sz w:val="20"/>
          <w:szCs w:val="20"/>
        </w:rPr>
        <w:t xml:space="preserve">: Prehľad prijímacieho konania na </w:t>
      </w:r>
      <w:r w:rsidRPr="00EF2265">
        <w:rPr>
          <w:rFonts w:ascii="Times New Roman" w:hAnsi="Times New Roman"/>
          <w:b/>
          <w:sz w:val="20"/>
          <w:szCs w:val="20"/>
        </w:rPr>
        <w:t>treťom stupni štúdia</w:t>
      </w:r>
      <w:r w:rsidRPr="00EF2265">
        <w:rPr>
          <w:rFonts w:ascii="Times New Roman" w:hAnsi="Times New Roman"/>
          <w:sz w:val="20"/>
          <w:szCs w:val="20"/>
        </w:rPr>
        <w:t xml:space="preserve"> na akademický rok 2018/2019</w:t>
      </w:r>
      <w:bookmarkEnd w:id="94"/>
    </w:p>
    <w:tbl>
      <w:tblPr>
        <w:tblW w:w="9438" w:type="dxa"/>
        <w:tblInd w:w="55" w:type="dxa"/>
        <w:tblLayout w:type="fixed"/>
        <w:tblCellMar>
          <w:left w:w="70" w:type="dxa"/>
          <w:right w:w="70" w:type="dxa"/>
        </w:tblCellMar>
        <w:tblLook w:val="04A0" w:firstRow="1" w:lastRow="0" w:firstColumn="1" w:lastColumn="0" w:noHBand="0" w:noVBand="1"/>
      </w:tblPr>
      <w:tblGrid>
        <w:gridCol w:w="788"/>
        <w:gridCol w:w="658"/>
        <w:gridCol w:w="658"/>
        <w:gridCol w:w="660"/>
        <w:gridCol w:w="661"/>
        <w:gridCol w:w="663"/>
        <w:gridCol w:w="663"/>
        <w:gridCol w:w="663"/>
        <w:gridCol w:w="663"/>
        <w:gridCol w:w="663"/>
        <w:gridCol w:w="663"/>
        <w:gridCol w:w="663"/>
        <w:gridCol w:w="663"/>
        <w:gridCol w:w="709"/>
      </w:tblGrid>
      <w:tr w:rsidR="00AD09B4" w:rsidRPr="00EF2265" w:rsidTr="00351A8A">
        <w:trPr>
          <w:trHeight w:val="20"/>
        </w:trPr>
        <w:tc>
          <w:tcPr>
            <w:tcW w:w="7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Fakulta</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Prihlásení</w:t>
            </w:r>
          </w:p>
        </w:tc>
        <w:tc>
          <w:tcPr>
            <w:tcW w:w="1987" w:type="dxa"/>
            <w:gridSpan w:val="3"/>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Prijatí</w:t>
            </w:r>
          </w:p>
        </w:tc>
        <w:tc>
          <w:tcPr>
            <w:tcW w:w="4687" w:type="dxa"/>
            <w:gridSpan w:val="7"/>
            <w:tcBorders>
              <w:top w:val="single" w:sz="4" w:space="0" w:color="auto"/>
              <w:left w:val="nil"/>
              <w:bottom w:val="single" w:sz="4" w:space="0" w:color="auto"/>
              <w:right w:val="single" w:sz="4" w:space="0" w:color="auto"/>
            </w:tcBorders>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Zapísaní</w:t>
            </w:r>
          </w:p>
        </w:tc>
      </w:tr>
      <w:tr w:rsidR="00AD09B4" w:rsidRPr="00EF2265" w:rsidTr="00351A8A">
        <w:trPr>
          <w:trHeight w:val="20"/>
        </w:trPr>
        <w:tc>
          <w:tcPr>
            <w:tcW w:w="788"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DF</w:t>
            </w:r>
          </w:p>
        </w:tc>
        <w:tc>
          <w:tcPr>
            <w:tcW w:w="6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EF</w:t>
            </w:r>
          </w:p>
        </w:tc>
        <w:tc>
          <w:tcPr>
            <w:tcW w:w="660" w:type="dxa"/>
            <w:vMerge w:val="restart"/>
            <w:tcBorders>
              <w:top w:val="nil"/>
              <w:left w:val="single" w:sz="4" w:space="0" w:color="auto"/>
              <w:bottom w:val="single" w:sz="4" w:space="0" w:color="000000"/>
              <w:right w:val="single" w:sz="4" w:space="0" w:color="auto"/>
            </w:tcBorders>
            <w:shd w:val="clear" w:color="auto" w:fill="EEECE1" w:themeFill="background2"/>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6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DE</w:t>
            </w:r>
          </w:p>
        </w:tc>
        <w:tc>
          <w:tcPr>
            <w:tcW w:w="6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EF</w:t>
            </w:r>
          </w:p>
        </w:tc>
        <w:tc>
          <w:tcPr>
            <w:tcW w:w="663" w:type="dxa"/>
            <w:vMerge w:val="restart"/>
            <w:tcBorders>
              <w:top w:val="nil"/>
              <w:left w:val="single" w:sz="4" w:space="0" w:color="auto"/>
              <w:bottom w:val="single" w:sz="4" w:space="0" w:color="000000"/>
              <w:right w:val="single" w:sz="4" w:space="0" w:color="auto"/>
            </w:tcBorders>
            <w:shd w:val="clear" w:color="auto" w:fill="EEECE1" w:themeFill="background2"/>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19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DF</w:t>
            </w:r>
          </w:p>
        </w:tc>
        <w:tc>
          <w:tcPr>
            <w:tcW w:w="19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EF</w:t>
            </w:r>
          </w:p>
        </w:tc>
        <w:tc>
          <w:tcPr>
            <w:tcW w:w="709" w:type="dxa"/>
            <w:vMerge w:val="restart"/>
            <w:tcBorders>
              <w:top w:val="nil"/>
              <w:left w:val="nil"/>
              <w:right w:val="single" w:sz="4" w:space="0" w:color="auto"/>
            </w:tcBorders>
            <w:shd w:val="clear" w:color="auto" w:fill="EEECE1" w:themeFill="background2"/>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r>
      <w:tr w:rsidR="00AD09B4" w:rsidRPr="00EF2265" w:rsidTr="00351A8A">
        <w:trPr>
          <w:trHeight w:val="20"/>
        </w:trPr>
        <w:tc>
          <w:tcPr>
            <w:tcW w:w="788"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658"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658"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660"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661"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663"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663"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ind w:left="-54"/>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na fakulte</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EVI</w:t>
            </w:r>
          </w:p>
        </w:tc>
        <w:tc>
          <w:tcPr>
            <w:tcW w:w="663" w:type="dxa"/>
            <w:tcBorders>
              <w:top w:val="single" w:sz="4" w:space="0" w:color="auto"/>
              <w:left w:val="single" w:sz="4" w:space="0" w:color="auto"/>
              <w:bottom w:val="single" w:sz="4" w:space="0" w:color="auto"/>
              <w:right w:val="single" w:sz="4" w:space="0" w:color="auto"/>
            </w:tcBorders>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z toho zahr.</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ind w:left="-65" w:right="-30" w:firstLine="65"/>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na fakulte</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EVI</w:t>
            </w:r>
          </w:p>
        </w:tc>
        <w:tc>
          <w:tcPr>
            <w:tcW w:w="663" w:type="dxa"/>
            <w:tcBorders>
              <w:top w:val="single" w:sz="4" w:space="0" w:color="auto"/>
              <w:left w:val="single" w:sz="4" w:space="0" w:color="auto"/>
              <w:bottom w:val="single" w:sz="4" w:space="0" w:color="auto"/>
              <w:right w:val="single" w:sz="4" w:space="0" w:color="auto"/>
            </w:tcBorders>
          </w:tcPr>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z toho zahr.</w:t>
            </w:r>
          </w:p>
        </w:tc>
        <w:tc>
          <w:tcPr>
            <w:tcW w:w="709" w:type="dxa"/>
            <w:vMerge/>
            <w:tcBorders>
              <w:left w:val="single" w:sz="4" w:space="0" w:color="auto"/>
              <w:bottom w:val="single" w:sz="4" w:space="0" w:color="auto"/>
              <w:right w:val="single" w:sz="4" w:space="0" w:color="auto"/>
            </w:tcBorders>
            <w:shd w:val="clear" w:color="auto" w:fill="EEECE1" w:themeFill="background2"/>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r>
      <w:tr w:rsidR="00AD09B4" w:rsidRPr="00EF2265" w:rsidTr="00351A8A">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40</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6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43</w:t>
            </w:r>
          </w:p>
        </w:tc>
        <w:tc>
          <w:tcPr>
            <w:tcW w:w="66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34</w:t>
            </w:r>
          </w:p>
        </w:tc>
        <w:tc>
          <w:tcPr>
            <w:tcW w:w="6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66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37</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32</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709"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36</w:t>
            </w:r>
          </w:p>
        </w:tc>
      </w:tr>
      <w:tr w:rsidR="00AD09B4" w:rsidRPr="00EF2265" w:rsidTr="00351A8A">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6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26</w:t>
            </w:r>
          </w:p>
        </w:tc>
        <w:tc>
          <w:tcPr>
            <w:tcW w:w="66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11</w:t>
            </w:r>
          </w:p>
        </w:tc>
        <w:tc>
          <w:tcPr>
            <w:tcW w:w="6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66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21</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6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709"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w:t>
            </w:r>
          </w:p>
        </w:tc>
      </w:tr>
      <w:tr w:rsidR="00AD09B4" w:rsidRPr="00EF2265" w:rsidTr="00351A8A">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49</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6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57</w:t>
            </w:r>
          </w:p>
        </w:tc>
        <w:tc>
          <w:tcPr>
            <w:tcW w:w="66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46</w:t>
            </w:r>
          </w:p>
        </w:tc>
        <w:tc>
          <w:tcPr>
            <w:tcW w:w="6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66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54</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35</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bookmarkStart w:id="95" w:name="RANGE!K7"/>
            <w:r w:rsidRPr="00EF2265">
              <w:rPr>
                <w:rFonts w:ascii="Times New Roman" w:hAnsi="Times New Roman"/>
                <w:sz w:val="20"/>
                <w:szCs w:val="20"/>
              </w:rPr>
              <w:t>7</w:t>
            </w:r>
            <w:bookmarkEnd w:id="95"/>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709"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48</w:t>
            </w:r>
          </w:p>
        </w:tc>
      </w:tr>
      <w:tr w:rsidR="00AD09B4" w:rsidRPr="00EF2265" w:rsidTr="00351A8A">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53</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6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60</w:t>
            </w:r>
          </w:p>
        </w:tc>
        <w:tc>
          <w:tcPr>
            <w:tcW w:w="66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46</w:t>
            </w:r>
          </w:p>
        </w:tc>
        <w:tc>
          <w:tcPr>
            <w:tcW w:w="6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66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53</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37</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709"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49</w:t>
            </w:r>
          </w:p>
        </w:tc>
      </w:tr>
      <w:tr w:rsidR="00AD09B4" w:rsidRPr="00EF2265" w:rsidTr="00351A8A">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6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22</w:t>
            </w:r>
          </w:p>
        </w:tc>
        <w:tc>
          <w:tcPr>
            <w:tcW w:w="66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6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6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15</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14</w:t>
            </w:r>
          </w:p>
        </w:tc>
        <w:tc>
          <w:tcPr>
            <w:tcW w:w="6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709"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15</w:t>
            </w:r>
          </w:p>
        </w:tc>
      </w:tr>
      <w:tr w:rsidR="00AD09B4" w:rsidRPr="00EF2265" w:rsidTr="00351A8A">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6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36</w:t>
            </w:r>
          </w:p>
        </w:tc>
        <w:tc>
          <w:tcPr>
            <w:tcW w:w="66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w:t>
            </w:r>
          </w:p>
        </w:tc>
        <w:tc>
          <w:tcPr>
            <w:tcW w:w="6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w:t>
            </w:r>
          </w:p>
        </w:tc>
        <w:tc>
          <w:tcPr>
            <w:tcW w:w="66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32</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709"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24</w:t>
            </w:r>
          </w:p>
        </w:tc>
      </w:tr>
      <w:tr w:rsidR="00AD09B4" w:rsidRPr="00EF2265" w:rsidTr="00351A8A">
        <w:trPr>
          <w:trHeight w:val="2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12</w:t>
            </w:r>
          </w:p>
        </w:tc>
        <w:tc>
          <w:tcPr>
            <w:tcW w:w="658"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6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15</w:t>
            </w:r>
          </w:p>
        </w:tc>
        <w:tc>
          <w:tcPr>
            <w:tcW w:w="66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663"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66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13</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bottom"/>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709"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13</w:t>
            </w:r>
          </w:p>
        </w:tc>
      </w:tr>
      <w:tr w:rsidR="00AD09B4" w:rsidRPr="00EF2265" w:rsidTr="00351A8A">
        <w:trPr>
          <w:trHeight w:val="2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658"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w:t>
            </w:r>
          </w:p>
        </w:tc>
        <w:tc>
          <w:tcPr>
            <w:tcW w:w="658"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0"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9</w:t>
            </w:r>
          </w:p>
        </w:tc>
        <w:tc>
          <w:tcPr>
            <w:tcW w:w="66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w:t>
            </w:r>
          </w:p>
        </w:tc>
        <w:tc>
          <w:tcPr>
            <w:tcW w:w="663" w:type="dxa"/>
            <w:tcBorders>
              <w:top w:val="nil"/>
              <w:left w:val="nil"/>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nil"/>
              <w:left w:val="nil"/>
              <w:bottom w:val="single" w:sz="4" w:space="0" w:color="auto"/>
              <w:right w:val="single" w:sz="4" w:space="0" w:color="auto"/>
            </w:tcBorders>
            <w:shd w:val="clear" w:color="auto" w:fill="EEECE1" w:themeFill="background2"/>
            <w:noWrap/>
            <w:vAlign w:val="center"/>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5</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663" w:type="dxa"/>
            <w:tcBorders>
              <w:top w:val="single" w:sz="4" w:space="0" w:color="auto"/>
              <w:left w:val="single" w:sz="4" w:space="0" w:color="auto"/>
              <w:bottom w:val="single" w:sz="4" w:space="0" w:color="auto"/>
              <w:right w:val="single" w:sz="4" w:space="0" w:color="auto"/>
            </w:tcBorders>
            <w:vAlign w:val="center"/>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0</w:t>
            </w:r>
          </w:p>
        </w:tc>
        <w:tc>
          <w:tcPr>
            <w:tcW w:w="709"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w:t>
            </w:r>
          </w:p>
        </w:tc>
      </w:tr>
      <w:tr w:rsidR="00AD09B4" w:rsidRPr="00EF2265" w:rsidTr="00351A8A">
        <w:trPr>
          <w:trHeight w:val="20"/>
        </w:trPr>
        <w:tc>
          <w:tcPr>
            <w:tcW w:w="788"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658"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226</w:t>
            </w:r>
          </w:p>
        </w:tc>
        <w:tc>
          <w:tcPr>
            <w:tcW w:w="658"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42</w:t>
            </w:r>
          </w:p>
        </w:tc>
        <w:tc>
          <w:tcPr>
            <w:tcW w:w="660"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268</w:t>
            </w:r>
          </w:p>
        </w:tc>
        <w:tc>
          <w:tcPr>
            <w:tcW w:w="661"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190</w:t>
            </w:r>
          </w:p>
        </w:tc>
        <w:tc>
          <w:tcPr>
            <w:tcW w:w="66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40</w:t>
            </w:r>
          </w:p>
        </w:tc>
        <w:tc>
          <w:tcPr>
            <w:tcW w:w="663"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230</w:t>
            </w:r>
          </w:p>
        </w:tc>
        <w:tc>
          <w:tcPr>
            <w:tcW w:w="663"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158</w:t>
            </w:r>
          </w:p>
        </w:tc>
        <w:tc>
          <w:tcPr>
            <w:tcW w:w="663"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17</w:t>
            </w:r>
          </w:p>
        </w:tc>
        <w:tc>
          <w:tcPr>
            <w:tcW w:w="66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15</w:t>
            </w:r>
          </w:p>
        </w:tc>
        <w:tc>
          <w:tcPr>
            <w:tcW w:w="663"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34</w:t>
            </w:r>
          </w:p>
        </w:tc>
        <w:tc>
          <w:tcPr>
            <w:tcW w:w="663"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0</w:t>
            </w:r>
          </w:p>
        </w:tc>
        <w:tc>
          <w:tcPr>
            <w:tcW w:w="663"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7</w:t>
            </w:r>
          </w:p>
        </w:tc>
        <w:tc>
          <w:tcPr>
            <w:tcW w:w="709"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bCs/>
                <w:sz w:val="20"/>
                <w:szCs w:val="20"/>
              </w:rPr>
            </w:pPr>
            <w:r w:rsidRPr="00EF2265">
              <w:rPr>
                <w:rFonts w:ascii="Times New Roman" w:hAnsi="Times New Roman"/>
                <w:b/>
                <w:bCs/>
                <w:sz w:val="20"/>
                <w:szCs w:val="20"/>
              </w:rPr>
              <w:t>209</w:t>
            </w:r>
          </w:p>
        </w:tc>
      </w:tr>
    </w:tbl>
    <w:p w:rsidR="00AD09B4" w:rsidRPr="00EF2265" w:rsidRDefault="00AD09B4" w:rsidP="00E86605">
      <w:pPr>
        <w:tabs>
          <w:tab w:val="left" w:pos="9356"/>
        </w:tabs>
        <w:jc w:val="left"/>
        <w:rPr>
          <w:rFonts w:ascii="Times New Roman" w:eastAsia="Times New Roman" w:hAnsi="Times New Roman"/>
          <w:bCs/>
          <w:sz w:val="20"/>
          <w:szCs w:val="20"/>
          <w:lang w:eastAsia="sk-SK"/>
        </w:rPr>
      </w:pPr>
      <w:r w:rsidRPr="00EF2265">
        <w:rPr>
          <w:rFonts w:ascii="Times New Roman" w:eastAsia="Times New Roman" w:hAnsi="Times New Roman"/>
          <w:bCs/>
          <w:sz w:val="20"/>
          <w:szCs w:val="20"/>
          <w:lang w:eastAsia="sk-SK"/>
        </w:rPr>
        <w:t>Vysvetlivky:</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eastAsia="Times New Roman" w:hAnsi="Times New Roman"/>
          <w:bCs/>
          <w:sz w:val="20"/>
          <w:szCs w:val="20"/>
          <w:lang w:eastAsia="sk-SK"/>
        </w:rPr>
        <w:t>DF – denná forma štúdia, EF – externá forma štúdia, EVI - externá vzdelávacia inštitúcia</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shd w:val="clear" w:color="auto" w:fill="FFFFFF"/>
        <w:tabs>
          <w:tab w:val="left" w:pos="9356"/>
        </w:tabs>
        <w:jc w:val="left"/>
        <w:rPr>
          <w:rFonts w:ascii="Times New Roman" w:hAnsi="Times New Roman"/>
          <w:sz w:val="20"/>
          <w:szCs w:val="20"/>
          <w:shd w:val="clear" w:color="auto" w:fill="FFFFFF"/>
        </w:rPr>
      </w:pPr>
      <w:r w:rsidRPr="00EF2265">
        <w:rPr>
          <w:rFonts w:ascii="Times New Roman" w:hAnsi="Times New Roman"/>
          <w:sz w:val="20"/>
          <w:szCs w:val="20"/>
        </w:rPr>
        <w:t>Od akademického roku 2012/2013 si jednotlivé súčasti STU sami určujú plánovaný počet prijatých uchádzačov na tretí stupeň štúdia v dennej forme, čo vyplýva zo zmeny financovania denných doktorandov. Plánované počty denných doktorandských miest na akademický rok 2018/2019 v porovnaní s predchádzajúcimi akademickými rokmi, sú uvedené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_Ref474777888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28</w:t>
      </w:r>
      <w:r w:rsidRPr="00EF2265">
        <w:rPr>
          <w:rFonts w:ascii="Times New Roman" w:hAnsi="Times New Roman"/>
          <w:sz w:val="20"/>
          <w:szCs w:val="20"/>
        </w:rPr>
        <w:fldChar w:fldCharType="end"/>
      </w:r>
      <w:r w:rsidRPr="00EF2265">
        <w:rPr>
          <w:rFonts w:ascii="Times New Roman" w:hAnsi="Times New Roman"/>
          <w:sz w:val="20"/>
          <w:szCs w:val="20"/>
        </w:rPr>
        <w:t xml:space="preserve">. Počet uchádzačov oproti predchádzajúcemu akademickému roku </w:t>
      </w:r>
      <w:r w:rsidRPr="00EF2265">
        <w:rPr>
          <w:rFonts w:ascii="Times New Roman" w:hAnsi="Times New Roman"/>
          <w:b/>
          <w:sz w:val="20"/>
          <w:szCs w:val="20"/>
        </w:rPr>
        <w:t>mierne klesol o 1 %</w:t>
      </w:r>
      <w:r w:rsidRPr="00EF2265">
        <w:rPr>
          <w:rFonts w:ascii="Times New Roman" w:hAnsi="Times New Roman"/>
          <w:sz w:val="20"/>
          <w:szCs w:val="20"/>
        </w:rPr>
        <w:t xml:space="preserve">, naopak záujem zahraničných uchádzačov o tretí stupeň štúdia na STU </w:t>
      </w:r>
      <w:r w:rsidRPr="00EF2265">
        <w:rPr>
          <w:rFonts w:ascii="Times New Roman" w:hAnsi="Times New Roman"/>
          <w:b/>
          <w:sz w:val="20"/>
          <w:szCs w:val="20"/>
        </w:rPr>
        <w:t>vzrástol o 42 %</w:t>
      </w:r>
      <w:r w:rsidRPr="00EF2265">
        <w:rPr>
          <w:rFonts w:ascii="Times New Roman" w:hAnsi="Times New Roman"/>
          <w:sz w:val="20"/>
          <w:szCs w:val="20"/>
        </w:rPr>
        <w:t>.</w:t>
      </w:r>
    </w:p>
    <w:p w:rsidR="00AD09B4" w:rsidRPr="00EF2265" w:rsidRDefault="00AD09B4" w:rsidP="00E86605">
      <w:pPr>
        <w:shd w:val="clear" w:color="auto" w:fill="FFFFFF"/>
        <w:tabs>
          <w:tab w:val="left" w:pos="9356"/>
        </w:tabs>
        <w:jc w:val="left"/>
        <w:rPr>
          <w:rFonts w:ascii="Times New Roman" w:hAnsi="Times New Roman"/>
          <w:sz w:val="20"/>
          <w:szCs w:val="20"/>
          <w:shd w:val="clear" w:color="auto" w:fill="FFFFFF"/>
        </w:rPr>
      </w:pPr>
    </w:p>
    <w:p w:rsidR="00AD09B4" w:rsidRPr="00EF2265" w:rsidRDefault="00AD09B4" w:rsidP="00E86605">
      <w:pPr>
        <w:shd w:val="clear" w:color="auto" w:fill="FFFFFF"/>
        <w:tabs>
          <w:tab w:val="left" w:pos="9356"/>
        </w:tabs>
        <w:jc w:val="left"/>
        <w:rPr>
          <w:rFonts w:ascii="Times New Roman" w:hAnsi="Times New Roman"/>
          <w:sz w:val="20"/>
          <w:szCs w:val="20"/>
        </w:rPr>
      </w:pPr>
      <w:bookmarkStart w:id="96" w:name="_Ref474777888"/>
      <w:bookmarkStart w:id="97" w:name="_Toc534793967"/>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28</w:t>
      </w:r>
      <w:r w:rsidRPr="00EF2265">
        <w:rPr>
          <w:rFonts w:ascii="Times New Roman" w:hAnsi="Times New Roman"/>
          <w:sz w:val="20"/>
          <w:szCs w:val="20"/>
        </w:rPr>
        <w:fldChar w:fldCharType="end"/>
      </w:r>
      <w:bookmarkEnd w:id="96"/>
      <w:r w:rsidRPr="00EF2265">
        <w:rPr>
          <w:rFonts w:ascii="Times New Roman" w:hAnsi="Times New Roman"/>
          <w:sz w:val="20"/>
          <w:szCs w:val="20"/>
        </w:rPr>
        <w:t>: Počty uchádzačov od akademického roku 2012/2013 - plánovaní a prihlásení uchádzači</w:t>
      </w:r>
      <w:bookmarkEnd w:id="97"/>
    </w:p>
    <w:tbl>
      <w:tblPr>
        <w:tblW w:w="8162" w:type="dxa"/>
        <w:tblInd w:w="55" w:type="dxa"/>
        <w:tblLayout w:type="fixed"/>
        <w:tblCellMar>
          <w:left w:w="70" w:type="dxa"/>
          <w:right w:w="70" w:type="dxa"/>
        </w:tblCellMar>
        <w:tblLook w:val="04A0" w:firstRow="1" w:lastRow="0" w:firstColumn="1" w:lastColumn="0" w:noHBand="0" w:noVBand="1"/>
      </w:tblPr>
      <w:tblGrid>
        <w:gridCol w:w="1127"/>
        <w:gridCol w:w="1320"/>
        <w:gridCol w:w="1321"/>
        <w:gridCol w:w="1321"/>
        <w:gridCol w:w="1321"/>
        <w:gridCol w:w="1752"/>
      </w:tblGrid>
      <w:tr w:rsidR="00AD09B4" w:rsidRPr="00EF2265" w:rsidTr="00351A8A">
        <w:trPr>
          <w:trHeight w:val="20"/>
        </w:trPr>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Akad. rok</w:t>
            </w:r>
          </w:p>
        </w:tc>
        <w:tc>
          <w:tcPr>
            <w:tcW w:w="2641" w:type="dxa"/>
            <w:gridSpan w:val="2"/>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Plánované počty</w:t>
            </w:r>
          </w:p>
        </w:tc>
        <w:tc>
          <w:tcPr>
            <w:tcW w:w="4394" w:type="dxa"/>
            <w:gridSpan w:val="3"/>
            <w:tcBorders>
              <w:top w:val="single" w:sz="4" w:space="0" w:color="auto"/>
              <w:left w:val="nil"/>
              <w:bottom w:val="single" w:sz="4" w:space="0" w:color="auto"/>
              <w:right w:val="single" w:sz="4" w:space="0" w:color="auto"/>
            </w:tcBorders>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Prihlásení uchádzači</w:t>
            </w:r>
          </w:p>
        </w:tc>
      </w:tr>
      <w:tr w:rsidR="00AD09B4" w:rsidRPr="00EF2265" w:rsidTr="00351A8A">
        <w:trPr>
          <w:trHeight w:val="20"/>
        </w:trPr>
        <w:tc>
          <w:tcPr>
            <w:tcW w:w="1127"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320"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denná forma</w:t>
            </w:r>
          </w:p>
        </w:tc>
        <w:tc>
          <w:tcPr>
            <w:tcW w:w="132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externá forma</w:t>
            </w:r>
          </w:p>
        </w:tc>
        <w:tc>
          <w:tcPr>
            <w:tcW w:w="132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denná forma</w:t>
            </w:r>
          </w:p>
        </w:tc>
        <w:tc>
          <w:tcPr>
            <w:tcW w:w="1321"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externá forma</w:t>
            </w:r>
          </w:p>
        </w:tc>
        <w:tc>
          <w:tcPr>
            <w:tcW w:w="1752"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 toho uchádzači</w:t>
            </w:r>
          </w:p>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zo zahraničia</w:t>
            </w:r>
          </w:p>
        </w:tc>
      </w:tr>
      <w:tr w:rsidR="00AD09B4" w:rsidRPr="00EF2265" w:rsidTr="00351A8A">
        <w:trPr>
          <w:trHeight w:val="20"/>
        </w:trPr>
        <w:tc>
          <w:tcPr>
            <w:tcW w:w="1127"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2012/2013</w:t>
            </w:r>
          </w:p>
        </w:tc>
        <w:tc>
          <w:tcPr>
            <w:tcW w:w="13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313</w:t>
            </w:r>
          </w:p>
        </w:tc>
        <w:tc>
          <w:tcPr>
            <w:tcW w:w="132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90</w:t>
            </w:r>
          </w:p>
        </w:tc>
        <w:tc>
          <w:tcPr>
            <w:tcW w:w="132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417</w:t>
            </w:r>
          </w:p>
        </w:tc>
        <w:tc>
          <w:tcPr>
            <w:tcW w:w="132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89</w:t>
            </w:r>
          </w:p>
        </w:tc>
        <w:tc>
          <w:tcPr>
            <w:tcW w:w="175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21</w:t>
            </w:r>
          </w:p>
        </w:tc>
      </w:tr>
      <w:tr w:rsidR="00AD09B4" w:rsidRPr="00EF2265" w:rsidTr="00351A8A">
        <w:trPr>
          <w:trHeight w:val="20"/>
        </w:trPr>
        <w:tc>
          <w:tcPr>
            <w:tcW w:w="1127"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2013/2014</w:t>
            </w:r>
          </w:p>
        </w:tc>
        <w:tc>
          <w:tcPr>
            <w:tcW w:w="13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271</w:t>
            </w:r>
          </w:p>
        </w:tc>
        <w:tc>
          <w:tcPr>
            <w:tcW w:w="132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131</w:t>
            </w:r>
          </w:p>
        </w:tc>
        <w:tc>
          <w:tcPr>
            <w:tcW w:w="132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355</w:t>
            </w:r>
          </w:p>
        </w:tc>
        <w:tc>
          <w:tcPr>
            <w:tcW w:w="132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96</w:t>
            </w:r>
          </w:p>
        </w:tc>
        <w:tc>
          <w:tcPr>
            <w:tcW w:w="175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22</w:t>
            </w:r>
          </w:p>
        </w:tc>
      </w:tr>
      <w:tr w:rsidR="00AD09B4" w:rsidRPr="00EF2265" w:rsidTr="00351A8A">
        <w:trPr>
          <w:trHeight w:val="20"/>
        </w:trPr>
        <w:tc>
          <w:tcPr>
            <w:tcW w:w="1127" w:type="dxa"/>
            <w:tcBorders>
              <w:top w:val="nil"/>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2014/2015</w:t>
            </w:r>
          </w:p>
        </w:tc>
        <w:tc>
          <w:tcPr>
            <w:tcW w:w="1320"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246</w:t>
            </w:r>
          </w:p>
        </w:tc>
        <w:tc>
          <w:tcPr>
            <w:tcW w:w="1321"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87</w:t>
            </w:r>
          </w:p>
        </w:tc>
        <w:tc>
          <w:tcPr>
            <w:tcW w:w="1321"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312</w:t>
            </w:r>
          </w:p>
        </w:tc>
        <w:tc>
          <w:tcPr>
            <w:tcW w:w="1321"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84</w:t>
            </w:r>
          </w:p>
        </w:tc>
        <w:tc>
          <w:tcPr>
            <w:tcW w:w="1752"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w:t>
            </w:r>
          </w:p>
        </w:tc>
      </w:tr>
      <w:tr w:rsidR="00AD09B4" w:rsidRPr="00EF2265" w:rsidTr="00351A8A">
        <w:trPr>
          <w:trHeight w:val="20"/>
        </w:trPr>
        <w:tc>
          <w:tcPr>
            <w:tcW w:w="1127" w:type="dxa"/>
            <w:tcBorders>
              <w:top w:val="nil"/>
              <w:left w:val="single" w:sz="4" w:space="0" w:color="auto"/>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2015/2016</w:t>
            </w:r>
          </w:p>
        </w:tc>
        <w:tc>
          <w:tcPr>
            <w:tcW w:w="1320"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244</w:t>
            </w:r>
          </w:p>
        </w:tc>
        <w:tc>
          <w:tcPr>
            <w:tcW w:w="1321"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117</w:t>
            </w:r>
          </w:p>
        </w:tc>
        <w:tc>
          <w:tcPr>
            <w:tcW w:w="1321"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226</w:t>
            </w:r>
          </w:p>
        </w:tc>
        <w:tc>
          <w:tcPr>
            <w:tcW w:w="1321"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58</w:t>
            </w:r>
          </w:p>
        </w:tc>
        <w:tc>
          <w:tcPr>
            <w:tcW w:w="1752" w:type="dxa"/>
            <w:tcBorders>
              <w:top w:val="nil"/>
              <w:left w:val="nil"/>
              <w:bottom w:val="single" w:sz="4" w:space="0" w:color="auto"/>
              <w:right w:val="single" w:sz="4" w:space="0" w:color="auto"/>
            </w:tcBorders>
            <w:shd w:val="clear" w:color="auto" w:fill="auto"/>
            <w:noWrap/>
            <w:vAlign w:val="bottom"/>
          </w:tcPr>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15</w:t>
            </w:r>
          </w:p>
        </w:tc>
      </w:tr>
      <w:tr w:rsidR="00AD09B4" w:rsidRPr="00EF2265" w:rsidTr="00351A8A">
        <w:trPr>
          <w:trHeight w:val="20"/>
        </w:trPr>
        <w:tc>
          <w:tcPr>
            <w:tcW w:w="1127"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2016/2017</w:t>
            </w:r>
          </w:p>
        </w:tc>
        <w:tc>
          <w:tcPr>
            <w:tcW w:w="1320"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168</w:t>
            </w:r>
          </w:p>
        </w:tc>
        <w:tc>
          <w:tcPr>
            <w:tcW w:w="132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107</w:t>
            </w:r>
          </w:p>
        </w:tc>
        <w:tc>
          <w:tcPr>
            <w:tcW w:w="132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207</w:t>
            </w:r>
          </w:p>
        </w:tc>
        <w:tc>
          <w:tcPr>
            <w:tcW w:w="1321"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57</w:t>
            </w:r>
          </w:p>
        </w:tc>
        <w:tc>
          <w:tcPr>
            <w:tcW w:w="1752"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19</w:t>
            </w:r>
          </w:p>
        </w:tc>
      </w:tr>
      <w:tr w:rsidR="00AD09B4" w:rsidRPr="00EF2265" w:rsidTr="00351A8A">
        <w:trPr>
          <w:trHeight w:val="20"/>
        </w:trPr>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2017/2018</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221</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169</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210</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62</w:t>
            </w:r>
          </w:p>
        </w:tc>
        <w:tc>
          <w:tcPr>
            <w:tcW w:w="1752" w:type="dxa"/>
            <w:tcBorders>
              <w:top w:val="single" w:sz="4" w:space="0" w:color="auto"/>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24</w:t>
            </w:r>
          </w:p>
        </w:tc>
      </w:tr>
      <w:tr w:rsidR="00AD09B4" w:rsidRPr="00EF2265" w:rsidTr="00351A8A">
        <w:trPr>
          <w:trHeight w:val="20"/>
        </w:trPr>
        <w:tc>
          <w:tcPr>
            <w:tcW w:w="1127"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2018/2019</w:t>
            </w:r>
          </w:p>
        </w:tc>
        <w:tc>
          <w:tcPr>
            <w:tcW w:w="1320"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229</w:t>
            </w:r>
          </w:p>
        </w:tc>
        <w:tc>
          <w:tcPr>
            <w:tcW w:w="1321"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125</w:t>
            </w:r>
          </w:p>
        </w:tc>
        <w:tc>
          <w:tcPr>
            <w:tcW w:w="1321"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226</w:t>
            </w:r>
          </w:p>
        </w:tc>
        <w:tc>
          <w:tcPr>
            <w:tcW w:w="1321"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42</w:t>
            </w:r>
          </w:p>
        </w:tc>
        <w:tc>
          <w:tcPr>
            <w:tcW w:w="1752" w:type="dxa"/>
            <w:tcBorders>
              <w:top w:val="single" w:sz="4" w:space="0" w:color="auto"/>
              <w:left w:val="nil"/>
              <w:bottom w:val="single" w:sz="4" w:space="0" w:color="auto"/>
              <w:right w:val="single" w:sz="4" w:space="0" w:color="auto"/>
            </w:tcBorders>
            <w:shd w:val="clear" w:color="auto" w:fill="EEECE1" w:themeFill="background2"/>
            <w:noWrap/>
            <w:vAlign w:val="bottom"/>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34</w:t>
            </w:r>
          </w:p>
        </w:tc>
      </w:tr>
    </w:tbl>
    <w:p w:rsidR="00AD09B4" w:rsidRPr="00EF2265" w:rsidRDefault="00AD09B4" w:rsidP="00E86605">
      <w:pPr>
        <w:shd w:val="clear" w:color="auto" w:fill="FFFFFF"/>
        <w:tabs>
          <w:tab w:val="left" w:pos="9356"/>
        </w:tabs>
        <w:jc w:val="left"/>
        <w:rPr>
          <w:rFonts w:ascii="Times New Roman" w:hAnsi="Times New Roman"/>
          <w:sz w:val="20"/>
          <w:szCs w:val="20"/>
        </w:rPr>
      </w:pPr>
    </w:p>
    <w:p w:rsidR="00AD09B4" w:rsidRPr="00EF2265" w:rsidRDefault="00AD09B4" w:rsidP="00E86605">
      <w:pPr>
        <w:tabs>
          <w:tab w:val="left" w:pos="9356"/>
        </w:tabs>
        <w:spacing w:after="120"/>
        <w:jc w:val="left"/>
        <w:rPr>
          <w:rFonts w:ascii="Times New Roman" w:hAnsi="Times New Roman"/>
          <w:sz w:val="20"/>
          <w:szCs w:val="20"/>
          <w:shd w:val="clear" w:color="auto" w:fill="FFFFFF"/>
        </w:rPr>
      </w:pPr>
      <w:r w:rsidRPr="00EF2265">
        <w:rPr>
          <w:rFonts w:ascii="Times New Roman" w:hAnsi="Times New Roman"/>
          <w:sz w:val="20"/>
          <w:szCs w:val="20"/>
        </w:rPr>
        <w:t xml:space="preserve">V treťom stupni štúdia naďalej pokračuje spolupráca s externými vzdelávacími inštitúciami (EVI). </w:t>
      </w:r>
      <w:r w:rsidRPr="00EF2265">
        <w:rPr>
          <w:rFonts w:ascii="Times New Roman" w:hAnsi="Times New Roman"/>
          <w:sz w:val="20"/>
          <w:szCs w:val="20"/>
          <w:shd w:val="clear" w:color="auto" w:fill="FFFFFF"/>
        </w:rPr>
        <w:t>V hodnotenom prijímacom konaní boli prijímaní uchádzači na tieto inštitúcie v rámci spolupráce so SvF, FEI, FCHPT a MTF, to je 10 ústavov, resp. centier Slovenskej akadémie vied. Od skončenia poslednej komplexnej akreditácie (9. 11. 2015) STU uzatvorila viac ako 20 nových rámcových dohôd o spolupráci na uskutočňovanie doktorandských študijných programov s EVI, ktoré boli akreditované v rámci komplexnej akreditácie.</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Cieľom prijímacieho konania na tretí stupeň štúdia na STU v súlade so zákonom bolo zistenie predpokladov uchádzača pre samostatnú tvorivú činnosť v oblasti vedy a techniky alebo samostatnú teoretickú a tvorivú činnosť v oblasti umenia. Na všetkých súčastiach univerzity prebiehalo overovanie predpokladov uchádzačov o štúdium prijímacou skúškou.</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zmysle zákona boli pre uchádzačov vypísané témy dizertačných prác, o ktoré sa záujemcovia mohli uchádzať v rámci prijímacieho konania na dennú alebo externú formu štúdia. V prípade, ak sa na jednu tému dizertačnej </w:t>
      </w:r>
      <w:r w:rsidRPr="00EF2265">
        <w:rPr>
          <w:rFonts w:ascii="Times New Roman" w:hAnsi="Times New Roman"/>
          <w:sz w:val="20"/>
          <w:szCs w:val="20"/>
        </w:rPr>
        <w:lastRenderedPageBreak/>
        <w:t xml:space="preserve">práce prihlásilo viac uchádzačov, prijímacia komisia vytvorila návrh poradia prijatia uchádzačov v závislosti od splnenia podmienok prijatia na štúdium. </w:t>
      </w: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Keďže súčasťou tretieho stupňa štúdia je aktívne používanie cudzieho jazyka, súčasťou prijímacej skúšky bolo tiež overovanie jazykovej spôsobilosti uchádzača v  anglickom jazyku. </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pStyle w:val="Nadpis2"/>
        <w:numPr>
          <w:ilvl w:val="2"/>
          <w:numId w:val="9"/>
        </w:numPr>
        <w:tabs>
          <w:tab w:val="left" w:pos="9356"/>
        </w:tabs>
        <w:rPr>
          <w:rFonts w:ascii="Times New Roman" w:hAnsi="Times New Roman" w:cs="Times New Roman"/>
          <w:color w:val="auto"/>
          <w:sz w:val="20"/>
          <w:szCs w:val="20"/>
        </w:rPr>
      </w:pPr>
      <w:bookmarkStart w:id="98" w:name="_Toc534722886"/>
      <w:r w:rsidRPr="00EF2265">
        <w:rPr>
          <w:rFonts w:ascii="Times New Roman" w:hAnsi="Times New Roman" w:cs="Times New Roman"/>
          <w:color w:val="auto"/>
          <w:sz w:val="20"/>
          <w:szCs w:val="20"/>
        </w:rPr>
        <w:t>Preskúmanie rozhodnutí o výsledku prijímacieho konania</w:t>
      </w:r>
      <w:bookmarkEnd w:id="98"/>
    </w:p>
    <w:p w:rsidR="00AD09B4" w:rsidRPr="00EF2265" w:rsidRDefault="00AD09B4" w:rsidP="00E86605">
      <w:pPr>
        <w:tabs>
          <w:tab w:val="left" w:pos="0"/>
          <w:tab w:val="left" w:pos="284"/>
          <w:tab w:val="left" w:pos="9356"/>
        </w:tabs>
        <w:jc w:val="left"/>
        <w:rPr>
          <w:rFonts w:ascii="Times New Roman" w:hAnsi="Times New Roman"/>
          <w:sz w:val="20"/>
          <w:szCs w:val="20"/>
        </w:rPr>
      </w:pPr>
      <w:r w:rsidRPr="00EF2265">
        <w:rPr>
          <w:rFonts w:ascii="Times New Roman" w:hAnsi="Times New Roman"/>
          <w:sz w:val="20"/>
          <w:szCs w:val="20"/>
        </w:rPr>
        <w:t xml:space="preserve">Vzhľadom na už spomínané kapacitné možnosti univerzity </w:t>
      </w:r>
      <w:r w:rsidRPr="00EF2265">
        <w:rPr>
          <w:rFonts w:ascii="Times New Roman" w:hAnsi="Times New Roman"/>
          <w:b/>
          <w:sz w:val="20"/>
          <w:szCs w:val="20"/>
        </w:rPr>
        <w:t xml:space="preserve">17 </w:t>
      </w:r>
      <w:r w:rsidRPr="00EF2265">
        <w:rPr>
          <w:rFonts w:ascii="Times New Roman" w:hAnsi="Times New Roman"/>
          <w:b/>
          <w:sz w:val="20"/>
          <w:szCs w:val="20"/>
          <w:shd w:val="clear" w:color="auto" w:fill="FFFFFF"/>
        </w:rPr>
        <w:t>%</w:t>
      </w:r>
      <w:r w:rsidRPr="00EF2265">
        <w:rPr>
          <w:rFonts w:ascii="Times New Roman" w:hAnsi="Times New Roman"/>
          <w:sz w:val="20"/>
          <w:szCs w:val="20"/>
          <w:shd w:val="clear" w:color="auto" w:fill="FFFFFF"/>
        </w:rPr>
        <w:t xml:space="preserve"> </w:t>
      </w:r>
      <w:r w:rsidRPr="00EF2265">
        <w:rPr>
          <w:rFonts w:ascii="Times New Roman" w:hAnsi="Times New Roman"/>
          <w:sz w:val="20"/>
          <w:szCs w:val="20"/>
        </w:rPr>
        <w:t xml:space="preserve">uchádzačov dostalo </w:t>
      </w:r>
      <w:r w:rsidRPr="00EF2265">
        <w:rPr>
          <w:rFonts w:ascii="Times New Roman" w:hAnsi="Times New Roman"/>
          <w:b/>
          <w:sz w:val="20"/>
          <w:szCs w:val="20"/>
        </w:rPr>
        <w:t>rozhodnutie o neprijatí</w:t>
      </w:r>
      <w:r w:rsidRPr="00EF2265">
        <w:rPr>
          <w:rFonts w:ascii="Times New Roman" w:hAnsi="Times New Roman"/>
          <w:sz w:val="20"/>
          <w:szCs w:val="20"/>
        </w:rPr>
        <w:t xml:space="preserve"> na štúdium v rámci celej STU</w:t>
      </w:r>
      <w:r w:rsidRPr="00EF2265">
        <w:rPr>
          <w:rFonts w:ascii="Times New Roman" w:hAnsi="Times New Roman"/>
          <w:sz w:val="20"/>
          <w:szCs w:val="20"/>
          <w:shd w:val="clear" w:color="auto" w:fill="FFFFFF"/>
        </w:rPr>
        <w:t xml:space="preserve">. </w:t>
      </w:r>
      <w:r w:rsidRPr="00EF2265">
        <w:rPr>
          <w:rFonts w:ascii="Times New Roman" w:hAnsi="Times New Roman"/>
          <w:sz w:val="20"/>
          <w:szCs w:val="20"/>
        </w:rPr>
        <w:t xml:space="preserve">Týmto uchádzačom ustanovenie § 58 ods. 8 zákona vytvára možnosť podať žiadosť o preskúmanie rozhodnutia o výsledku prijímacieho konania. </w:t>
      </w:r>
    </w:p>
    <w:p w:rsidR="00AD09B4" w:rsidRPr="00EF2265" w:rsidRDefault="00AD09B4" w:rsidP="00E86605">
      <w:pPr>
        <w:tabs>
          <w:tab w:val="left" w:pos="0"/>
          <w:tab w:val="left" w:pos="284"/>
          <w:tab w:val="left" w:pos="9356"/>
        </w:tabs>
        <w:jc w:val="left"/>
        <w:rPr>
          <w:rFonts w:ascii="Times New Roman" w:hAnsi="Times New Roman"/>
          <w:sz w:val="20"/>
          <w:szCs w:val="20"/>
        </w:rPr>
      </w:pP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_Ref474777914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29</w:t>
      </w:r>
      <w:r w:rsidRPr="00EF2265">
        <w:rPr>
          <w:rFonts w:ascii="Times New Roman" w:hAnsi="Times New Roman"/>
          <w:sz w:val="20"/>
          <w:szCs w:val="20"/>
        </w:rPr>
        <w:fldChar w:fldCharType="end"/>
      </w:r>
      <w:r w:rsidRPr="00EF2265">
        <w:rPr>
          <w:rFonts w:ascii="Times New Roman" w:hAnsi="Times New Roman"/>
          <w:sz w:val="20"/>
          <w:szCs w:val="20"/>
        </w:rPr>
        <w:t xml:space="preserve"> 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_Ref474780276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Graf č. </w:t>
      </w:r>
      <w:r w:rsidR="001C349F">
        <w:rPr>
          <w:rFonts w:ascii="Times New Roman" w:hAnsi="Times New Roman"/>
          <w:sz w:val="20"/>
          <w:szCs w:val="20"/>
        </w:rPr>
        <w:t>13</w:t>
      </w:r>
      <w:r w:rsidRPr="00EF2265">
        <w:rPr>
          <w:rFonts w:ascii="Times New Roman" w:hAnsi="Times New Roman"/>
          <w:sz w:val="20"/>
          <w:szCs w:val="20"/>
        </w:rPr>
        <w:fldChar w:fldCharType="end"/>
      </w:r>
      <w:r w:rsidRPr="00EF2265">
        <w:rPr>
          <w:rFonts w:ascii="Times New Roman" w:hAnsi="Times New Roman"/>
          <w:sz w:val="20"/>
          <w:szCs w:val="20"/>
        </w:rPr>
        <w:t xml:space="preserve"> udáva počet žiadostí neprijatých uchádzačov na štúdium postúpených na preskúmanie rektorovi. Z celkového </w:t>
      </w:r>
      <w:r w:rsidRPr="00EF2265">
        <w:rPr>
          <w:rFonts w:ascii="Times New Roman" w:hAnsi="Times New Roman"/>
          <w:sz w:val="20"/>
          <w:szCs w:val="20"/>
          <w:shd w:val="clear" w:color="auto" w:fill="FFFFFF"/>
        </w:rPr>
        <w:t xml:space="preserve">počtu </w:t>
      </w:r>
      <w:r w:rsidRPr="00EF2265">
        <w:rPr>
          <w:rFonts w:ascii="Times New Roman" w:hAnsi="Times New Roman"/>
          <w:b/>
          <w:sz w:val="20"/>
          <w:szCs w:val="20"/>
          <w:shd w:val="clear" w:color="auto" w:fill="FFFFFF"/>
        </w:rPr>
        <w:t>1 445</w:t>
      </w:r>
      <w:r w:rsidRPr="00EF2265">
        <w:rPr>
          <w:rFonts w:ascii="Times New Roman" w:hAnsi="Times New Roman"/>
          <w:sz w:val="20"/>
          <w:szCs w:val="20"/>
          <w:shd w:val="clear" w:color="auto" w:fill="FFFFFF"/>
        </w:rPr>
        <w:t xml:space="preserve"> </w:t>
      </w:r>
      <w:r w:rsidRPr="00EF2265">
        <w:rPr>
          <w:rFonts w:ascii="Times New Roman" w:hAnsi="Times New Roman"/>
          <w:sz w:val="20"/>
          <w:szCs w:val="20"/>
        </w:rPr>
        <w:t xml:space="preserve">neprijatých uchádzačov na štúdium všetkých troch stupňov na STU žiadosti o preskúmanie podalo </w:t>
      </w:r>
      <w:r w:rsidRPr="00EF2265">
        <w:rPr>
          <w:rFonts w:ascii="Times New Roman" w:hAnsi="Times New Roman"/>
          <w:b/>
          <w:sz w:val="20"/>
          <w:szCs w:val="20"/>
        </w:rPr>
        <w:t xml:space="preserve">41 </w:t>
      </w:r>
      <w:r w:rsidRPr="00EF2265">
        <w:rPr>
          <w:rFonts w:ascii="Times New Roman" w:hAnsi="Times New Roman"/>
          <w:sz w:val="20"/>
          <w:szCs w:val="20"/>
        </w:rPr>
        <w:t>neprijatých</w:t>
      </w:r>
      <w:r w:rsidRPr="00EF2265">
        <w:rPr>
          <w:rFonts w:ascii="Times New Roman" w:hAnsi="Times New Roman"/>
          <w:b/>
          <w:sz w:val="20"/>
          <w:szCs w:val="20"/>
        </w:rPr>
        <w:t xml:space="preserve"> </w:t>
      </w:r>
      <w:r w:rsidRPr="00EF2265">
        <w:rPr>
          <w:rFonts w:ascii="Times New Roman" w:hAnsi="Times New Roman"/>
          <w:sz w:val="20"/>
          <w:szCs w:val="20"/>
        </w:rPr>
        <w:t xml:space="preserve">uchádzačov, čo predstavuje </w:t>
      </w:r>
      <w:r w:rsidRPr="00EF2265">
        <w:rPr>
          <w:rFonts w:ascii="Times New Roman" w:hAnsi="Times New Roman"/>
          <w:b/>
          <w:sz w:val="20"/>
          <w:szCs w:val="20"/>
        </w:rPr>
        <w:t>3</w:t>
      </w:r>
      <w:r w:rsidRPr="00EF2265">
        <w:rPr>
          <w:rFonts w:ascii="Times New Roman" w:hAnsi="Times New Roman"/>
          <w:b/>
          <w:sz w:val="20"/>
          <w:szCs w:val="20"/>
          <w:shd w:val="clear" w:color="auto" w:fill="FFFFFF"/>
        </w:rPr>
        <w:t xml:space="preserve"> % </w:t>
      </w:r>
      <w:r w:rsidRPr="00EF2265">
        <w:rPr>
          <w:rFonts w:ascii="Times New Roman" w:hAnsi="Times New Roman"/>
          <w:sz w:val="20"/>
          <w:szCs w:val="20"/>
          <w:shd w:val="clear" w:color="auto" w:fill="FFFFFF"/>
        </w:rPr>
        <w:t xml:space="preserve">z celkového počtu neprijatých uchádzačov. </w:t>
      </w:r>
      <w:r w:rsidRPr="00EF2265">
        <w:rPr>
          <w:rFonts w:ascii="Times New Roman" w:hAnsi="Times New Roman"/>
          <w:sz w:val="20"/>
          <w:szCs w:val="20"/>
        </w:rPr>
        <w:t>Rektor vo všetkých prípadoch zamietol žiadosti o preskúmanie rozhodnutia o výsledku prijímacieho konania a potvrdil pôvodné rozhodnutia dekanov fakúlt, ktoré boli vydané v súlade so zákonom, s vnútornými predpismi STU a fakúlt STU.</w:t>
      </w:r>
    </w:p>
    <w:p w:rsidR="00AD09B4" w:rsidRPr="00EF2265" w:rsidRDefault="00AD09B4" w:rsidP="00E86605">
      <w:pPr>
        <w:tabs>
          <w:tab w:val="left" w:pos="0"/>
          <w:tab w:val="left" w:pos="284"/>
          <w:tab w:val="left" w:pos="9356"/>
        </w:tabs>
        <w:jc w:val="left"/>
        <w:rPr>
          <w:rFonts w:ascii="Times New Roman" w:hAnsi="Times New Roman"/>
          <w:sz w:val="20"/>
          <w:szCs w:val="20"/>
        </w:rPr>
      </w:pPr>
      <w:r w:rsidRPr="00EF2265">
        <w:rPr>
          <w:rFonts w:ascii="Times New Roman" w:hAnsi="Times New Roman"/>
          <w:sz w:val="20"/>
          <w:szCs w:val="20"/>
        </w:rPr>
        <w:t>Pomerne nízke percento žiadostí o preskúmanie rozhodnutí o neprijatí na štúdium zo všetkých neprijatých uchádzačov vyjadruje uznanie uchádzačov o korektnosti priebehu prijímacieho konania a objektívnosti rozhodnutia o jeho výsledku.</w:t>
      </w:r>
    </w:p>
    <w:p w:rsidR="00AD09B4" w:rsidRPr="00EF2265" w:rsidRDefault="00AD09B4" w:rsidP="00E86605">
      <w:pPr>
        <w:tabs>
          <w:tab w:val="left" w:pos="0"/>
          <w:tab w:val="left" w:pos="284"/>
          <w:tab w:val="left" w:pos="9356"/>
        </w:tabs>
        <w:jc w:val="left"/>
        <w:rPr>
          <w:rFonts w:ascii="Times New Roman" w:hAnsi="Times New Roman"/>
          <w:sz w:val="20"/>
          <w:szCs w:val="20"/>
        </w:rPr>
      </w:pPr>
    </w:p>
    <w:p w:rsidR="00AD09B4" w:rsidRPr="00EF2265" w:rsidRDefault="00AD09B4" w:rsidP="00E86605">
      <w:pPr>
        <w:tabs>
          <w:tab w:val="left" w:pos="0"/>
          <w:tab w:val="left" w:pos="284"/>
          <w:tab w:val="left" w:pos="9356"/>
        </w:tabs>
        <w:jc w:val="left"/>
        <w:rPr>
          <w:rFonts w:ascii="Times New Roman" w:hAnsi="Times New Roman"/>
          <w:sz w:val="20"/>
          <w:szCs w:val="20"/>
        </w:rPr>
      </w:pPr>
      <w:bookmarkStart w:id="99" w:name="_Ref474777914"/>
      <w:bookmarkStart w:id="100" w:name="_Toc534793968"/>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29</w:t>
      </w:r>
      <w:r w:rsidRPr="00EF2265">
        <w:rPr>
          <w:rFonts w:ascii="Times New Roman" w:hAnsi="Times New Roman"/>
          <w:sz w:val="20"/>
          <w:szCs w:val="20"/>
        </w:rPr>
        <w:fldChar w:fldCharType="end"/>
      </w:r>
      <w:bookmarkEnd w:id="99"/>
      <w:r w:rsidRPr="00EF2265">
        <w:rPr>
          <w:rFonts w:ascii="Times New Roman" w:hAnsi="Times New Roman"/>
          <w:sz w:val="20"/>
          <w:szCs w:val="20"/>
        </w:rPr>
        <w:t>: Počet žiadostí o preskúmanie rozhodnutí dekana o neprijatí na štúdium v akademickom roku 2018/2019</w:t>
      </w:r>
      <w:bookmarkEnd w:id="100"/>
    </w:p>
    <w:tbl>
      <w:tblPr>
        <w:tblW w:w="9421" w:type="dxa"/>
        <w:tblInd w:w="75" w:type="dxa"/>
        <w:tblCellMar>
          <w:left w:w="70" w:type="dxa"/>
          <w:right w:w="70" w:type="dxa"/>
        </w:tblCellMar>
        <w:tblLook w:val="04A0" w:firstRow="1" w:lastRow="0" w:firstColumn="1" w:lastColumn="0" w:noHBand="0" w:noVBand="1"/>
      </w:tblPr>
      <w:tblGrid>
        <w:gridCol w:w="874"/>
        <w:gridCol w:w="1248"/>
        <w:gridCol w:w="1718"/>
        <w:gridCol w:w="1258"/>
        <w:gridCol w:w="1503"/>
        <w:gridCol w:w="1191"/>
        <w:gridCol w:w="1629"/>
      </w:tblGrid>
      <w:tr w:rsidR="00AD09B4" w:rsidRPr="00EF2265" w:rsidTr="00351A8A">
        <w:trPr>
          <w:trHeight w:val="20"/>
        </w:trPr>
        <w:tc>
          <w:tcPr>
            <w:tcW w:w="874" w:type="dxa"/>
            <w:vMerge w:val="restart"/>
            <w:tcBorders>
              <w:top w:val="single" w:sz="4" w:space="0" w:color="auto"/>
              <w:left w:val="single" w:sz="4" w:space="0" w:color="auto"/>
              <w:bottom w:val="single" w:sz="4" w:space="0" w:color="000000"/>
              <w:right w:val="single" w:sz="4" w:space="0" w:color="auto"/>
            </w:tcBorders>
            <w:noWrap/>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2966" w:type="dxa"/>
            <w:gridSpan w:val="2"/>
            <w:tcBorders>
              <w:top w:val="single" w:sz="4" w:space="0" w:color="auto"/>
              <w:left w:val="nil"/>
              <w:bottom w:val="single" w:sz="4" w:space="0" w:color="auto"/>
              <w:right w:val="double" w:sz="6" w:space="0" w:color="000000"/>
            </w:tcBorders>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 stupeň</w:t>
            </w:r>
          </w:p>
        </w:tc>
        <w:tc>
          <w:tcPr>
            <w:tcW w:w="2761" w:type="dxa"/>
            <w:gridSpan w:val="2"/>
            <w:tcBorders>
              <w:top w:val="single" w:sz="4" w:space="0" w:color="auto"/>
              <w:left w:val="nil"/>
              <w:bottom w:val="single" w:sz="4" w:space="0" w:color="auto"/>
              <w:right w:val="double" w:sz="6" w:space="0" w:color="000000"/>
            </w:tcBorders>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II. stupeň</w:t>
            </w:r>
          </w:p>
        </w:tc>
        <w:tc>
          <w:tcPr>
            <w:tcW w:w="2820" w:type="dxa"/>
            <w:gridSpan w:val="2"/>
            <w:tcBorders>
              <w:top w:val="single" w:sz="4" w:space="0" w:color="auto"/>
              <w:left w:val="nil"/>
              <w:bottom w:val="single" w:sz="4" w:space="0" w:color="auto"/>
              <w:right w:val="double" w:sz="6" w:space="0" w:color="000000"/>
            </w:tcBorders>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III. stupeň</w:t>
            </w:r>
          </w:p>
        </w:tc>
      </w:tr>
      <w:tr w:rsidR="00AD09B4" w:rsidRPr="00EF2265" w:rsidTr="00351A8A">
        <w:trPr>
          <w:trHeight w:val="29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248" w:type="dxa"/>
            <w:vMerge w:val="restart"/>
            <w:tcBorders>
              <w:top w:val="nil"/>
              <w:left w:val="single" w:sz="4" w:space="0" w:color="auto"/>
              <w:bottom w:val="single" w:sz="4" w:space="0" w:color="000000"/>
              <w:right w:val="single" w:sz="4" w:space="0" w:color="auto"/>
            </w:tcBorders>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neprijatí</w:t>
            </w:r>
          </w:p>
        </w:tc>
        <w:tc>
          <w:tcPr>
            <w:tcW w:w="1718" w:type="dxa"/>
            <w:vMerge w:val="restart"/>
            <w:tcBorders>
              <w:top w:val="nil"/>
              <w:left w:val="single" w:sz="4" w:space="0" w:color="auto"/>
              <w:bottom w:val="single" w:sz="4" w:space="0" w:color="000000"/>
              <w:right w:val="double" w:sz="6"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 toho žiadosti</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o preskúmanie</w:t>
            </w:r>
          </w:p>
        </w:tc>
        <w:tc>
          <w:tcPr>
            <w:tcW w:w="1258" w:type="dxa"/>
            <w:vMerge w:val="restart"/>
            <w:tcBorders>
              <w:top w:val="nil"/>
              <w:left w:val="double" w:sz="6" w:space="0" w:color="auto"/>
              <w:bottom w:val="single" w:sz="4" w:space="0" w:color="000000"/>
              <w:right w:val="single" w:sz="4" w:space="0" w:color="auto"/>
            </w:tcBorders>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neprijatí</w:t>
            </w:r>
          </w:p>
        </w:tc>
        <w:tc>
          <w:tcPr>
            <w:tcW w:w="1503" w:type="dxa"/>
            <w:vMerge w:val="restart"/>
            <w:tcBorders>
              <w:top w:val="nil"/>
              <w:left w:val="single" w:sz="4" w:space="0" w:color="auto"/>
              <w:bottom w:val="single" w:sz="4" w:space="0" w:color="000000"/>
              <w:right w:val="double" w:sz="6"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 toho žiadosti</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o preskúmanie</w:t>
            </w:r>
          </w:p>
        </w:tc>
        <w:tc>
          <w:tcPr>
            <w:tcW w:w="1191" w:type="dxa"/>
            <w:vMerge w:val="restart"/>
            <w:tcBorders>
              <w:top w:val="nil"/>
              <w:left w:val="double" w:sz="6" w:space="0" w:color="auto"/>
              <w:bottom w:val="single" w:sz="4" w:space="0" w:color="000000"/>
              <w:right w:val="single" w:sz="4" w:space="0" w:color="auto"/>
            </w:tcBorders>
            <w:noWrap/>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neprijatí</w:t>
            </w:r>
          </w:p>
        </w:tc>
        <w:tc>
          <w:tcPr>
            <w:tcW w:w="1629" w:type="dxa"/>
            <w:vMerge w:val="restart"/>
            <w:tcBorders>
              <w:top w:val="nil"/>
              <w:left w:val="single" w:sz="4" w:space="0" w:color="auto"/>
              <w:bottom w:val="single" w:sz="4" w:space="0" w:color="000000"/>
              <w:right w:val="double" w:sz="6"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 toho žiadosti</w:t>
            </w:r>
          </w:p>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o preskúmanie</w:t>
            </w:r>
          </w:p>
        </w:tc>
      </w:tr>
      <w:tr w:rsidR="00AD09B4" w:rsidRPr="00EF2265" w:rsidTr="00351A8A">
        <w:trPr>
          <w:trHeight w:val="29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p>
        </w:tc>
        <w:tc>
          <w:tcPr>
            <w:tcW w:w="1248" w:type="dxa"/>
            <w:vMerge/>
            <w:tcBorders>
              <w:top w:val="nil"/>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718" w:type="dxa"/>
            <w:vMerge/>
            <w:tcBorders>
              <w:top w:val="nil"/>
              <w:left w:val="single" w:sz="4" w:space="0" w:color="auto"/>
              <w:bottom w:val="single" w:sz="4" w:space="0" w:color="000000"/>
              <w:right w:val="double" w:sz="6"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258" w:type="dxa"/>
            <w:vMerge/>
            <w:tcBorders>
              <w:top w:val="nil"/>
              <w:left w:val="double" w:sz="6"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503" w:type="dxa"/>
            <w:vMerge/>
            <w:tcBorders>
              <w:top w:val="nil"/>
              <w:left w:val="single" w:sz="4" w:space="0" w:color="auto"/>
              <w:bottom w:val="single" w:sz="4" w:space="0" w:color="000000"/>
              <w:right w:val="double" w:sz="6"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191" w:type="dxa"/>
            <w:vMerge/>
            <w:tcBorders>
              <w:top w:val="nil"/>
              <w:left w:val="double" w:sz="6"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1629" w:type="dxa"/>
            <w:vMerge/>
            <w:tcBorders>
              <w:top w:val="nil"/>
              <w:left w:val="single" w:sz="4" w:space="0" w:color="auto"/>
              <w:bottom w:val="single" w:sz="4" w:space="0" w:color="000000"/>
              <w:right w:val="double" w:sz="6"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r>
      <w:tr w:rsidR="00AD09B4" w:rsidRPr="00EF2265" w:rsidTr="00351A8A">
        <w:trPr>
          <w:trHeight w:val="20"/>
        </w:trPr>
        <w:tc>
          <w:tcPr>
            <w:tcW w:w="874" w:type="dxa"/>
            <w:tcBorders>
              <w:top w:val="nil"/>
              <w:left w:val="single" w:sz="4" w:space="0" w:color="auto"/>
              <w:bottom w:val="single" w:sz="4" w:space="0" w:color="auto"/>
              <w:right w:val="single" w:sz="4" w:space="0" w:color="auto"/>
            </w:tcBorders>
            <w:noWrap/>
            <w:vAlign w:val="bottom"/>
            <w:hideMark/>
          </w:tcPr>
          <w:p w:rsidR="00AD09B4" w:rsidRPr="00EF2265" w:rsidRDefault="00AD09B4"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1248" w:type="dxa"/>
            <w:tcBorders>
              <w:top w:val="nil"/>
              <w:left w:val="nil"/>
              <w:bottom w:val="single" w:sz="4" w:space="0" w:color="auto"/>
              <w:right w:val="single" w:sz="4" w:space="0" w:color="auto"/>
            </w:tcBorders>
            <w:noWrap/>
            <w:vAlign w:val="center"/>
            <w:hideMark/>
          </w:tcPr>
          <w:p w:rsidR="00AD09B4" w:rsidRPr="00EF2265" w:rsidRDefault="00AD09B4" w:rsidP="00EF2265">
            <w:pPr>
              <w:ind w:leftChars="-10" w:left="-2" w:hangingChars="11" w:hanging="22"/>
              <w:jc w:val="left"/>
              <w:rPr>
                <w:rFonts w:ascii="Times New Roman" w:hAnsi="Times New Roman"/>
                <w:b/>
                <w:bCs/>
                <w:sz w:val="20"/>
                <w:szCs w:val="20"/>
              </w:rPr>
            </w:pPr>
            <w:r w:rsidRPr="00EF2265">
              <w:rPr>
                <w:rFonts w:ascii="Times New Roman" w:hAnsi="Times New Roman"/>
                <w:b/>
                <w:bCs/>
                <w:sz w:val="20"/>
                <w:szCs w:val="20"/>
              </w:rPr>
              <w:t>1 144</w:t>
            </w:r>
          </w:p>
        </w:tc>
        <w:tc>
          <w:tcPr>
            <w:tcW w:w="1718" w:type="dxa"/>
            <w:tcBorders>
              <w:top w:val="nil"/>
              <w:left w:val="nil"/>
              <w:bottom w:val="single" w:sz="4" w:space="0" w:color="auto"/>
              <w:right w:val="double" w:sz="6" w:space="0" w:color="auto"/>
            </w:tcBorders>
            <w:noWrap/>
            <w:vAlign w:val="center"/>
            <w:hideMark/>
          </w:tcPr>
          <w:p w:rsidR="00AD09B4" w:rsidRPr="00EF2265" w:rsidRDefault="00AD09B4" w:rsidP="00EF2265">
            <w:pPr>
              <w:ind w:leftChars="-10" w:left="-2" w:hangingChars="11" w:hanging="22"/>
              <w:jc w:val="left"/>
              <w:rPr>
                <w:rFonts w:ascii="Times New Roman" w:hAnsi="Times New Roman"/>
                <w:b/>
                <w:bCs/>
                <w:sz w:val="20"/>
                <w:szCs w:val="20"/>
              </w:rPr>
            </w:pPr>
            <w:r w:rsidRPr="00EF2265">
              <w:rPr>
                <w:rFonts w:ascii="Times New Roman" w:hAnsi="Times New Roman"/>
                <w:b/>
                <w:bCs/>
                <w:sz w:val="20"/>
                <w:szCs w:val="20"/>
              </w:rPr>
              <w:t>36</w:t>
            </w:r>
          </w:p>
        </w:tc>
        <w:tc>
          <w:tcPr>
            <w:tcW w:w="1258" w:type="dxa"/>
            <w:tcBorders>
              <w:top w:val="nil"/>
              <w:left w:val="nil"/>
              <w:bottom w:val="single" w:sz="4" w:space="0" w:color="auto"/>
              <w:right w:val="single" w:sz="4" w:space="0" w:color="auto"/>
            </w:tcBorders>
            <w:noWrap/>
            <w:vAlign w:val="center"/>
            <w:hideMark/>
          </w:tcPr>
          <w:p w:rsidR="00AD09B4" w:rsidRPr="00EF2265" w:rsidRDefault="00AD09B4" w:rsidP="00EF2265">
            <w:pPr>
              <w:ind w:leftChars="-10" w:left="-2" w:hangingChars="11" w:hanging="22"/>
              <w:jc w:val="left"/>
              <w:rPr>
                <w:rFonts w:ascii="Times New Roman" w:hAnsi="Times New Roman"/>
                <w:b/>
                <w:bCs/>
                <w:sz w:val="20"/>
                <w:szCs w:val="20"/>
              </w:rPr>
            </w:pPr>
            <w:r w:rsidRPr="00EF2265">
              <w:rPr>
                <w:rFonts w:ascii="Times New Roman" w:hAnsi="Times New Roman"/>
                <w:b/>
                <w:bCs/>
                <w:sz w:val="20"/>
                <w:szCs w:val="20"/>
              </w:rPr>
              <w:t>263</w:t>
            </w:r>
          </w:p>
        </w:tc>
        <w:tc>
          <w:tcPr>
            <w:tcW w:w="1503" w:type="dxa"/>
            <w:tcBorders>
              <w:top w:val="nil"/>
              <w:left w:val="nil"/>
              <w:bottom w:val="single" w:sz="4" w:space="0" w:color="auto"/>
              <w:right w:val="double" w:sz="6" w:space="0" w:color="auto"/>
            </w:tcBorders>
            <w:noWrap/>
            <w:vAlign w:val="center"/>
            <w:hideMark/>
          </w:tcPr>
          <w:p w:rsidR="00AD09B4" w:rsidRPr="00EF2265" w:rsidRDefault="00AD09B4" w:rsidP="00EF2265">
            <w:pPr>
              <w:ind w:leftChars="-10" w:left="-2" w:hangingChars="11" w:hanging="22"/>
              <w:jc w:val="left"/>
              <w:rPr>
                <w:rFonts w:ascii="Times New Roman" w:hAnsi="Times New Roman"/>
                <w:b/>
                <w:bCs/>
                <w:sz w:val="20"/>
                <w:szCs w:val="20"/>
              </w:rPr>
            </w:pPr>
            <w:r w:rsidRPr="00EF2265">
              <w:rPr>
                <w:rFonts w:ascii="Times New Roman" w:hAnsi="Times New Roman"/>
                <w:b/>
                <w:bCs/>
                <w:sz w:val="20"/>
                <w:szCs w:val="20"/>
              </w:rPr>
              <w:t>3</w:t>
            </w:r>
          </w:p>
        </w:tc>
        <w:tc>
          <w:tcPr>
            <w:tcW w:w="1191" w:type="dxa"/>
            <w:tcBorders>
              <w:top w:val="nil"/>
              <w:left w:val="nil"/>
              <w:bottom w:val="single" w:sz="4" w:space="0" w:color="auto"/>
              <w:right w:val="single" w:sz="4" w:space="0" w:color="auto"/>
            </w:tcBorders>
            <w:noWrap/>
            <w:vAlign w:val="center"/>
            <w:hideMark/>
          </w:tcPr>
          <w:p w:rsidR="00AD09B4" w:rsidRPr="00EF2265" w:rsidRDefault="00AD09B4" w:rsidP="00EF2265">
            <w:pPr>
              <w:ind w:leftChars="-10" w:left="-2" w:hangingChars="11" w:hanging="22"/>
              <w:jc w:val="left"/>
              <w:rPr>
                <w:rFonts w:ascii="Times New Roman" w:hAnsi="Times New Roman"/>
                <w:b/>
                <w:bCs/>
                <w:sz w:val="20"/>
                <w:szCs w:val="20"/>
              </w:rPr>
            </w:pPr>
            <w:r w:rsidRPr="00EF2265">
              <w:rPr>
                <w:rFonts w:ascii="Times New Roman" w:hAnsi="Times New Roman"/>
                <w:b/>
                <w:bCs/>
                <w:sz w:val="20"/>
                <w:szCs w:val="20"/>
              </w:rPr>
              <w:t>38</w:t>
            </w:r>
          </w:p>
        </w:tc>
        <w:tc>
          <w:tcPr>
            <w:tcW w:w="1629" w:type="dxa"/>
            <w:tcBorders>
              <w:top w:val="nil"/>
              <w:left w:val="nil"/>
              <w:bottom w:val="single" w:sz="4" w:space="0" w:color="auto"/>
              <w:right w:val="double" w:sz="6" w:space="0" w:color="auto"/>
            </w:tcBorders>
            <w:noWrap/>
            <w:vAlign w:val="center"/>
            <w:hideMark/>
          </w:tcPr>
          <w:p w:rsidR="00AD09B4" w:rsidRPr="00EF2265" w:rsidRDefault="00AD09B4" w:rsidP="00EF2265">
            <w:pPr>
              <w:ind w:leftChars="-10" w:left="-2" w:hangingChars="11" w:hanging="22"/>
              <w:jc w:val="left"/>
              <w:rPr>
                <w:rFonts w:ascii="Times New Roman" w:hAnsi="Times New Roman"/>
                <w:b/>
                <w:bCs/>
                <w:sz w:val="20"/>
                <w:szCs w:val="20"/>
              </w:rPr>
            </w:pPr>
            <w:r w:rsidRPr="00EF2265">
              <w:rPr>
                <w:rFonts w:ascii="Times New Roman" w:hAnsi="Times New Roman"/>
                <w:b/>
                <w:bCs/>
                <w:sz w:val="20"/>
                <w:szCs w:val="20"/>
              </w:rPr>
              <w:t>2</w:t>
            </w:r>
          </w:p>
        </w:tc>
      </w:tr>
    </w:tbl>
    <w:p w:rsidR="00AD09B4" w:rsidRPr="00EF2265" w:rsidRDefault="00AD09B4" w:rsidP="00E86605">
      <w:pPr>
        <w:tabs>
          <w:tab w:val="left" w:pos="0"/>
          <w:tab w:val="left" w:pos="284"/>
          <w:tab w:val="left" w:pos="9356"/>
        </w:tabs>
        <w:jc w:val="left"/>
        <w:rPr>
          <w:rFonts w:ascii="Times New Roman" w:hAnsi="Times New Roman"/>
          <w:sz w:val="20"/>
          <w:szCs w:val="20"/>
        </w:rPr>
      </w:pPr>
    </w:p>
    <w:p w:rsidR="00AD09B4" w:rsidRPr="00EF2265" w:rsidRDefault="00AD09B4" w:rsidP="00E86605">
      <w:pPr>
        <w:tabs>
          <w:tab w:val="left" w:pos="0"/>
          <w:tab w:val="left" w:pos="284"/>
          <w:tab w:val="left" w:pos="9356"/>
        </w:tabs>
        <w:jc w:val="left"/>
        <w:rPr>
          <w:rFonts w:ascii="Times New Roman" w:hAnsi="Times New Roman"/>
          <w:sz w:val="20"/>
          <w:szCs w:val="20"/>
        </w:rPr>
      </w:pPr>
      <w:bookmarkStart w:id="101" w:name="_Ref474780276"/>
      <w:bookmarkStart w:id="102" w:name="_Toc534724800"/>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13</w:t>
      </w:r>
      <w:r w:rsidRPr="00EF2265">
        <w:rPr>
          <w:rFonts w:ascii="Times New Roman" w:hAnsi="Times New Roman"/>
          <w:sz w:val="20"/>
          <w:szCs w:val="20"/>
        </w:rPr>
        <w:fldChar w:fldCharType="end"/>
      </w:r>
      <w:bookmarkEnd w:id="101"/>
      <w:r w:rsidRPr="00EF2265">
        <w:rPr>
          <w:rFonts w:ascii="Times New Roman" w:hAnsi="Times New Roman"/>
          <w:sz w:val="20"/>
          <w:szCs w:val="20"/>
        </w:rPr>
        <w:t>: Počet žiadostí o preskúmanie rozhodnutí dekana o neprijatí na štúdium a percento z celkového počtu neprijatých na príslušnom stupni štúdia v akademickom roku 2018/2019</w:t>
      </w:r>
      <w:bookmarkEnd w:id="102"/>
      <w:r w:rsidRPr="00EF2265">
        <w:rPr>
          <w:rFonts w:ascii="Times New Roman" w:hAnsi="Times New Roman"/>
          <w:sz w:val="20"/>
          <w:szCs w:val="20"/>
        </w:rPr>
        <w:t xml:space="preserve"> </w:t>
      </w:r>
    </w:p>
    <w:p w:rsidR="00AD09B4" w:rsidRPr="00EF2265" w:rsidRDefault="00AD09B4" w:rsidP="00E86605">
      <w:pPr>
        <w:tabs>
          <w:tab w:val="left" w:pos="0"/>
          <w:tab w:val="left" w:pos="284"/>
          <w:tab w:val="left" w:pos="9356"/>
        </w:tabs>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184425E6" wp14:editId="096EB3DC">
            <wp:extent cx="4226560" cy="2251495"/>
            <wp:effectExtent l="0" t="0" r="254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br w:type="page"/>
      </w:r>
    </w:p>
    <w:p w:rsidR="00AD09B4" w:rsidRPr="00EF2265" w:rsidRDefault="00AD09B4" w:rsidP="00E86605">
      <w:pPr>
        <w:pStyle w:val="Nadpis2"/>
        <w:numPr>
          <w:ilvl w:val="2"/>
          <w:numId w:val="9"/>
        </w:numPr>
        <w:tabs>
          <w:tab w:val="left" w:pos="9356"/>
        </w:tabs>
        <w:rPr>
          <w:rFonts w:ascii="Times New Roman" w:hAnsi="Times New Roman" w:cs="Times New Roman"/>
          <w:color w:val="auto"/>
          <w:sz w:val="20"/>
          <w:szCs w:val="20"/>
        </w:rPr>
      </w:pPr>
      <w:bookmarkStart w:id="103" w:name="_Toc534722887"/>
      <w:r w:rsidRPr="00EF2265">
        <w:rPr>
          <w:rFonts w:ascii="Times New Roman" w:hAnsi="Times New Roman" w:cs="Times New Roman"/>
          <w:color w:val="auto"/>
          <w:sz w:val="20"/>
          <w:szCs w:val="20"/>
        </w:rPr>
        <w:lastRenderedPageBreak/>
        <w:t>Vyhodnotenie prijímacieho konania na STU na akademický rok 2018/2019</w:t>
      </w:r>
      <w:bookmarkEnd w:id="103"/>
    </w:p>
    <w:p w:rsidR="00AD09B4" w:rsidRPr="00EF2265" w:rsidRDefault="00AD09B4" w:rsidP="00E86605">
      <w:pPr>
        <w:tabs>
          <w:tab w:val="left" w:pos="9356"/>
        </w:tabs>
        <w:ind w:right="272"/>
        <w:jc w:val="left"/>
        <w:rPr>
          <w:rFonts w:ascii="Times New Roman" w:hAnsi="Times New Roman"/>
          <w:b/>
          <w:sz w:val="20"/>
          <w:szCs w:val="20"/>
        </w:rPr>
      </w:pPr>
      <w:r w:rsidRPr="00EF2265">
        <w:rPr>
          <w:rFonts w:ascii="Times New Roman" w:hAnsi="Times New Roman"/>
          <w:sz w:val="20"/>
          <w:szCs w:val="20"/>
        </w:rPr>
        <w:t xml:space="preserve">V prijímacom konaní 2018/2019 bolo celkovo zapísaných </w:t>
      </w:r>
      <w:r w:rsidRPr="00EF2265">
        <w:rPr>
          <w:rFonts w:ascii="Times New Roman" w:hAnsi="Times New Roman"/>
          <w:b/>
          <w:sz w:val="20"/>
          <w:szCs w:val="20"/>
        </w:rPr>
        <w:t>3 345</w:t>
      </w:r>
      <w:r w:rsidRPr="00EF2265">
        <w:rPr>
          <w:rFonts w:ascii="Times New Roman" w:hAnsi="Times New Roman"/>
          <w:sz w:val="20"/>
          <w:szCs w:val="20"/>
        </w:rPr>
        <w:t xml:space="preserve"> študentov z prijatých uchádzačov na prvom stupni štúdia; </w:t>
      </w:r>
      <w:r w:rsidRPr="00EF2265">
        <w:rPr>
          <w:rFonts w:ascii="Times New Roman" w:hAnsi="Times New Roman"/>
          <w:b/>
          <w:sz w:val="20"/>
          <w:szCs w:val="20"/>
        </w:rPr>
        <w:t>1 661</w:t>
      </w:r>
      <w:r w:rsidRPr="00EF2265">
        <w:rPr>
          <w:rFonts w:ascii="Times New Roman" w:hAnsi="Times New Roman"/>
          <w:sz w:val="20"/>
          <w:szCs w:val="20"/>
        </w:rPr>
        <w:t xml:space="preserve"> na druhom stupni štúdia a </w:t>
      </w:r>
      <w:r w:rsidRPr="00EF2265">
        <w:rPr>
          <w:rFonts w:ascii="Times New Roman" w:hAnsi="Times New Roman"/>
          <w:b/>
          <w:sz w:val="20"/>
          <w:szCs w:val="20"/>
        </w:rPr>
        <w:t>209</w:t>
      </w:r>
      <w:r w:rsidRPr="00EF2265">
        <w:rPr>
          <w:rFonts w:ascii="Times New Roman" w:hAnsi="Times New Roman"/>
          <w:sz w:val="20"/>
          <w:szCs w:val="20"/>
        </w:rPr>
        <w:t xml:space="preserve"> na treťom stupni štúdia (175 v dennej forme a 34 v  externej forme). </w:t>
      </w:r>
      <w:r w:rsidRPr="00EF2265">
        <w:rPr>
          <w:rFonts w:ascii="Times New Roman" w:hAnsi="Times New Roman"/>
          <w:b/>
          <w:sz w:val="20"/>
          <w:szCs w:val="20"/>
        </w:rPr>
        <w:t>Spolu sa zapísalo 5 215 nových študentov.</w:t>
      </w:r>
    </w:p>
    <w:p w:rsidR="00AD09B4" w:rsidRPr="00EF2265" w:rsidRDefault="00AD09B4" w:rsidP="00E86605">
      <w:pPr>
        <w:tabs>
          <w:tab w:val="left" w:pos="9356"/>
        </w:tabs>
        <w:spacing w:after="120"/>
        <w:ind w:right="272"/>
        <w:jc w:val="left"/>
        <w:rPr>
          <w:rFonts w:ascii="Times New Roman" w:hAnsi="Times New Roman"/>
          <w:sz w:val="20"/>
          <w:szCs w:val="20"/>
        </w:rPr>
      </w:pPr>
      <w:r w:rsidRPr="00EF2265">
        <w:rPr>
          <w:rFonts w:ascii="Times New Roman" w:hAnsi="Times New Roman"/>
          <w:sz w:val="20"/>
          <w:szCs w:val="20"/>
        </w:rPr>
        <w:t xml:space="preserve">Oproti akademickému roku 2017/2018 to znamená nárast o 4,2 % na prvom stupni štúdia a 2,5 % na treťom stupni štúdia a pokles o 6,6 % na druhom stupni štúdia. </w:t>
      </w:r>
    </w:p>
    <w:p w:rsidR="00AD09B4" w:rsidRPr="00EF2265" w:rsidRDefault="00AD09B4" w:rsidP="00E86605">
      <w:pPr>
        <w:tabs>
          <w:tab w:val="left" w:pos="9356"/>
        </w:tabs>
        <w:spacing w:after="120"/>
        <w:ind w:right="272"/>
        <w:jc w:val="left"/>
        <w:rPr>
          <w:rFonts w:ascii="Times New Roman" w:hAnsi="Times New Roman"/>
          <w:sz w:val="20"/>
          <w:szCs w:val="20"/>
        </w:rPr>
      </w:pPr>
      <w:r w:rsidRPr="00EF2265">
        <w:rPr>
          <w:rFonts w:ascii="Times New Roman" w:hAnsi="Times New Roman"/>
          <w:b/>
          <w:sz w:val="20"/>
          <w:szCs w:val="20"/>
        </w:rPr>
        <w:t xml:space="preserve">Napriek demografickému vývoju obyvateľstva SR je potešiteľné, že počet zapísaných študentov z prijatých uchádzačov na prvom stupni štúdia úmerne neklesol, ale naopak mierne vzrástol. </w:t>
      </w:r>
      <w:r w:rsidRPr="00EF2265">
        <w:rPr>
          <w:rFonts w:ascii="Times New Roman" w:hAnsi="Times New Roman"/>
          <w:sz w:val="20"/>
          <w:szCs w:val="20"/>
        </w:rPr>
        <w:t>Negatívnym faktorom pre slovenské vysoké školy je stále narastajúci počet študentov odchádzajúcich študovať na vysoké školy v Českej republike. Tento odliv mladých ľudí do zahraničia sa dlhodobo prejavuje znižujúcim sa počtom uchádzačov o štúdium na slovenských vysokých školách.</w:t>
      </w:r>
    </w:p>
    <w:p w:rsidR="00AD09B4" w:rsidRPr="00EF2265" w:rsidRDefault="00AD09B4" w:rsidP="00E86605">
      <w:pPr>
        <w:tabs>
          <w:tab w:val="left" w:pos="9356"/>
        </w:tabs>
        <w:spacing w:after="120"/>
        <w:ind w:right="272"/>
        <w:jc w:val="left"/>
        <w:rPr>
          <w:rFonts w:ascii="Times New Roman" w:hAnsi="Times New Roman"/>
          <w:sz w:val="20"/>
          <w:szCs w:val="20"/>
        </w:rPr>
      </w:pPr>
      <w:r w:rsidRPr="00EF2265">
        <w:rPr>
          <w:rFonts w:ascii="Times New Roman" w:hAnsi="Times New Roman"/>
          <w:sz w:val="20"/>
          <w:szCs w:val="20"/>
        </w:rPr>
        <w:t>Dôvodom pretrvávajúceho nízkeho percenta zapísaných študentov na prvom stupni štúdia z prijatých uchádzačov, ktoré dlhodobo osciluje na úrovni okolo 65 %, ako už bolo v predchádzajúcich častiach správy uvedené, je fakt, že uchádzači si podávajú prihlášku na viac vysokých škôl a nakoniec sa rozhodnú pre menej náročné štúdium nie v technických študijných odboroch a zároveň kvalitní uchádzači si volia štúdium v zahraničí, najmä na konkurenčných vysokých školách technického zamerania v Českej republike.</w:t>
      </w:r>
    </w:p>
    <w:p w:rsidR="00AD09B4" w:rsidRPr="00EF2265" w:rsidRDefault="00AD09B4" w:rsidP="00E86605">
      <w:pPr>
        <w:tabs>
          <w:tab w:val="left" w:pos="9356"/>
        </w:tabs>
        <w:spacing w:after="120"/>
        <w:ind w:right="272"/>
        <w:jc w:val="left"/>
        <w:rPr>
          <w:rFonts w:ascii="Times New Roman" w:hAnsi="Times New Roman"/>
          <w:sz w:val="20"/>
          <w:szCs w:val="20"/>
        </w:rPr>
      </w:pPr>
      <w:r w:rsidRPr="00EF2265">
        <w:rPr>
          <w:rFonts w:ascii="Times New Roman" w:hAnsi="Times New Roman"/>
          <w:sz w:val="20"/>
          <w:szCs w:val="20"/>
        </w:rPr>
        <w:t>Pokles na druhom stupni štúdia je v podstatnej miere zapríčinený tým</w:t>
      </w:r>
      <w:r w:rsidRPr="00EF2265">
        <w:rPr>
          <w:rFonts w:ascii="Times New Roman" w:hAnsi="Times New Roman"/>
          <w:sz w:val="20"/>
          <w:szCs w:val="20"/>
          <w:shd w:val="clear" w:color="auto" w:fill="FFFFFF"/>
        </w:rPr>
        <w:t>, že pomerne vysoké percento študentov STU (43 %) v poslednom roku štúdia na prvom stupni „zostáva“ v štúdiu a štúdium neskončia v štandardnej dĺžke štúdia, resp. skončia neúspešne</w:t>
      </w:r>
      <w:r w:rsidRPr="00EF2265">
        <w:rPr>
          <w:rFonts w:ascii="Times New Roman" w:hAnsi="Times New Roman"/>
          <w:sz w:val="20"/>
          <w:szCs w:val="20"/>
        </w:rPr>
        <w:t>.</w:t>
      </w:r>
    </w:p>
    <w:p w:rsidR="00AD09B4" w:rsidRPr="00EF2265" w:rsidRDefault="00AD09B4" w:rsidP="00E86605">
      <w:pPr>
        <w:tabs>
          <w:tab w:val="left" w:pos="9356"/>
        </w:tabs>
        <w:ind w:right="275"/>
        <w:jc w:val="left"/>
        <w:rPr>
          <w:rFonts w:ascii="Times New Roman" w:hAnsi="Times New Roman"/>
          <w:sz w:val="20"/>
          <w:szCs w:val="20"/>
        </w:rPr>
      </w:pPr>
      <w:r w:rsidRPr="00EF2265">
        <w:rPr>
          <w:rFonts w:ascii="Times New Roman" w:hAnsi="Times New Roman"/>
          <w:sz w:val="20"/>
          <w:szCs w:val="20"/>
        </w:rPr>
        <w:t>Porovnanie uchádzačov a zapísaných študentov v prijímacom konaní na akademický rok 2018/2019 s predchádzajúcim akademickým rokom je uvedené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_Ref474777941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30</w:t>
      </w:r>
      <w:r w:rsidRPr="00EF2265">
        <w:rPr>
          <w:rFonts w:ascii="Times New Roman" w:hAnsi="Times New Roman"/>
          <w:sz w:val="20"/>
          <w:szCs w:val="20"/>
        </w:rPr>
        <w:fldChar w:fldCharType="end"/>
      </w:r>
      <w:r w:rsidRPr="00EF2265">
        <w:rPr>
          <w:rFonts w:ascii="Times New Roman" w:hAnsi="Times New Roman"/>
          <w:sz w:val="20"/>
          <w:szCs w:val="20"/>
        </w:rPr>
        <w:t xml:space="preserve"> 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_Ref474777952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31</w:t>
      </w:r>
      <w:r w:rsidRPr="00EF2265">
        <w:rPr>
          <w:rFonts w:ascii="Times New Roman" w:hAnsi="Times New Roman"/>
          <w:sz w:val="20"/>
          <w:szCs w:val="20"/>
        </w:rPr>
        <w:fldChar w:fldCharType="end"/>
      </w:r>
      <w:r w:rsidRPr="00EF2265">
        <w:rPr>
          <w:rFonts w:ascii="Times New Roman" w:hAnsi="Times New Roman"/>
          <w:sz w:val="20"/>
          <w:szCs w:val="20"/>
        </w:rPr>
        <w:t>.</w:t>
      </w:r>
    </w:p>
    <w:p w:rsidR="00AD09B4" w:rsidRPr="00EF2265" w:rsidRDefault="00AD09B4" w:rsidP="00E86605">
      <w:pPr>
        <w:tabs>
          <w:tab w:val="left" w:pos="9356"/>
        </w:tabs>
        <w:ind w:right="275"/>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104" w:name="_Ref474777941"/>
      <w:bookmarkStart w:id="105" w:name="_Toc534793969"/>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30</w:t>
      </w:r>
      <w:r w:rsidRPr="00EF2265">
        <w:rPr>
          <w:rFonts w:ascii="Times New Roman" w:hAnsi="Times New Roman"/>
          <w:sz w:val="20"/>
          <w:szCs w:val="20"/>
        </w:rPr>
        <w:fldChar w:fldCharType="end"/>
      </w:r>
      <w:bookmarkEnd w:id="104"/>
      <w:r w:rsidRPr="00EF2265">
        <w:rPr>
          <w:rFonts w:ascii="Times New Roman" w:hAnsi="Times New Roman"/>
          <w:sz w:val="20"/>
          <w:szCs w:val="20"/>
        </w:rPr>
        <w:t>: Počet uchádzačov na STU v akademickom roku 2018/2019 v porovnaní s predchádzajúcim akademickým rokom</w:t>
      </w:r>
      <w:bookmarkEnd w:id="105"/>
    </w:p>
    <w:tbl>
      <w:tblPr>
        <w:tblW w:w="6111" w:type="dxa"/>
        <w:tblInd w:w="55" w:type="dxa"/>
        <w:tblLayout w:type="fixed"/>
        <w:tblCellMar>
          <w:left w:w="70" w:type="dxa"/>
          <w:right w:w="70" w:type="dxa"/>
        </w:tblCellMar>
        <w:tblLook w:val="04A0" w:firstRow="1" w:lastRow="0" w:firstColumn="1" w:lastColumn="0" w:noHBand="0" w:noVBand="1"/>
      </w:tblPr>
      <w:tblGrid>
        <w:gridCol w:w="1222"/>
        <w:gridCol w:w="1222"/>
        <w:gridCol w:w="1222"/>
        <w:gridCol w:w="1222"/>
        <w:gridCol w:w="1223"/>
      </w:tblGrid>
      <w:tr w:rsidR="00AD09B4" w:rsidRPr="00EF2265" w:rsidTr="00351A8A">
        <w:trPr>
          <w:trHeight w:val="20"/>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i/>
                <w:iCs/>
                <w:sz w:val="20"/>
                <w:szCs w:val="20"/>
                <w:lang w:eastAsia="sk-SK"/>
              </w:rPr>
            </w:pPr>
            <w:r w:rsidRPr="00EF2265">
              <w:rPr>
                <w:rFonts w:ascii="Times New Roman" w:eastAsia="Times New Roman" w:hAnsi="Times New Roman"/>
                <w:b/>
                <w:i/>
                <w:iCs/>
                <w:sz w:val="20"/>
                <w:szCs w:val="20"/>
                <w:lang w:eastAsia="sk-SK"/>
              </w:rPr>
              <w:t> </w:t>
            </w:r>
          </w:p>
        </w:tc>
        <w:tc>
          <w:tcPr>
            <w:tcW w:w="1222" w:type="dxa"/>
            <w:tcBorders>
              <w:top w:val="single" w:sz="4" w:space="0" w:color="auto"/>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2017/2018</w:t>
            </w:r>
          </w:p>
        </w:tc>
        <w:tc>
          <w:tcPr>
            <w:tcW w:w="1222" w:type="dxa"/>
            <w:tcBorders>
              <w:top w:val="single" w:sz="4" w:space="0" w:color="auto"/>
              <w:left w:val="nil"/>
              <w:bottom w:val="single" w:sz="4" w:space="0" w:color="auto"/>
              <w:right w:val="single" w:sz="4" w:space="0" w:color="auto"/>
            </w:tcBorders>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2018/2019</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rozdiel</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rozdiel v %</w:t>
            </w:r>
          </w:p>
        </w:tc>
      </w:tr>
      <w:tr w:rsidR="00AD09B4" w:rsidRPr="00EF2265" w:rsidTr="00351A8A">
        <w:trPr>
          <w:trHeight w:val="2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I. stupeň</w:t>
            </w:r>
          </w:p>
        </w:tc>
        <w:tc>
          <w:tcPr>
            <w:tcW w:w="1222"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5 719</w:t>
            </w:r>
          </w:p>
        </w:tc>
        <w:tc>
          <w:tcPr>
            <w:tcW w:w="1222"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6 100</w:t>
            </w:r>
          </w:p>
        </w:tc>
        <w:tc>
          <w:tcPr>
            <w:tcW w:w="1222"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381</w:t>
            </w:r>
          </w:p>
        </w:tc>
        <w:tc>
          <w:tcPr>
            <w:tcW w:w="122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6,7%</w:t>
            </w:r>
          </w:p>
        </w:tc>
      </w:tr>
      <w:tr w:rsidR="00AD09B4" w:rsidRPr="00EF2265" w:rsidTr="00351A8A">
        <w:trPr>
          <w:trHeight w:val="2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II. stupeň</w:t>
            </w:r>
          </w:p>
        </w:tc>
        <w:tc>
          <w:tcPr>
            <w:tcW w:w="1222"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2 228</w:t>
            </w:r>
          </w:p>
        </w:tc>
        <w:tc>
          <w:tcPr>
            <w:tcW w:w="1222"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2 132</w:t>
            </w:r>
          </w:p>
        </w:tc>
        <w:tc>
          <w:tcPr>
            <w:tcW w:w="1222"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-96</w:t>
            </w:r>
          </w:p>
        </w:tc>
        <w:tc>
          <w:tcPr>
            <w:tcW w:w="122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-4,3%</w:t>
            </w:r>
          </w:p>
        </w:tc>
      </w:tr>
      <w:tr w:rsidR="00AD09B4" w:rsidRPr="00EF2265" w:rsidTr="00351A8A">
        <w:trPr>
          <w:trHeight w:val="2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III. stupeň</w:t>
            </w:r>
          </w:p>
        </w:tc>
        <w:tc>
          <w:tcPr>
            <w:tcW w:w="1222"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272</w:t>
            </w:r>
          </w:p>
        </w:tc>
        <w:tc>
          <w:tcPr>
            <w:tcW w:w="1222" w:type="dxa"/>
            <w:tcBorders>
              <w:top w:val="nil"/>
              <w:left w:val="nil"/>
              <w:bottom w:val="single" w:sz="4" w:space="0" w:color="auto"/>
              <w:right w:val="single" w:sz="4" w:space="0" w:color="auto"/>
            </w:tcBorders>
            <w:shd w:val="clear" w:color="000000" w:fill="FFFFFF"/>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268</w:t>
            </w:r>
          </w:p>
        </w:tc>
        <w:tc>
          <w:tcPr>
            <w:tcW w:w="1222" w:type="dxa"/>
            <w:tcBorders>
              <w:top w:val="nil"/>
              <w:left w:val="nil"/>
              <w:bottom w:val="single" w:sz="4" w:space="0" w:color="auto"/>
              <w:right w:val="single" w:sz="4" w:space="0" w:color="auto"/>
            </w:tcBorders>
            <w:shd w:val="clear" w:color="auto" w:fill="auto"/>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w:t>
            </w:r>
          </w:p>
        </w:tc>
        <w:tc>
          <w:tcPr>
            <w:tcW w:w="1223" w:type="dxa"/>
            <w:tcBorders>
              <w:top w:val="nil"/>
              <w:left w:val="nil"/>
              <w:bottom w:val="single" w:sz="4" w:space="0" w:color="auto"/>
              <w:right w:val="single" w:sz="4" w:space="0" w:color="auto"/>
            </w:tcBorders>
            <w:shd w:val="clear" w:color="auto" w:fill="EEECE1" w:themeFill="background2"/>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-1,5%</w:t>
            </w:r>
          </w:p>
        </w:tc>
      </w:tr>
    </w:tbl>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shd w:val="clear" w:color="auto" w:fill="FFFFFF"/>
        <w:tabs>
          <w:tab w:val="left" w:pos="0"/>
          <w:tab w:val="left" w:pos="284"/>
          <w:tab w:val="left" w:pos="9356"/>
        </w:tabs>
        <w:jc w:val="left"/>
        <w:rPr>
          <w:rFonts w:ascii="Times New Roman" w:hAnsi="Times New Roman"/>
          <w:sz w:val="20"/>
          <w:szCs w:val="20"/>
        </w:rPr>
      </w:pPr>
      <w:bookmarkStart w:id="106" w:name="_Ref474777952"/>
      <w:bookmarkStart w:id="107" w:name="_Toc534793970"/>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31</w:t>
      </w:r>
      <w:r w:rsidRPr="00EF2265">
        <w:rPr>
          <w:rFonts w:ascii="Times New Roman" w:hAnsi="Times New Roman"/>
          <w:sz w:val="20"/>
          <w:szCs w:val="20"/>
        </w:rPr>
        <w:fldChar w:fldCharType="end"/>
      </w:r>
      <w:bookmarkEnd w:id="106"/>
      <w:r w:rsidRPr="00EF2265">
        <w:rPr>
          <w:rFonts w:ascii="Times New Roman" w:hAnsi="Times New Roman"/>
          <w:sz w:val="20"/>
          <w:szCs w:val="20"/>
        </w:rPr>
        <w:t>: Počet zapísaných študentov na STU v akademickom roku 2018/2019 v porovnaní s predchádzajúcim akademickým rokom</w:t>
      </w:r>
      <w:bookmarkEnd w:id="107"/>
    </w:p>
    <w:tbl>
      <w:tblPr>
        <w:tblW w:w="611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2"/>
        <w:gridCol w:w="1222"/>
        <w:gridCol w:w="1222"/>
        <w:gridCol w:w="1222"/>
        <w:gridCol w:w="1223"/>
      </w:tblGrid>
      <w:tr w:rsidR="00AD09B4" w:rsidRPr="00EF2265" w:rsidTr="00351A8A">
        <w:trPr>
          <w:trHeight w:val="20"/>
        </w:trPr>
        <w:tc>
          <w:tcPr>
            <w:tcW w:w="1222" w:type="dxa"/>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 </w:t>
            </w:r>
          </w:p>
        </w:tc>
        <w:tc>
          <w:tcPr>
            <w:tcW w:w="1222" w:type="dxa"/>
            <w:shd w:val="clear" w:color="000000" w:fill="FFFFFF"/>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2017/2018</w:t>
            </w:r>
          </w:p>
        </w:tc>
        <w:tc>
          <w:tcPr>
            <w:tcW w:w="1222" w:type="dxa"/>
            <w:shd w:val="clear" w:color="000000" w:fill="FFFFFF"/>
            <w:noWrap/>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2018/2019</w:t>
            </w:r>
          </w:p>
        </w:tc>
        <w:tc>
          <w:tcPr>
            <w:tcW w:w="1222" w:type="dxa"/>
            <w:shd w:val="clear" w:color="auto" w:fill="auto"/>
            <w:noWrap/>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rozdiel</w:t>
            </w:r>
          </w:p>
        </w:tc>
        <w:tc>
          <w:tcPr>
            <w:tcW w:w="1223" w:type="dxa"/>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rozdiel v %</w:t>
            </w:r>
          </w:p>
        </w:tc>
      </w:tr>
      <w:tr w:rsidR="00AD09B4" w:rsidRPr="00EF2265" w:rsidTr="00351A8A">
        <w:trPr>
          <w:trHeight w:val="20"/>
        </w:trPr>
        <w:tc>
          <w:tcPr>
            <w:tcW w:w="1222" w:type="dxa"/>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I. stupeň</w:t>
            </w:r>
          </w:p>
        </w:tc>
        <w:tc>
          <w:tcPr>
            <w:tcW w:w="1222" w:type="dxa"/>
            <w:shd w:val="clear" w:color="000000" w:fill="FFFFFF"/>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3 210</w:t>
            </w:r>
          </w:p>
        </w:tc>
        <w:tc>
          <w:tcPr>
            <w:tcW w:w="1222" w:type="dxa"/>
            <w:shd w:val="clear" w:color="000000" w:fill="FFFFFF"/>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3 345</w:t>
            </w:r>
          </w:p>
        </w:tc>
        <w:tc>
          <w:tcPr>
            <w:tcW w:w="1222" w:type="dxa"/>
            <w:shd w:val="clear" w:color="auto" w:fill="auto"/>
            <w:noWrap/>
            <w:vAlign w:val="center"/>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135</w:t>
            </w:r>
          </w:p>
        </w:tc>
        <w:tc>
          <w:tcPr>
            <w:tcW w:w="1223" w:type="dxa"/>
            <w:shd w:val="clear" w:color="auto" w:fill="EEECE1" w:themeFill="background2"/>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4,2%</w:t>
            </w:r>
          </w:p>
        </w:tc>
      </w:tr>
      <w:tr w:rsidR="00AD09B4" w:rsidRPr="00EF2265" w:rsidTr="00351A8A">
        <w:trPr>
          <w:trHeight w:val="20"/>
        </w:trPr>
        <w:tc>
          <w:tcPr>
            <w:tcW w:w="1222" w:type="dxa"/>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II. stupeň</w:t>
            </w:r>
          </w:p>
        </w:tc>
        <w:tc>
          <w:tcPr>
            <w:tcW w:w="1222" w:type="dxa"/>
            <w:shd w:val="clear" w:color="000000" w:fill="FFFFFF"/>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1 779</w:t>
            </w:r>
          </w:p>
        </w:tc>
        <w:tc>
          <w:tcPr>
            <w:tcW w:w="1222" w:type="dxa"/>
            <w:shd w:val="clear" w:color="000000" w:fill="FFFFFF"/>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1 661</w:t>
            </w:r>
          </w:p>
        </w:tc>
        <w:tc>
          <w:tcPr>
            <w:tcW w:w="1222" w:type="dxa"/>
            <w:shd w:val="clear" w:color="auto" w:fill="auto"/>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-118</w:t>
            </w:r>
          </w:p>
        </w:tc>
        <w:tc>
          <w:tcPr>
            <w:tcW w:w="1223" w:type="dxa"/>
            <w:shd w:val="clear" w:color="auto" w:fill="EEECE1" w:themeFill="background2"/>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-6,6%</w:t>
            </w:r>
          </w:p>
        </w:tc>
      </w:tr>
      <w:tr w:rsidR="00AD09B4" w:rsidRPr="00EF2265" w:rsidTr="00351A8A">
        <w:trPr>
          <w:trHeight w:val="20"/>
        </w:trPr>
        <w:tc>
          <w:tcPr>
            <w:tcW w:w="1222" w:type="dxa"/>
            <w:shd w:val="clear" w:color="auto" w:fill="auto"/>
            <w:vAlign w:val="center"/>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III. stupeň</w:t>
            </w:r>
          </w:p>
        </w:tc>
        <w:tc>
          <w:tcPr>
            <w:tcW w:w="1222" w:type="dxa"/>
            <w:shd w:val="clear" w:color="000000" w:fill="FFFFFF"/>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204</w:t>
            </w:r>
          </w:p>
        </w:tc>
        <w:tc>
          <w:tcPr>
            <w:tcW w:w="1222" w:type="dxa"/>
            <w:shd w:val="clear" w:color="000000" w:fill="FFFFFF"/>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209</w:t>
            </w:r>
          </w:p>
        </w:tc>
        <w:tc>
          <w:tcPr>
            <w:tcW w:w="1222" w:type="dxa"/>
            <w:shd w:val="clear" w:color="auto" w:fill="auto"/>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5</w:t>
            </w:r>
          </w:p>
        </w:tc>
        <w:tc>
          <w:tcPr>
            <w:tcW w:w="1223" w:type="dxa"/>
            <w:shd w:val="clear" w:color="auto" w:fill="EEECE1" w:themeFill="background2"/>
            <w:noWrap/>
            <w:vAlign w:val="center"/>
            <w:hideMark/>
          </w:tcPr>
          <w:p w:rsidR="00AD09B4" w:rsidRPr="00EF2265" w:rsidRDefault="00AD09B4" w:rsidP="00E86605">
            <w:pPr>
              <w:jc w:val="left"/>
              <w:rPr>
                <w:rFonts w:ascii="Times New Roman" w:hAnsi="Times New Roman"/>
                <w:color w:val="000000"/>
                <w:sz w:val="20"/>
                <w:szCs w:val="20"/>
              </w:rPr>
            </w:pPr>
            <w:r w:rsidRPr="00EF2265">
              <w:rPr>
                <w:rFonts w:ascii="Times New Roman" w:hAnsi="Times New Roman"/>
                <w:color w:val="000000"/>
                <w:sz w:val="20"/>
                <w:szCs w:val="20"/>
              </w:rPr>
              <w:t>2,5%</w:t>
            </w:r>
          </w:p>
        </w:tc>
      </w:tr>
    </w:tbl>
    <w:p w:rsidR="00AD09B4" w:rsidRPr="00EF2265" w:rsidRDefault="00AD09B4" w:rsidP="00E86605">
      <w:pPr>
        <w:tabs>
          <w:tab w:val="left" w:pos="9356"/>
        </w:tabs>
        <w:jc w:val="left"/>
        <w:rPr>
          <w:rFonts w:ascii="Times New Roman" w:hAnsi="Times New Roman"/>
          <w:sz w:val="20"/>
          <w:szCs w:val="20"/>
          <w:shd w:val="clear" w:color="auto" w:fill="FFFFFF"/>
        </w:rPr>
      </w:pPr>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Vývoj počtu zapísaných študentov z prijatých uchádzačov na prvý stupeň dennej formy štúdia na vybraných vysokých školách v Slovenskej republike od akademického roku 2013/2014 uvádza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_Ref474777971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32</w:t>
      </w:r>
      <w:r w:rsidRPr="00EF2265">
        <w:rPr>
          <w:rFonts w:ascii="Times New Roman" w:hAnsi="Times New Roman"/>
          <w:sz w:val="20"/>
          <w:szCs w:val="20"/>
        </w:rPr>
        <w:fldChar w:fldCharType="end"/>
      </w:r>
      <w:r w:rsidRPr="00EF2265">
        <w:rPr>
          <w:rFonts w:ascii="Times New Roman" w:hAnsi="Times New Roman"/>
          <w:sz w:val="20"/>
          <w:szCs w:val="20"/>
        </w:rPr>
        <w:t xml:space="preserve"> a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_Ref474780316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Graf č. </w:t>
      </w:r>
      <w:r w:rsidR="001C349F">
        <w:rPr>
          <w:rFonts w:ascii="Times New Roman" w:hAnsi="Times New Roman"/>
          <w:sz w:val="20"/>
          <w:szCs w:val="20"/>
        </w:rPr>
        <w:t>14</w:t>
      </w:r>
      <w:r w:rsidRPr="00EF2265">
        <w:rPr>
          <w:rFonts w:ascii="Times New Roman" w:hAnsi="Times New Roman"/>
          <w:sz w:val="20"/>
          <w:szCs w:val="20"/>
        </w:rPr>
        <w:fldChar w:fldCharType="end"/>
      </w:r>
      <w:r w:rsidRPr="00EF2265">
        <w:rPr>
          <w:rFonts w:ascii="Times New Roman" w:hAnsi="Times New Roman"/>
          <w:sz w:val="20"/>
          <w:szCs w:val="20"/>
        </w:rPr>
        <w:t xml:space="preserve">. </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Z grafu je evidentný klesajúci trend zapísaných novoprijatých študentov na všetkých porovnávaných vysokých školách. </w:t>
      </w: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shd w:val="clear" w:color="auto" w:fill="FFFFFF"/>
        <w:tabs>
          <w:tab w:val="left" w:pos="0"/>
          <w:tab w:val="left" w:pos="284"/>
          <w:tab w:val="left" w:pos="9356"/>
        </w:tabs>
        <w:jc w:val="left"/>
        <w:rPr>
          <w:rFonts w:ascii="Times New Roman" w:hAnsi="Times New Roman"/>
          <w:sz w:val="20"/>
          <w:szCs w:val="20"/>
        </w:rPr>
      </w:pPr>
      <w:bookmarkStart w:id="108" w:name="_Ref474777971"/>
      <w:bookmarkStart w:id="109" w:name="_Toc534793971"/>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32</w:t>
      </w:r>
      <w:r w:rsidRPr="00EF2265">
        <w:rPr>
          <w:rFonts w:ascii="Times New Roman" w:hAnsi="Times New Roman"/>
          <w:sz w:val="20"/>
          <w:szCs w:val="20"/>
        </w:rPr>
        <w:fldChar w:fldCharType="end"/>
      </w:r>
      <w:bookmarkEnd w:id="108"/>
      <w:r w:rsidRPr="00EF2265">
        <w:rPr>
          <w:rFonts w:ascii="Times New Roman" w:hAnsi="Times New Roman"/>
          <w:sz w:val="20"/>
          <w:szCs w:val="20"/>
        </w:rPr>
        <w:t>: Vývoj prijatých a zapísaných na prvom stupni dennej formy štúdia na vybraných vysokých školách v Slovenskej republike za päť rokov</w:t>
      </w:r>
      <w:bookmarkEnd w:id="109"/>
    </w:p>
    <w:tbl>
      <w:tblPr>
        <w:tblW w:w="9493" w:type="dxa"/>
        <w:tblLayout w:type="fixed"/>
        <w:tblCellMar>
          <w:left w:w="70" w:type="dxa"/>
          <w:right w:w="70" w:type="dxa"/>
        </w:tblCellMar>
        <w:tblLook w:val="04A0" w:firstRow="1" w:lastRow="0" w:firstColumn="1" w:lastColumn="0" w:noHBand="0" w:noVBand="1"/>
      </w:tblPr>
      <w:tblGrid>
        <w:gridCol w:w="846"/>
        <w:gridCol w:w="864"/>
        <w:gridCol w:w="865"/>
        <w:gridCol w:w="865"/>
        <w:gridCol w:w="864"/>
        <w:gridCol w:w="865"/>
        <w:gridCol w:w="865"/>
        <w:gridCol w:w="864"/>
        <w:gridCol w:w="865"/>
        <w:gridCol w:w="865"/>
        <w:gridCol w:w="865"/>
      </w:tblGrid>
      <w:tr w:rsidR="00AD09B4" w:rsidRPr="00EF2265" w:rsidTr="00351A8A">
        <w:trPr>
          <w:trHeight w:val="315"/>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17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2014/2015</w:t>
            </w:r>
          </w:p>
        </w:tc>
        <w:tc>
          <w:tcPr>
            <w:tcW w:w="17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2015/2016</w:t>
            </w:r>
          </w:p>
        </w:tc>
        <w:tc>
          <w:tcPr>
            <w:tcW w:w="17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2016/2017</w:t>
            </w:r>
          </w:p>
        </w:tc>
        <w:tc>
          <w:tcPr>
            <w:tcW w:w="17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2017/2018</w:t>
            </w:r>
          </w:p>
        </w:tc>
        <w:tc>
          <w:tcPr>
            <w:tcW w:w="17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2018/2019</w:t>
            </w:r>
          </w:p>
        </w:tc>
      </w:tr>
      <w:tr w:rsidR="00AD09B4" w:rsidRPr="00EF2265" w:rsidTr="00351A8A">
        <w:trPr>
          <w:trHeight w:val="315"/>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AD09B4" w:rsidRPr="00EF2265" w:rsidRDefault="00AD09B4" w:rsidP="00E86605">
            <w:pPr>
              <w:tabs>
                <w:tab w:val="left" w:pos="9356"/>
              </w:tabs>
              <w:jc w:val="left"/>
              <w:rPr>
                <w:rFonts w:ascii="Times New Roman" w:eastAsia="Times New Roman" w:hAnsi="Times New Roman"/>
                <w:sz w:val="20"/>
                <w:szCs w:val="20"/>
                <w:lang w:eastAsia="sk-SK"/>
              </w:rPr>
            </w:pP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prijatí</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zapísaní</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prijatí</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zapísaní</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prijatí</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zapísaní</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prijatí</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zapísaní</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prijatí</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zapísaní</w:t>
            </w:r>
          </w:p>
        </w:tc>
      </w:tr>
      <w:tr w:rsidR="00AD09B4" w:rsidRPr="00EF2265" w:rsidTr="00351A8A">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UK</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7 192</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4 726</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6 656</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4 278</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6 715</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4 457</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6 468</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4 114</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7 322</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4 473</w:t>
            </w:r>
          </w:p>
        </w:tc>
      </w:tr>
      <w:tr w:rsidR="00AD09B4" w:rsidRPr="00EF2265" w:rsidTr="00351A8A">
        <w:trPr>
          <w:trHeight w:val="315"/>
        </w:trPr>
        <w:tc>
          <w:tcPr>
            <w:tcW w:w="846"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STU</w:t>
            </w:r>
          </w:p>
        </w:tc>
        <w:tc>
          <w:tcPr>
            <w:tcW w:w="86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6 660</w:t>
            </w:r>
          </w:p>
        </w:tc>
        <w:tc>
          <w:tcPr>
            <w:tcW w:w="86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4 473</w:t>
            </w:r>
          </w:p>
        </w:tc>
        <w:tc>
          <w:tcPr>
            <w:tcW w:w="86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6 402</w:t>
            </w:r>
          </w:p>
        </w:tc>
        <w:tc>
          <w:tcPr>
            <w:tcW w:w="86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4 171</w:t>
            </w:r>
          </w:p>
        </w:tc>
        <w:tc>
          <w:tcPr>
            <w:tcW w:w="86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5 358</w:t>
            </w:r>
          </w:p>
        </w:tc>
        <w:tc>
          <w:tcPr>
            <w:tcW w:w="86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3 205</w:t>
            </w:r>
          </w:p>
        </w:tc>
        <w:tc>
          <w:tcPr>
            <w:tcW w:w="864"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4 711</w:t>
            </w:r>
          </w:p>
        </w:tc>
        <w:tc>
          <w:tcPr>
            <w:tcW w:w="86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3 210</w:t>
            </w:r>
          </w:p>
        </w:tc>
        <w:tc>
          <w:tcPr>
            <w:tcW w:w="86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4 956</w:t>
            </w:r>
          </w:p>
        </w:tc>
        <w:tc>
          <w:tcPr>
            <w:tcW w:w="865" w:type="dxa"/>
            <w:tcBorders>
              <w:top w:val="nil"/>
              <w:left w:val="nil"/>
              <w:bottom w:val="single" w:sz="4" w:space="0" w:color="auto"/>
              <w:right w:val="single" w:sz="4" w:space="0" w:color="auto"/>
            </w:tcBorders>
            <w:shd w:val="clear" w:color="auto" w:fill="EEECE1" w:themeFill="background2"/>
            <w:noWrap/>
            <w:vAlign w:val="bottom"/>
            <w:hideMark/>
          </w:tcPr>
          <w:p w:rsidR="00AD09B4" w:rsidRPr="00EF2265" w:rsidRDefault="00AD09B4" w:rsidP="00E86605">
            <w:pPr>
              <w:jc w:val="left"/>
              <w:rPr>
                <w:rFonts w:ascii="Times New Roman" w:hAnsi="Times New Roman"/>
                <w:b/>
                <w:sz w:val="20"/>
                <w:szCs w:val="20"/>
              </w:rPr>
            </w:pPr>
            <w:r w:rsidRPr="00EF2265">
              <w:rPr>
                <w:rFonts w:ascii="Times New Roman" w:hAnsi="Times New Roman"/>
                <w:b/>
                <w:sz w:val="20"/>
                <w:szCs w:val="20"/>
              </w:rPr>
              <w:t>3 345</w:t>
            </w:r>
          </w:p>
        </w:tc>
      </w:tr>
      <w:tr w:rsidR="00AD09B4" w:rsidRPr="00EF2265" w:rsidTr="00351A8A">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SPU</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2 471</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1 706</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2 339</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1 658</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2 123</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1 519</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1 755</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1 264</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1 744</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1 247</w:t>
            </w:r>
          </w:p>
        </w:tc>
      </w:tr>
      <w:tr w:rsidR="00AD09B4" w:rsidRPr="00EF2265" w:rsidTr="00351A8A">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TU ZV</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1 231</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788</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1 026</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674</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833</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558</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722</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532</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714</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521</w:t>
            </w:r>
          </w:p>
        </w:tc>
      </w:tr>
      <w:tr w:rsidR="00AD09B4" w:rsidRPr="00EF2265" w:rsidTr="00351A8A">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TU KE</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3 716</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2 282</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3 391</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2 129</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3 708</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2 316</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3 520</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2 244</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4 058</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2 758</w:t>
            </w:r>
          </w:p>
        </w:tc>
      </w:tr>
      <w:tr w:rsidR="00AD09B4" w:rsidRPr="00EF2265" w:rsidTr="00351A8A">
        <w:trPr>
          <w:trHeight w:val="31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AD09B4" w:rsidRPr="00EF2265" w:rsidRDefault="00AD09B4"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 xml:space="preserve">ŽU </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3 316</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2 389</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3 284</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2 257</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2 984</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2 113</w:t>
            </w:r>
          </w:p>
        </w:tc>
        <w:tc>
          <w:tcPr>
            <w:tcW w:w="864"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3 112</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2 108</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3 060</w:t>
            </w:r>
          </w:p>
        </w:tc>
        <w:tc>
          <w:tcPr>
            <w:tcW w:w="865" w:type="dxa"/>
            <w:tcBorders>
              <w:top w:val="nil"/>
              <w:left w:val="nil"/>
              <w:bottom w:val="single" w:sz="4" w:space="0" w:color="auto"/>
              <w:right w:val="single" w:sz="4" w:space="0" w:color="auto"/>
            </w:tcBorders>
            <w:shd w:val="clear" w:color="auto" w:fill="auto"/>
            <w:noWrap/>
            <w:vAlign w:val="bottom"/>
            <w:hideMark/>
          </w:tcPr>
          <w:p w:rsidR="00AD09B4" w:rsidRPr="00EF2265" w:rsidRDefault="00AD09B4" w:rsidP="00E86605">
            <w:pPr>
              <w:jc w:val="left"/>
              <w:rPr>
                <w:rFonts w:ascii="Times New Roman" w:hAnsi="Times New Roman"/>
                <w:sz w:val="20"/>
                <w:szCs w:val="20"/>
              </w:rPr>
            </w:pPr>
            <w:r w:rsidRPr="00EF2265">
              <w:rPr>
                <w:rFonts w:ascii="Times New Roman" w:hAnsi="Times New Roman"/>
                <w:sz w:val="20"/>
                <w:szCs w:val="20"/>
              </w:rPr>
              <w:t>2 230</w:t>
            </w:r>
          </w:p>
        </w:tc>
      </w:tr>
    </w:tbl>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Vysvetlivky:</w:t>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Zdroj: Štatistické ročenky CVTI SR, </w:t>
      </w:r>
      <w:hyperlink r:id="rId44" w:history="1">
        <w:r w:rsidRPr="00EF2265">
          <w:rPr>
            <w:rStyle w:val="Hypertextovprepojenie"/>
            <w:rFonts w:ascii="Times New Roman" w:hAnsi="Times New Roman"/>
            <w:color w:val="auto"/>
            <w:sz w:val="20"/>
            <w:szCs w:val="20"/>
          </w:rPr>
          <w:t>www.cvtisr.sk</w:t>
        </w:r>
      </w:hyperlink>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p>
    <w:p w:rsidR="00AD09B4" w:rsidRPr="00EF2265" w:rsidRDefault="00AD09B4" w:rsidP="00E86605">
      <w:pPr>
        <w:tabs>
          <w:tab w:val="left" w:pos="9356"/>
        </w:tabs>
        <w:jc w:val="left"/>
        <w:rPr>
          <w:rFonts w:ascii="Times New Roman" w:hAnsi="Times New Roman"/>
          <w:sz w:val="20"/>
          <w:szCs w:val="20"/>
        </w:rPr>
      </w:pPr>
      <w:bookmarkStart w:id="110" w:name="_Ref474780316"/>
      <w:bookmarkStart w:id="111" w:name="_Toc534724801"/>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14</w:t>
      </w:r>
      <w:r w:rsidRPr="00EF2265">
        <w:rPr>
          <w:rFonts w:ascii="Times New Roman" w:hAnsi="Times New Roman"/>
          <w:sz w:val="20"/>
          <w:szCs w:val="20"/>
        </w:rPr>
        <w:fldChar w:fldCharType="end"/>
      </w:r>
      <w:bookmarkEnd w:id="110"/>
      <w:r w:rsidRPr="00EF2265">
        <w:rPr>
          <w:rFonts w:ascii="Times New Roman" w:hAnsi="Times New Roman"/>
          <w:sz w:val="20"/>
          <w:szCs w:val="20"/>
        </w:rPr>
        <w:t>: Porovnanie počtu zapísaných študentov na prvom stupni dennej formy štúdia na vybraných vysokých školách v Slovenskej republike za posledných desať rokov</w:t>
      </w:r>
      <w:bookmarkEnd w:id="111"/>
    </w:p>
    <w:p w:rsidR="00AD09B4" w:rsidRPr="00EF2265" w:rsidRDefault="00AD09B4" w:rsidP="00E86605">
      <w:pPr>
        <w:tabs>
          <w:tab w:val="left" w:pos="9356"/>
        </w:tabs>
        <w:spacing w:after="120"/>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76F6C773" wp14:editId="744E8062">
            <wp:extent cx="5615796" cy="3381555"/>
            <wp:effectExtent l="0" t="0" r="4445"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Vysvetlivky:</w:t>
      </w:r>
      <w:r w:rsidRPr="00EF2265">
        <w:rPr>
          <w:rFonts w:ascii="Times New Roman" w:hAnsi="Times New Roman"/>
          <w:sz w:val="20"/>
          <w:szCs w:val="20"/>
        </w:rPr>
        <w:tab/>
      </w:r>
    </w:p>
    <w:p w:rsidR="00AD09B4" w:rsidRPr="00EF2265" w:rsidRDefault="00AD09B4"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Zdroj: Štatistické ročenky CVTI SR, </w:t>
      </w:r>
      <w:hyperlink r:id="rId46" w:history="1">
        <w:r w:rsidRPr="00EF2265">
          <w:rPr>
            <w:rStyle w:val="Hypertextovprepojenie"/>
            <w:rFonts w:ascii="Times New Roman" w:hAnsi="Times New Roman"/>
            <w:color w:val="auto"/>
            <w:sz w:val="20"/>
            <w:szCs w:val="20"/>
          </w:rPr>
          <w:t>www.cvtisr.sk</w:t>
        </w:r>
      </w:hyperlink>
    </w:p>
    <w:p w:rsidR="00AD09B4" w:rsidRPr="00EF2265" w:rsidRDefault="00AD09B4" w:rsidP="00E86605">
      <w:pPr>
        <w:tabs>
          <w:tab w:val="left" w:pos="851"/>
          <w:tab w:val="left" w:pos="9356"/>
        </w:tabs>
        <w:jc w:val="left"/>
        <w:rPr>
          <w:rFonts w:ascii="Times New Roman" w:hAnsi="Times New Roman"/>
          <w:sz w:val="20"/>
          <w:szCs w:val="20"/>
        </w:rPr>
      </w:pPr>
      <w:r w:rsidRPr="00EF2265">
        <w:rPr>
          <w:rFonts w:ascii="Times New Roman" w:hAnsi="Times New Roman"/>
          <w:sz w:val="20"/>
          <w:szCs w:val="20"/>
        </w:rPr>
        <w:t>UK</w:t>
      </w:r>
      <w:r w:rsidRPr="00EF2265">
        <w:rPr>
          <w:rFonts w:ascii="Times New Roman" w:hAnsi="Times New Roman"/>
          <w:sz w:val="20"/>
          <w:szCs w:val="20"/>
        </w:rPr>
        <w:tab/>
        <w:t xml:space="preserve">Univerzita Komenského v Bratislave </w:t>
      </w:r>
    </w:p>
    <w:p w:rsidR="00AD09B4" w:rsidRPr="00EF2265" w:rsidRDefault="00AD09B4" w:rsidP="00E86605">
      <w:pPr>
        <w:tabs>
          <w:tab w:val="left" w:pos="851"/>
          <w:tab w:val="left" w:pos="9356"/>
        </w:tabs>
        <w:jc w:val="left"/>
        <w:rPr>
          <w:rFonts w:ascii="Times New Roman" w:hAnsi="Times New Roman"/>
          <w:sz w:val="20"/>
          <w:szCs w:val="20"/>
        </w:rPr>
      </w:pPr>
      <w:r w:rsidRPr="00EF2265">
        <w:rPr>
          <w:rFonts w:ascii="Times New Roman" w:hAnsi="Times New Roman"/>
          <w:sz w:val="20"/>
          <w:szCs w:val="20"/>
        </w:rPr>
        <w:t>STU</w:t>
      </w:r>
      <w:r w:rsidRPr="00EF2265">
        <w:rPr>
          <w:rFonts w:ascii="Times New Roman" w:hAnsi="Times New Roman"/>
          <w:sz w:val="20"/>
          <w:szCs w:val="20"/>
        </w:rPr>
        <w:tab/>
        <w:t>Slovenská technická univerzita v Bratislave</w:t>
      </w:r>
    </w:p>
    <w:p w:rsidR="00AD09B4" w:rsidRPr="00EF2265" w:rsidRDefault="00AD09B4" w:rsidP="00E86605">
      <w:pPr>
        <w:tabs>
          <w:tab w:val="left" w:pos="851"/>
          <w:tab w:val="left" w:pos="9356"/>
        </w:tabs>
        <w:jc w:val="left"/>
        <w:rPr>
          <w:rFonts w:ascii="Times New Roman" w:hAnsi="Times New Roman"/>
          <w:sz w:val="20"/>
          <w:szCs w:val="20"/>
        </w:rPr>
      </w:pPr>
      <w:r w:rsidRPr="00EF2265">
        <w:rPr>
          <w:rFonts w:ascii="Times New Roman" w:hAnsi="Times New Roman"/>
          <w:sz w:val="20"/>
          <w:szCs w:val="20"/>
        </w:rPr>
        <w:t>TU KE</w:t>
      </w:r>
      <w:r w:rsidRPr="00EF2265">
        <w:rPr>
          <w:rFonts w:ascii="Times New Roman" w:hAnsi="Times New Roman"/>
          <w:sz w:val="20"/>
          <w:szCs w:val="20"/>
        </w:rPr>
        <w:tab/>
        <w:t>Technická univerzita v Košiciach</w:t>
      </w:r>
    </w:p>
    <w:p w:rsidR="00AD09B4" w:rsidRPr="00EF2265" w:rsidRDefault="00AD09B4" w:rsidP="00E86605">
      <w:pPr>
        <w:tabs>
          <w:tab w:val="left" w:pos="851"/>
          <w:tab w:val="left" w:pos="9356"/>
        </w:tabs>
        <w:jc w:val="left"/>
        <w:rPr>
          <w:rFonts w:ascii="Times New Roman" w:hAnsi="Times New Roman"/>
          <w:sz w:val="20"/>
          <w:szCs w:val="20"/>
        </w:rPr>
      </w:pPr>
      <w:r w:rsidRPr="00EF2265">
        <w:rPr>
          <w:rFonts w:ascii="Times New Roman" w:hAnsi="Times New Roman"/>
          <w:sz w:val="20"/>
          <w:szCs w:val="20"/>
        </w:rPr>
        <w:t xml:space="preserve">ŽU </w:t>
      </w:r>
      <w:r w:rsidRPr="00EF2265">
        <w:rPr>
          <w:rFonts w:ascii="Times New Roman" w:hAnsi="Times New Roman"/>
          <w:sz w:val="20"/>
          <w:szCs w:val="20"/>
        </w:rPr>
        <w:tab/>
        <w:t>Žilinská univerzita v Žiline</w:t>
      </w:r>
    </w:p>
    <w:p w:rsidR="00AD09B4" w:rsidRPr="00EF2265" w:rsidRDefault="00AD09B4" w:rsidP="00E86605">
      <w:pPr>
        <w:tabs>
          <w:tab w:val="left" w:pos="851"/>
          <w:tab w:val="left" w:pos="9356"/>
        </w:tabs>
        <w:jc w:val="left"/>
        <w:rPr>
          <w:rFonts w:ascii="Times New Roman" w:hAnsi="Times New Roman"/>
          <w:sz w:val="20"/>
          <w:szCs w:val="20"/>
        </w:rPr>
      </w:pPr>
      <w:r w:rsidRPr="00EF2265">
        <w:rPr>
          <w:rFonts w:ascii="Times New Roman" w:hAnsi="Times New Roman"/>
          <w:sz w:val="20"/>
          <w:szCs w:val="20"/>
        </w:rPr>
        <w:t>SPU</w:t>
      </w:r>
      <w:r w:rsidRPr="00EF2265">
        <w:rPr>
          <w:rFonts w:ascii="Times New Roman" w:hAnsi="Times New Roman"/>
          <w:sz w:val="20"/>
          <w:szCs w:val="20"/>
        </w:rPr>
        <w:tab/>
        <w:t>Slovenská poľnohospodárska univerzita v Nitre</w:t>
      </w:r>
    </w:p>
    <w:p w:rsidR="00AD09B4" w:rsidRPr="00EF2265" w:rsidRDefault="00AD09B4" w:rsidP="00E86605">
      <w:pPr>
        <w:tabs>
          <w:tab w:val="left" w:pos="851"/>
          <w:tab w:val="left" w:pos="9356"/>
        </w:tabs>
        <w:jc w:val="left"/>
        <w:rPr>
          <w:rFonts w:ascii="Times New Roman" w:hAnsi="Times New Roman"/>
          <w:sz w:val="20"/>
          <w:szCs w:val="20"/>
        </w:rPr>
      </w:pPr>
      <w:r w:rsidRPr="00EF2265">
        <w:rPr>
          <w:rFonts w:ascii="Times New Roman" w:hAnsi="Times New Roman"/>
          <w:sz w:val="20"/>
          <w:szCs w:val="20"/>
        </w:rPr>
        <w:t>TU ZV</w:t>
      </w:r>
      <w:r w:rsidRPr="00EF2265">
        <w:rPr>
          <w:rFonts w:ascii="Times New Roman" w:hAnsi="Times New Roman"/>
          <w:sz w:val="20"/>
          <w:szCs w:val="20"/>
        </w:rPr>
        <w:tab/>
        <w:t>Technická univerzita vo Zvolene</w:t>
      </w:r>
    </w:p>
    <w:p w:rsidR="00AD09B4" w:rsidRPr="00EF2265" w:rsidRDefault="00AD09B4" w:rsidP="00E86605">
      <w:pPr>
        <w:tabs>
          <w:tab w:val="left" w:pos="9356"/>
        </w:tabs>
        <w:jc w:val="left"/>
        <w:rPr>
          <w:rFonts w:ascii="Times New Roman" w:hAnsi="Times New Roman"/>
          <w:b/>
          <w:sz w:val="20"/>
          <w:szCs w:val="20"/>
        </w:rPr>
      </w:pPr>
      <w:r w:rsidRPr="00EF2265">
        <w:rPr>
          <w:rFonts w:ascii="Times New Roman" w:hAnsi="Times New Roman"/>
          <w:b/>
          <w:sz w:val="20"/>
          <w:szCs w:val="20"/>
        </w:rPr>
        <w:br w:type="page"/>
      </w:r>
    </w:p>
    <w:p w:rsidR="00373435" w:rsidRPr="00EF2265" w:rsidRDefault="00373435" w:rsidP="00E86605">
      <w:pPr>
        <w:pStyle w:val="Nadpis1"/>
        <w:numPr>
          <w:ilvl w:val="1"/>
          <w:numId w:val="8"/>
        </w:numPr>
        <w:tabs>
          <w:tab w:val="left" w:pos="9356"/>
        </w:tabs>
        <w:rPr>
          <w:rFonts w:ascii="Times New Roman" w:hAnsi="Times New Roman" w:cs="Times New Roman"/>
          <w:color w:val="auto"/>
          <w:sz w:val="20"/>
          <w:szCs w:val="20"/>
        </w:rPr>
      </w:pPr>
      <w:bookmarkStart w:id="112" w:name="_Toc534722888"/>
      <w:r w:rsidRPr="00EF2265">
        <w:rPr>
          <w:rFonts w:ascii="Times New Roman" w:hAnsi="Times New Roman" w:cs="Times New Roman"/>
          <w:color w:val="auto"/>
          <w:sz w:val="20"/>
          <w:szCs w:val="20"/>
        </w:rPr>
        <w:lastRenderedPageBreak/>
        <w:t>Údaje o absolventoch vysokoškolského štúdia</w:t>
      </w:r>
      <w:bookmarkEnd w:id="112"/>
    </w:p>
    <w:p w:rsidR="00373435" w:rsidRPr="00EF2265" w:rsidRDefault="00373435" w:rsidP="00E86605">
      <w:pPr>
        <w:tabs>
          <w:tab w:val="left" w:pos="9356"/>
        </w:tabs>
        <w:spacing w:after="120"/>
        <w:jc w:val="left"/>
        <w:rPr>
          <w:rFonts w:ascii="Times New Roman" w:hAnsi="Times New Roman"/>
          <w:sz w:val="20"/>
          <w:szCs w:val="20"/>
          <w:shd w:val="clear" w:color="auto" w:fill="FFFFFF"/>
        </w:rPr>
      </w:pPr>
      <w:r w:rsidRPr="00EF2265">
        <w:rPr>
          <w:rFonts w:ascii="Times New Roman" w:hAnsi="Times New Roman"/>
          <w:sz w:val="20"/>
          <w:szCs w:val="20"/>
          <w:shd w:val="clear" w:color="auto" w:fill="FFFFFF"/>
        </w:rPr>
        <w:t xml:space="preserve">V akademickom roku 2017/2018 na STU riadne </w:t>
      </w:r>
      <w:r w:rsidRPr="00EF2265">
        <w:rPr>
          <w:rFonts w:ascii="Times New Roman" w:hAnsi="Times New Roman"/>
          <w:b/>
          <w:sz w:val="20"/>
          <w:szCs w:val="20"/>
          <w:shd w:val="clear" w:color="auto" w:fill="FFFFFF"/>
        </w:rPr>
        <w:t>skončilo štúdium 3 456 absolventov</w:t>
      </w:r>
      <w:r w:rsidRPr="00EF2265">
        <w:rPr>
          <w:rFonts w:ascii="Times New Roman" w:hAnsi="Times New Roman"/>
          <w:sz w:val="20"/>
          <w:szCs w:val="20"/>
          <w:shd w:val="clear" w:color="auto" w:fill="FFFFFF"/>
        </w:rPr>
        <w:t xml:space="preserve">, z toho na prvom stupni štúdia úspešne skončilo štúdium </w:t>
      </w:r>
      <w:r w:rsidRPr="00EF2265">
        <w:rPr>
          <w:rFonts w:ascii="Times New Roman" w:hAnsi="Times New Roman"/>
          <w:b/>
          <w:sz w:val="20"/>
          <w:szCs w:val="20"/>
          <w:shd w:val="clear" w:color="auto" w:fill="FFFFFF"/>
        </w:rPr>
        <w:t>1 533</w:t>
      </w:r>
      <w:r w:rsidRPr="00EF2265">
        <w:rPr>
          <w:rFonts w:ascii="Times New Roman" w:hAnsi="Times New Roman"/>
          <w:sz w:val="20"/>
          <w:szCs w:val="20"/>
          <w:shd w:val="clear" w:color="auto" w:fill="FFFFFF"/>
        </w:rPr>
        <w:t xml:space="preserve"> absolventov, na druhom stupni štúdia </w:t>
      </w:r>
      <w:r w:rsidRPr="00EF2265">
        <w:rPr>
          <w:rFonts w:ascii="Times New Roman" w:hAnsi="Times New Roman"/>
          <w:b/>
          <w:sz w:val="20"/>
          <w:szCs w:val="20"/>
          <w:shd w:val="clear" w:color="auto" w:fill="FFFFFF"/>
        </w:rPr>
        <w:t>1 780</w:t>
      </w:r>
      <w:r w:rsidRPr="00EF2265">
        <w:rPr>
          <w:rFonts w:ascii="Times New Roman" w:hAnsi="Times New Roman"/>
          <w:sz w:val="20"/>
          <w:szCs w:val="20"/>
          <w:shd w:val="clear" w:color="auto" w:fill="FFFFFF"/>
        </w:rPr>
        <w:t xml:space="preserve"> absolventov a na treťom stupni štúdia </w:t>
      </w:r>
      <w:r w:rsidRPr="00EF2265">
        <w:rPr>
          <w:rFonts w:ascii="Times New Roman" w:hAnsi="Times New Roman"/>
          <w:b/>
          <w:sz w:val="20"/>
          <w:szCs w:val="20"/>
          <w:shd w:val="clear" w:color="auto" w:fill="FFFFFF"/>
        </w:rPr>
        <w:t xml:space="preserve">143 </w:t>
      </w:r>
      <w:r w:rsidRPr="00EF2265">
        <w:rPr>
          <w:rFonts w:ascii="Times New Roman" w:hAnsi="Times New Roman"/>
          <w:sz w:val="20"/>
          <w:szCs w:val="20"/>
          <w:shd w:val="clear" w:color="auto" w:fill="FFFFFF"/>
        </w:rPr>
        <w:t xml:space="preserve">absolventov, z toho </w:t>
      </w:r>
      <w:r w:rsidRPr="00EF2265">
        <w:rPr>
          <w:rFonts w:ascii="Times New Roman" w:hAnsi="Times New Roman"/>
          <w:b/>
          <w:sz w:val="20"/>
          <w:szCs w:val="20"/>
          <w:shd w:val="clear" w:color="auto" w:fill="FFFFFF"/>
        </w:rPr>
        <w:t>117</w:t>
      </w:r>
      <w:r w:rsidRPr="00EF2265">
        <w:rPr>
          <w:rFonts w:ascii="Times New Roman" w:hAnsi="Times New Roman"/>
          <w:sz w:val="20"/>
          <w:szCs w:val="20"/>
          <w:shd w:val="clear" w:color="auto" w:fill="FFFFFF"/>
        </w:rPr>
        <w:t xml:space="preserve"> v dennej forme a </w:t>
      </w:r>
      <w:r w:rsidRPr="00EF2265">
        <w:rPr>
          <w:rFonts w:ascii="Times New Roman" w:hAnsi="Times New Roman"/>
          <w:b/>
          <w:sz w:val="20"/>
          <w:szCs w:val="20"/>
          <w:shd w:val="clear" w:color="auto" w:fill="FFFFFF"/>
        </w:rPr>
        <w:t>26</w:t>
      </w:r>
      <w:r w:rsidRPr="00EF2265">
        <w:rPr>
          <w:rFonts w:ascii="Times New Roman" w:hAnsi="Times New Roman"/>
          <w:sz w:val="20"/>
          <w:szCs w:val="20"/>
          <w:shd w:val="clear" w:color="auto" w:fill="FFFFFF"/>
        </w:rPr>
        <w:t xml:space="preserve"> v externej forme štúdia. Zo všetkých absolventov v rámci univerzity takmer 75 % skončilo štúdium v štandardnej dĺžke štúdia, na prvom stupni to bolo 62 %, na druhom stupni 87 % a na treťom stupni 61 % z celkového počtu absolventov príslušného stupňa štúdia. </w:t>
      </w:r>
    </w:p>
    <w:p w:rsidR="00373435" w:rsidRPr="00EF2265" w:rsidRDefault="00373435" w:rsidP="00E86605">
      <w:pPr>
        <w:tabs>
          <w:tab w:val="left" w:pos="9356"/>
        </w:tabs>
        <w:jc w:val="left"/>
        <w:rPr>
          <w:rFonts w:ascii="Times New Roman" w:hAnsi="Times New Roman"/>
          <w:sz w:val="20"/>
          <w:szCs w:val="20"/>
          <w:shd w:val="clear" w:color="auto" w:fill="FFFFFF"/>
        </w:rPr>
      </w:pPr>
      <w:r w:rsidRPr="00EF2265">
        <w:rPr>
          <w:rFonts w:ascii="Times New Roman" w:hAnsi="Times New Roman"/>
          <w:sz w:val="20"/>
          <w:szCs w:val="20"/>
          <w:shd w:val="clear" w:color="auto" w:fill="FFFFFF"/>
        </w:rPr>
        <w:t>Komplexný prehľad absolventov STU na jednotlivých stupňoch štúdia v akademickom roku 2017/2018 je uvedený v </w:t>
      </w:r>
      <w:r w:rsidRPr="00EF2265">
        <w:rPr>
          <w:rFonts w:ascii="Times New Roman" w:hAnsi="Times New Roman"/>
          <w:sz w:val="20"/>
          <w:szCs w:val="20"/>
          <w:shd w:val="clear" w:color="auto" w:fill="FFFFFF"/>
        </w:rPr>
        <w:fldChar w:fldCharType="begin"/>
      </w:r>
      <w:r w:rsidRPr="00EF2265">
        <w:rPr>
          <w:rFonts w:ascii="Times New Roman" w:hAnsi="Times New Roman"/>
          <w:sz w:val="20"/>
          <w:szCs w:val="20"/>
          <w:shd w:val="clear" w:color="auto" w:fill="FFFFFF"/>
        </w:rPr>
        <w:instrText xml:space="preserve"> REF _Ref474778023 \h  \* MERGEFORMAT </w:instrText>
      </w:r>
      <w:r w:rsidRPr="00EF2265">
        <w:rPr>
          <w:rFonts w:ascii="Times New Roman" w:hAnsi="Times New Roman"/>
          <w:sz w:val="20"/>
          <w:szCs w:val="20"/>
          <w:shd w:val="clear" w:color="auto" w:fill="FFFFFF"/>
        </w:rPr>
      </w:r>
      <w:r w:rsidRPr="00EF2265">
        <w:rPr>
          <w:rFonts w:ascii="Times New Roman" w:hAnsi="Times New Roman"/>
          <w:sz w:val="20"/>
          <w:szCs w:val="20"/>
          <w:shd w:val="clear" w:color="auto" w:fill="FFFFFF"/>
        </w:rPr>
        <w:fldChar w:fldCharType="separate"/>
      </w:r>
      <w:r w:rsidR="001C349F" w:rsidRPr="00EF2265">
        <w:rPr>
          <w:rFonts w:ascii="Times New Roman" w:hAnsi="Times New Roman"/>
          <w:bCs/>
          <w:iCs/>
          <w:sz w:val="20"/>
          <w:szCs w:val="20"/>
          <w:lang w:eastAsia="sk-SK"/>
        </w:rPr>
        <w:t xml:space="preserve">Tab. č. </w:t>
      </w:r>
      <w:r w:rsidR="001C349F">
        <w:rPr>
          <w:rFonts w:ascii="Times New Roman" w:hAnsi="Times New Roman"/>
          <w:sz w:val="20"/>
          <w:szCs w:val="20"/>
        </w:rPr>
        <w:t>33</w:t>
      </w:r>
      <w:r w:rsidRPr="00EF2265">
        <w:rPr>
          <w:rFonts w:ascii="Times New Roman" w:hAnsi="Times New Roman"/>
          <w:sz w:val="20"/>
          <w:szCs w:val="20"/>
          <w:shd w:val="clear" w:color="auto" w:fill="FFFFFF"/>
        </w:rPr>
        <w:fldChar w:fldCharType="end"/>
      </w:r>
      <w:r w:rsidRPr="00EF2265">
        <w:rPr>
          <w:rFonts w:ascii="Times New Roman" w:hAnsi="Times New Roman"/>
          <w:sz w:val="20"/>
          <w:szCs w:val="20"/>
          <w:shd w:val="clear" w:color="auto" w:fill="FFFFFF"/>
        </w:rPr>
        <w:t xml:space="preserve">. </w:t>
      </w:r>
    </w:p>
    <w:p w:rsidR="00373435" w:rsidRPr="00EF2265" w:rsidRDefault="00373435" w:rsidP="00E86605">
      <w:pPr>
        <w:tabs>
          <w:tab w:val="left" w:pos="9356"/>
        </w:tabs>
        <w:jc w:val="left"/>
        <w:rPr>
          <w:rFonts w:ascii="Times New Roman" w:hAnsi="Times New Roman"/>
          <w:sz w:val="20"/>
          <w:szCs w:val="20"/>
          <w:shd w:val="clear" w:color="auto" w:fill="FFFFFF"/>
        </w:rPr>
      </w:pPr>
    </w:p>
    <w:p w:rsidR="00373435" w:rsidRPr="00EF2265" w:rsidRDefault="00373435" w:rsidP="00E86605">
      <w:pPr>
        <w:tabs>
          <w:tab w:val="left" w:pos="9356"/>
        </w:tabs>
        <w:jc w:val="left"/>
        <w:rPr>
          <w:rFonts w:ascii="Times New Roman" w:hAnsi="Times New Roman"/>
          <w:iCs/>
          <w:sz w:val="20"/>
          <w:szCs w:val="20"/>
          <w:lang w:eastAsia="sk-SK"/>
        </w:rPr>
      </w:pPr>
      <w:bookmarkStart w:id="113" w:name="_Ref474778023"/>
      <w:bookmarkStart w:id="114" w:name="_Toc534793972"/>
      <w:r w:rsidRPr="00EF2265">
        <w:rPr>
          <w:rFonts w:ascii="Times New Roman" w:hAnsi="Times New Roman"/>
          <w:bCs/>
          <w:iCs/>
          <w:sz w:val="20"/>
          <w:szCs w:val="20"/>
          <w:lang w:eastAsia="sk-SK"/>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33</w:t>
      </w:r>
      <w:r w:rsidRPr="00EF2265">
        <w:rPr>
          <w:rFonts w:ascii="Times New Roman" w:hAnsi="Times New Roman"/>
          <w:sz w:val="20"/>
          <w:szCs w:val="20"/>
        </w:rPr>
        <w:fldChar w:fldCharType="end"/>
      </w:r>
      <w:bookmarkEnd w:id="113"/>
      <w:r w:rsidRPr="00EF2265">
        <w:rPr>
          <w:rFonts w:ascii="Times New Roman" w:hAnsi="Times New Roman"/>
          <w:bCs/>
          <w:iCs/>
          <w:sz w:val="20"/>
          <w:szCs w:val="20"/>
          <w:lang w:eastAsia="sk-SK"/>
        </w:rPr>
        <w:t>:</w:t>
      </w:r>
      <w:r w:rsidRPr="00EF2265">
        <w:rPr>
          <w:rFonts w:ascii="Times New Roman" w:hAnsi="Times New Roman"/>
          <w:iCs/>
          <w:sz w:val="20"/>
          <w:szCs w:val="20"/>
          <w:lang w:eastAsia="sk-SK"/>
        </w:rPr>
        <w:t xml:space="preserve"> Počet </w:t>
      </w:r>
      <w:r w:rsidRPr="00EF2265">
        <w:rPr>
          <w:rFonts w:ascii="Times New Roman" w:hAnsi="Times New Roman"/>
          <w:sz w:val="20"/>
          <w:szCs w:val="20"/>
          <w:shd w:val="clear" w:color="auto" w:fill="FFFFFF"/>
        </w:rPr>
        <w:t xml:space="preserve">študentov, ktorí riadne skončili štúdium </w:t>
      </w:r>
      <w:r w:rsidRPr="00EF2265">
        <w:rPr>
          <w:rFonts w:ascii="Times New Roman" w:hAnsi="Times New Roman"/>
          <w:iCs/>
          <w:sz w:val="20"/>
          <w:szCs w:val="20"/>
          <w:lang w:eastAsia="sk-SK"/>
        </w:rPr>
        <w:t>v akademickom roku 2017/2018</w:t>
      </w:r>
      <w:bookmarkEnd w:id="114"/>
    </w:p>
    <w:tbl>
      <w:tblPr>
        <w:tblW w:w="8718" w:type="dxa"/>
        <w:tblInd w:w="-5" w:type="dxa"/>
        <w:tblCellMar>
          <w:left w:w="70" w:type="dxa"/>
          <w:right w:w="70" w:type="dxa"/>
        </w:tblCellMar>
        <w:tblLook w:val="04A0" w:firstRow="1" w:lastRow="0" w:firstColumn="1" w:lastColumn="0" w:noHBand="0" w:noVBand="1"/>
      </w:tblPr>
      <w:tblGrid>
        <w:gridCol w:w="630"/>
        <w:gridCol w:w="591"/>
        <w:gridCol w:w="827"/>
        <w:gridCol w:w="819"/>
        <w:gridCol w:w="820"/>
        <w:gridCol w:w="874"/>
        <w:gridCol w:w="815"/>
        <w:gridCol w:w="843"/>
        <w:gridCol w:w="831"/>
        <w:gridCol w:w="832"/>
        <w:gridCol w:w="836"/>
      </w:tblGrid>
      <w:tr w:rsidR="00373435" w:rsidRPr="00EF2265" w:rsidTr="00373435">
        <w:trPr>
          <w:trHeight w:val="20"/>
        </w:trPr>
        <w:tc>
          <w:tcPr>
            <w:tcW w:w="122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73435" w:rsidRPr="00EF2265" w:rsidRDefault="00373435" w:rsidP="00EF2265">
            <w:pPr>
              <w:tabs>
                <w:tab w:val="left" w:pos="9356"/>
              </w:tabs>
              <w:ind w:firstLineChars="100" w:firstLine="200"/>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827" w:type="dxa"/>
            <w:tcBorders>
              <w:top w:val="single" w:sz="4" w:space="0" w:color="auto"/>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819" w:type="dxa"/>
            <w:tcBorders>
              <w:top w:val="single" w:sz="4" w:space="0" w:color="auto"/>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820" w:type="dxa"/>
            <w:tcBorders>
              <w:top w:val="single" w:sz="4" w:space="0" w:color="auto"/>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815" w:type="dxa"/>
            <w:tcBorders>
              <w:top w:val="single" w:sz="4" w:space="0" w:color="auto"/>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843" w:type="dxa"/>
            <w:tcBorders>
              <w:top w:val="single" w:sz="4" w:space="0" w:color="auto"/>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831" w:type="dxa"/>
            <w:tcBorders>
              <w:top w:val="single" w:sz="4" w:space="0" w:color="auto"/>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832" w:type="dxa"/>
            <w:tcBorders>
              <w:top w:val="single" w:sz="4" w:space="0" w:color="auto"/>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836" w:type="dxa"/>
            <w:tcBorders>
              <w:top w:val="single" w:sz="4" w:space="0" w:color="auto"/>
              <w:left w:val="nil"/>
              <w:bottom w:val="single" w:sz="4" w:space="0" w:color="auto"/>
              <w:right w:val="single" w:sz="4" w:space="0" w:color="auto"/>
            </w:tcBorders>
            <w:shd w:val="clear" w:color="auto" w:fill="EEECE1" w:themeFill="background2"/>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r>
      <w:tr w:rsidR="00373435" w:rsidRPr="00EF2265" w:rsidTr="00373435">
        <w:trPr>
          <w:trHeight w:val="20"/>
        </w:trPr>
        <w:tc>
          <w:tcPr>
            <w:tcW w:w="630" w:type="dxa"/>
            <w:vMerge w:val="restart"/>
            <w:tcBorders>
              <w:top w:val="nil"/>
              <w:left w:val="single" w:sz="4" w:space="0" w:color="auto"/>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Bc.</w:t>
            </w:r>
          </w:p>
        </w:tc>
        <w:tc>
          <w:tcPr>
            <w:tcW w:w="591"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DF</w:t>
            </w:r>
          </w:p>
        </w:tc>
        <w:tc>
          <w:tcPr>
            <w:tcW w:w="827"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269</w:t>
            </w:r>
          </w:p>
        </w:tc>
        <w:tc>
          <w:tcPr>
            <w:tcW w:w="819"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120</w:t>
            </w:r>
          </w:p>
        </w:tc>
        <w:tc>
          <w:tcPr>
            <w:tcW w:w="820"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271</w:t>
            </w:r>
          </w:p>
        </w:tc>
        <w:tc>
          <w:tcPr>
            <w:tcW w:w="874"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234</w:t>
            </w:r>
          </w:p>
        </w:tc>
        <w:tc>
          <w:tcPr>
            <w:tcW w:w="815"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138</w:t>
            </w:r>
          </w:p>
        </w:tc>
        <w:tc>
          <w:tcPr>
            <w:tcW w:w="843"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314</w:t>
            </w:r>
          </w:p>
        </w:tc>
        <w:tc>
          <w:tcPr>
            <w:tcW w:w="831"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165</w:t>
            </w:r>
          </w:p>
        </w:tc>
        <w:tc>
          <w:tcPr>
            <w:tcW w:w="832"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22</w:t>
            </w:r>
          </w:p>
        </w:tc>
        <w:tc>
          <w:tcPr>
            <w:tcW w:w="836"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1 533</w:t>
            </w:r>
          </w:p>
        </w:tc>
      </w:tr>
      <w:tr w:rsidR="00373435" w:rsidRPr="00EF2265" w:rsidTr="00373435">
        <w:trPr>
          <w:trHeight w:val="20"/>
        </w:trPr>
        <w:tc>
          <w:tcPr>
            <w:tcW w:w="630" w:type="dxa"/>
            <w:vMerge/>
            <w:tcBorders>
              <w:top w:val="nil"/>
              <w:left w:val="single" w:sz="4" w:space="0" w:color="auto"/>
              <w:bottom w:val="single" w:sz="4" w:space="0" w:color="auto"/>
              <w:right w:val="single" w:sz="4" w:space="0" w:color="auto"/>
            </w:tcBorders>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p>
        </w:tc>
        <w:tc>
          <w:tcPr>
            <w:tcW w:w="591"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EF</w:t>
            </w:r>
          </w:p>
        </w:tc>
        <w:tc>
          <w:tcPr>
            <w:tcW w:w="827"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19"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20"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74"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15"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43"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31"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32"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0</w:t>
            </w:r>
          </w:p>
        </w:tc>
      </w:tr>
      <w:tr w:rsidR="00373435" w:rsidRPr="00EF2265" w:rsidTr="00373435">
        <w:trPr>
          <w:trHeight w:val="20"/>
        </w:trPr>
        <w:tc>
          <w:tcPr>
            <w:tcW w:w="630" w:type="dxa"/>
            <w:vMerge w:val="restart"/>
            <w:tcBorders>
              <w:top w:val="nil"/>
              <w:left w:val="single" w:sz="4" w:space="0" w:color="auto"/>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Ing.</w:t>
            </w:r>
          </w:p>
        </w:tc>
        <w:tc>
          <w:tcPr>
            <w:tcW w:w="591"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DF</w:t>
            </w:r>
          </w:p>
        </w:tc>
        <w:tc>
          <w:tcPr>
            <w:tcW w:w="827"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379</w:t>
            </w:r>
          </w:p>
        </w:tc>
        <w:tc>
          <w:tcPr>
            <w:tcW w:w="819"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163</w:t>
            </w:r>
          </w:p>
        </w:tc>
        <w:tc>
          <w:tcPr>
            <w:tcW w:w="820"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325</w:t>
            </w:r>
          </w:p>
        </w:tc>
        <w:tc>
          <w:tcPr>
            <w:tcW w:w="874"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274</w:t>
            </w:r>
          </w:p>
        </w:tc>
        <w:tc>
          <w:tcPr>
            <w:tcW w:w="815"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119</w:t>
            </w:r>
          </w:p>
        </w:tc>
        <w:tc>
          <w:tcPr>
            <w:tcW w:w="843"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388</w:t>
            </w:r>
          </w:p>
        </w:tc>
        <w:tc>
          <w:tcPr>
            <w:tcW w:w="831"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112</w:t>
            </w:r>
          </w:p>
        </w:tc>
        <w:tc>
          <w:tcPr>
            <w:tcW w:w="832"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20</w:t>
            </w:r>
          </w:p>
        </w:tc>
        <w:tc>
          <w:tcPr>
            <w:tcW w:w="836"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1 780</w:t>
            </w:r>
          </w:p>
        </w:tc>
      </w:tr>
      <w:tr w:rsidR="00373435" w:rsidRPr="00EF2265" w:rsidTr="00373435">
        <w:trPr>
          <w:trHeight w:val="20"/>
        </w:trPr>
        <w:tc>
          <w:tcPr>
            <w:tcW w:w="630" w:type="dxa"/>
            <w:vMerge/>
            <w:tcBorders>
              <w:top w:val="nil"/>
              <w:left w:val="single" w:sz="4" w:space="0" w:color="auto"/>
              <w:bottom w:val="single" w:sz="4" w:space="0" w:color="auto"/>
              <w:right w:val="single" w:sz="4" w:space="0" w:color="auto"/>
            </w:tcBorders>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p>
        </w:tc>
        <w:tc>
          <w:tcPr>
            <w:tcW w:w="591"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EF</w:t>
            </w:r>
          </w:p>
        </w:tc>
        <w:tc>
          <w:tcPr>
            <w:tcW w:w="827"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19"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20"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74"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15"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43"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31"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32"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0</w:t>
            </w:r>
          </w:p>
        </w:tc>
      </w:tr>
      <w:tr w:rsidR="00373435" w:rsidRPr="00EF2265" w:rsidTr="00373435">
        <w:trPr>
          <w:trHeight w:val="20"/>
        </w:trPr>
        <w:tc>
          <w:tcPr>
            <w:tcW w:w="630" w:type="dxa"/>
            <w:vMerge w:val="restart"/>
            <w:tcBorders>
              <w:top w:val="nil"/>
              <w:left w:val="single" w:sz="4" w:space="0" w:color="auto"/>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PhD.</w:t>
            </w:r>
          </w:p>
        </w:tc>
        <w:tc>
          <w:tcPr>
            <w:tcW w:w="591"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DF</w:t>
            </w:r>
          </w:p>
        </w:tc>
        <w:tc>
          <w:tcPr>
            <w:tcW w:w="827"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33</w:t>
            </w:r>
          </w:p>
        </w:tc>
        <w:tc>
          <w:tcPr>
            <w:tcW w:w="819"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9</w:t>
            </w:r>
          </w:p>
        </w:tc>
        <w:tc>
          <w:tcPr>
            <w:tcW w:w="820"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10</w:t>
            </w:r>
          </w:p>
        </w:tc>
        <w:tc>
          <w:tcPr>
            <w:tcW w:w="874"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33</w:t>
            </w:r>
          </w:p>
        </w:tc>
        <w:tc>
          <w:tcPr>
            <w:tcW w:w="815"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9</w:t>
            </w:r>
          </w:p>
        </w:tc>
        <w:tc>
          <w:tcPr>
            <w:tcW w:w="843"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13</w:t>
            </w:r>
          </w:p>
        </w:tc>
        <w:tc>
          <w:tcPr>
            <w:tcW w:w="831"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8</w:t>
            </w:r>
          </w:p>
        </w:tc>
        <w:tc>
          <w:tcPr>
            <w:tcW w:w="832"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w:t>
            </w:r>
          </w:p>
        </w:tc>
        <w:tc>
          <w:tcPr>
            <w:tcW w:w="836"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117</w:t>
            </w:r>
          </w:p>
        </w:tc>
      </w:tr>
      <w:tr w:rsidR="00373435" w:rsidRPr="00EF2265" w:rsidTr="00373435">
        <w:trPr>
          <w:trHeight w:val="20"/>
        </w:trPr>
        <w:tc>
          <w:tcPr>
            <w:tcW w:w="630" w:type="dxa"/>
            <w:vMerge/>
            <w:tcBorders>
              <w:top w:val="nil"/>
              <w:left w:val="single" w:sz="4" w:space="0" w:color="auto"/>
              <w:bottom w:val="single" w:sz="4" w:space="0" w:color="auto"/>
              <w:right w:val="single" w:sz="4" w:space="0" w:color="auto"/>
            </w:tcBorders>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p>
        </w:tc>
        <w:tc>
          <w:tcPr>
            <w:tcW w:w="591"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EF</w:t>
            </w:r>
          </w:p>
        </w:tc>
        <w:tc>
          <w:tcPr>
            <w:tcW w:w="827"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w:t>
            </w:r>
          </w:p>
        </w:tc>
        <w:tc>
          <w:tcPr>
            <w:tcW w:w="819"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4</w:t>
            </w:r>
          </w:p>
        </w:tc>
        <w:tc>
          <w:tcPr>
            <w:tcW w:w="820"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w:t>
            </w:r>
          </w:p>
        </w:tc>
        <w:tc>
          <w:tcPr>
            <w:tcW w:w="874"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8</w:t>
            </w:r>
          </w:p>
        </w:tc>
        <w:tc>
          <w:tcPr>
            <w:tcW w:w="815"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w:t>
            </w:r>
          </w:p>
        </w:tc>
        <w:tc>
          <w:tcPr>
            <w:tcW w:w="843"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5</w:t>
            </w:r>
          </w:p>
        </w:tc>
        <w:tc>
          <w:tcPr>
            <w:tcW w:w="831"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w:t>
            </w:r>
          </w:p>
        </w:tc>
        <w:tc>
          <w:tcPr>
            <w:tcW w:w="832" w:type="dxa"/>
            <w:tcBorders>
              <w:top w:val="nil"/>
              <w:left w:val="nil"/>
              <w:bottom w:val="single" w:sz="4" w:space="0" w:color="auto"/>
              <w:right w:val="single" w:sz="4" w:space="0" w:color="auto"/>
            </w:tcBorders>
            <w:shd w:val="clear" w:color="auto" w:fill="auto"/>
            <w:vAlign w:val="bottom"/>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w:t>
            </w:r>
          </w:p>
        </w:tc>
        <w:tc>
          <w:tcPr>
            <w:tcW w:w="836"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26</w:t>
            </w:r>
          </w:p>
        </w:tc>
      </w:tr>
      <w:tr w:rsidR="00373435" w:rsidRPr="00EF2265" w:rsidTr="00373435">
        <w:trPr>
          <w:trHeight w:val="20"/>
        </w:trPr>
        <w:tc>
          <w:tcPr>
            <w:tcW w:w="1221"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827"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682</w:t>
            </w:r>
          </w:p>
        </w:tc>
        <w:tc>
          <w:tcPr>
            <w:tcW w:w="819"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296</w:t>
            </w:r>
          </w:p>
        </w:tc>
        <w:tc>
          <w:tcPr>
            <w:tcW w:w="820"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609</w:t>
            </w:r>
          </w:p>
        </w:tc>
        <w:tc>
          <w:tcPr>
            <w:tcW w:w="874"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549</w:t>
            </w:r>
          </w:p>
        </w:tc>
        <w:tc>
          <w:tcPr>
            <w:tcW w:w="815"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268</w:t>
            </w:r>
          </w:p>
        </w:tc>
        <w:tc>
          <w:tcPr>
            <w:tcW w:w="843"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720</w:t>
            </w:r>
          </w:p>
        </w:tc>
        <w:tc>
          <w:tcPr>
            <w:tcW w:w="831"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286</w:t>
            </w:r>
          </w:p>
        </w:tc>
        <w:tc>
          <w:tcPr>
            <w:tcW w:w="832"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46</w:t>
            </w:r>
          </w:p>
        </w:tc>
        <w:tc>
          <w:tcPr>
            <w:tcW w:w="836" w:type="dxa"/>
            <w:tcBorders>
              <w:top w:val="nil"/>
              <w:left w:val="nil"/>
              <w:bottom w:val="single" w:sz="4" w:space="0" w:color="auto"/>
              <w:right w:val="single" w:sz="4" w:space="0" w:color="auto"/>
            </w:tcBorders>
            <w:shd w:val="clear" w:color="auto" w:fill="EEECE1" w:themeFill="background2"/>
            <w:vAlign w:val="bottom"/>
          </w:tcPr>
          <w:p w:rsidR="00373435" w:rsidRPr="00EF2265" w:rsidRDefault="00373435"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3 456</w:t>
            </w:r>
          </w:p>
        </w:tc>
      </w:tr>
    </w:tbl>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Vysvetlivky: </w:t>
      </w:r>
    </w:p>
    <w:p w:rsidR="00373435" w:rsidRPr="00EF2265" w:rsidRDefault="00373435" w:rsidP="00E86605">
      <w:pPr>
        <w:tabs>
          <w:tab w:val="left" w:pos="9356"/>
        </w:tabs>
        <w:jc w:val="left"/>
        <w:rPr>
          <w:rFonts w:ascii="Times New Roman" w:hAnsi="Times New Roman"/>
          <w:sz w:val="20"/>
          <w:szCs w:val="20"/>
          <w:shd w:val="clear" w:color="auto" w:fill="FFFFFF"/>
        </w:rPr>
      </w:pPr>
      <w:r w:rsidRPr="00EF2265">
        <w:rPr>
          <w:rFonts w:ascii="Times New Roman" w:hAnsi="Times New Roman"/>
          <w:sz w:val="20"/>
          <w:szCs w:val="20"/>
          <w:shd w:val="clear" w:color="auto" w:fill="FFFFFF"/>
        </w:rPr>
        <w:t>Stav k 31.08.2018</w:t>
      </w:r>
    </w:p>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DF – denná forma, EF - externá forma, EVI - externá vzdelávacia inštitúcia</w:t>
      </w:r>
    </w:p>
    <w:p w:rsidR="00373435" w:rsidRPr="00EF2265" w:rsidRDefault="00373435" w:rsidP="00E86605">
      <w:pPr>
        <w:tabs>
          <w:tab w:val="left" w:pos="9356"/>
        </w:tabs>
        <w:jc w:val="left"/>
        <w:rPr>
          <w:rFonts w:ascii="Times New Roman" w:hAnsi="Times New Roman"/>
          <w:sz w:val="20"/>
          <w:szCs w:val="20"/>
          <w:shd w:val="clear" w:color="auto" w:fill="FFFFFF"/>
        </w:rPr>
      </w:pPr>
    </w:p>
    <w:p w:rsidR="00373435" w:rsidRPr="00EF2265" w:rsidRDefault="00373435" w:rsidP="00E86605">
      <w:pPr>
        <w:tabs>
          <w:tab w:val="left" w:pos="9356"/>
        </w:tabs>
        <w:spacing w:after="120"/>
        <w:jc w:val="left"/>
        <w:rPr>
          <w:rFonts w:ascii="Times New Roman" w:hAnsi="Times New Roman"/>
          <w:sz w:val="20"/>
          <w:szCs w:val="20"/>
          <w:shd w:val="clear" w:color="auto" w:fill="FFFFFF"/>
        </w:rPr>
      </w:pPr>
      <w:r w:rsidRPr="00EF2265">
        <w:rPr>
          <w:rFonts w:ascii="Times New Roman" w:hAnsi="Times New Roman"/>
          <w:sz w:val="20"/>
          <w:szCs w:val="20"/>
          <w:shd w:val="clear" w:color="auto" w:fill="FFFFFF"/>
        </w:rPr>
        <w:t>V </w:t>
      </w:r>
      <w:r w:rsidRPr="00EF2265">
        <w:rPr>
          <w:rFonts w:ascii="Times New Roman" w:hAnsi="Times New Roman"/>
          <w:sz w:val="20"/>
          <w:szCs w:val="20"/>
          <w:shd w:val="clear" w:color="auto" w:fill="FFFFFF"/>
        </w:rPr>
        <w:fldChar w:fldCharType="begin"/>
      </w:r>
      <w:r w:rsidRPr="00EF2265">
        <w:rPr>
          <w:rFonts w:ascii="Times New Roman" w:hAnsi="Times New Roman"/>
          <w:sz w:val="20"/>
          <w:szCs w:val="20"/>
          <w:shd w:val="clear" w:color="auto" w:fill="FFFFFF"/>
        </w:rPr>
        <w:instrText xml:space="preserve"> REF _Ref474780333 \h  \* MERGEFORMAT </w:instrText>
      </w:r>
      <w:r w:rsidRPr="00EF2265">
        <w:rPr>
          <w:rFonts w:ascii="Times New Roman" w:hAnsi="Times New Roman"/>
          <w:sz w:val="20"/>
          <w:szCs w:val="20"/>
          <w:shd w:val="clear" w:color="auto" w:fill="FFFFFF"/>
        </w:rPr>
      </w:r>
      <w:r w:rsidRPr="00EF2265">
        <w:rPr>
          <w:rFonts w:ascii="Times New Roman" w:hAnsi="Times New Roman"/>
          <w:sz w:val="20"/>
          <w:szCs w:val="20"/>
          <w:shd w:val="clear" w:color="auto" w:fill="FFFFFF"/>
        </w:rPr>
        <w:fldChar w:fldCharType="separate"/>
      </w:r>
      <w:r w:rsidR="001C349F" w:rsidRPr="00EF2265">
        <w:rPr>
          <w:rFonts w:ascii="Times New Roman" w:hAnsi="Times New Roman"/>
          <w:sz w:val="20"/>
          <w:szCs w:val="20"/>
          <w:shd w:val="clear" w:color="auto" w:fill="FFFFFF"/>
        </w:rPr>
        <w:t xml:space="preserve">Graf č. </w:t>
      </w:r>
      <w:r w:rsidR="001C349F">
        <w:rPr>
          <w:rFonts w:ascii="Times New Roman" w:hAnsi="Times New Roman"/>
          <w:sz w:val="20"/>
          <w:szCs w:val="20"/>
        </w:rPr>
        <w:t>15</w:t>
      </w:r>
      <w:r w:rsidRPr="00EF2265">
        <w:rPr>
          <w:rFonts w:ascii="Times New Roman" w:hAnsi="Times New Roman"/>
          <w:sz w:val="20"/>
          <w:szCs w:val="20"/>
          <w:shd w:val="clear" w:color="auto" w:fill="FFFFFF"/>
        </w:rPr>
        <w:fldChar w:fldCharType="end"/>
      </w:r>
      <w:r w:rsidRPr="00EF2265">
        <w:rPr>
          <w:rFonts w:ascii="Times New Roman" w:hAnsi="Times New Roman"/>
          <w:sz w:val="20"/>
          <w:szCs w:val="20"/>
          <w:shd w:val="clear" w:color="auto" w:fill="FFFFFF"/>
        </w:rPr>
        <w:t xml:space="preserve">. je znázornený prehľad počtu absolventov v kalendárnom roku 2018 na jednotlivých stupňoch štúdia a percentuálne zastúpenie k celkovému počtu absolventov v kalendárnom roku. </w:t>
      </w:r>
    </w:p>
    <w:p w:rsidR="00373435" w:rsidRPr="00EF2265" w:rsidRDefault="00373435" w:rsidP="00E86605">
      <w:pPr>
        <w:tabs>
          <w:tab w:val="left" w:pos="9356"/>
        </w:tabs>
        <w:jc w:val="left"/>
        <w:rPr>
          <w:rFonts w:ascii="Times New Roman" w:hAnsi="Times New Roman"/>
          <w:sz w:val="20"/>
          <w:szCs w:val="20"/>
          <w:shd w:val="clear" w:color="auto" w:fill="FFFFFF"/>
        </w:rPr>
      </w:pPr>
      <w:bookmarkStart w:id="115" w:name="_Ref474780333"/>
      <w:bookmarkStart w:id="116" w:name="_Toc534724802"/>
      <w:r w:rsidRPr="00EF2265">
        <w:rPr>
          <w:rFonts w:ascii="Times New Roman" w:hAnsi="Times New Roman"/>
          <w:sz w:val="20"/>
          <w:szCs w:val="20"/>
          <w:shd w:val="clear" w:color="auto" w:fill="FFFFFF"/>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15</w:t>
      </w:r>
      <w:r w:rsidRPr="00EF2265">
        <w:rPr>
          <w:rFonts w:ascii="Times New Roman" w:hAnsi="Times New Roman"/>
          <w:sz w:val="20"/>
          <w:szCs w:val="20"/>
        </w:rPr>
        <w:fldChar w:fldCharType="end"/>
      </w:r>
      <w:bookmarkEnd w:id="115"/>
      <w:r w:rsidRPr="00EF2265">
        <w:rPr>
          <w:rFonts w:ascii="Times New Roman" w:hAnsi="Times New Roman"/>
          <w:sz w:val="20"/>
          <w:szCs w:val="20"/>
          <w:shd w:val="clear" w:color="auto" w:fill="FFFFFF"/>
        </w:rPr>
        <w:t xml:space="preserve">: Počet  </w:t>
      </w:r>
      <w:r w:rsidRPr="00EF2265">
        <w:rPr>
          <w:rFonts w:ascii="Times New Roman" w:hAnsi="Times New Roman"/>
          <w:iCs/>
          <w:sz w:val="20"/>
          <w:szCs w:val="20"/>
          <w:lang w:eastAsia="sk-SK"/>
        </w:rPr>
        <w:t xml:space="preserve">absolventov STU v </w:t>
      </w:r>
      <w:r w:rsidRPr="00EF2265">
        <w:rPr>
          <w:rFonts w:ascii="Times New Roman" w:hAnsi="Times New Roman"/>
          <w:sz w:val="20"/>
          <w:szCs w:val="20"/>
          <w:shd w:val="clear" w:color="auto" w:fill="FFFFFF"/>
        </w:rPr>
        <w:t>kalendárnom roku 2018</w:t>
      </w:r>
      <w:bookmarkEnd w:id="116"/>
    </w:p>
    <w:p w:rsidR="00373435" w:rsidRPr="00EF2265" w:rsidRDefault="00373435" w:rsidP="00E86605">
      <w:pPr>
        <w:tabs>
          <w:tab w:val="left" w:pos="9356"/>
        </w:tabs>
        <w:spacing w:after="120"/>
        <w:jc w:val="left"/>
        <w:rPr>
          <w:rFonts w:ascii="Times New Roman" w:hAnsi="Times New Roman"/>
          <w:sz w:val="20"/>
          <w:szCs w:val="20"/>
          <w:shd w:val="clear" w:color="auto" w:fill="FFFFFF"/>
        </w:rPr>
      </w:pPr>
      <w:r w:rsidRPr="00EF2265">
        <w:rPr>
          <w:rFonts w:ascii="Times New Roman" w:hAnsi="Times New Roman"/>
          <w:noProof/>
          <w:sz w:val="20"/>
          <w:szCs w:val="20"/>
          <w:lang w:eastAsia="sk-SK"/>
        </w:rPr>
        <w:drawing>
          <wp:inline distT="0" distB="0" distL="0" distR="0" wp14:anchorId="02A02851" wp14:editId="55375084">
            <wp:extent cx="4259580" cy="2689860"/>
            <wp:effectExtent l="0" t="0" r="762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73435" w:rsidRPr="00EF2265" w:rsidRDefault="00373435" w:rsidP="00E86605">
      <w:pPr>
        <w:tabs>
          <w:tab w:val="left" w:pos="9356"/>
        </w:tabs>
        <w:spacing w:after="120"/>
        <w:jc w:val="left"/>
        <w:rPr>
          <w:rFonts w:ascii="Times New Roman" w:hAnsi="Times New Roman"/>
          <w:sz w:val="20"/>
          <w:szCs w:val="20"/>
          <w:shd w:val="clear" w:color="auto" w:fill="FFFFFF"/>
        </w:rPr>
      </w:pPr>
    </w:p>
    <w:p w:rsidR="00373435" w:rsidRPr="00EF2265" w:rsidRDefault="00373435" w:rsidP="00E86605">
      <w:pPr>
        <w:tabs>
          <w:tab w:val="left" w:pos="9356"/>
        </w:tabs>
        <w:spacing w:after="120"/>
        <w:jc w:val="left"/>
        <w:rPr>
          <w:rFonts w:ascii="Times New Roman" w:hAnsi="Times New Roman"/>
          <w:sz w:val="20"/>
          <w:szCs w:val="20"/>
          <w:shd w:val="clear" w:color="auto" w:fill="FFFFFF"/>
        </w:rPr>
      </w:pPr>
      <w:r w:rsidRPr="00EF2265">
        <w:rPr>
          <w:rFonts w:ascii="Times New Roman" w:hAnsi="Times New Roman"/>
          <w:sz w:val="20"/>
          <w:szCs w:val="20"/>
          <w:shd w:val="clear" w:color="auto" w:fill="FFFFFF"/>
        </w:rPr>
        <w:t xml:space="preserve">Od založenia univerzity (prví absolventi v roku 1940) </w:t>
      </w:r>
      <w:r w:rsidRPr="00EF2265">
        <w:rPr>
          <w:rFonts w:ascii="Times New Roman" w:hAnsi="Times New Roman"/>
          <w:sz w:val="20"/>
          <w:szCs w:val="20"/>
        </w:rPr>
        <w:t xml:space="preserve">do konca roku 2018 </w:t>
      </w:r>
      <w:r w:rsidRPr="00EF2265">
        <w:rPr>
          <w:rFonts w:ascii="Times New Roman" w:hAnsi="Times New Roman"/>
          <w:sz w:val="20"/>
          <w:szCs w:val="20"/>
          <w:shd w:val="clear" w:color="auto" w:fill="FFFFFF"/>
        </w:rPr>
        <w:t xml:space="preserve">mala STU celkove </w:t>
      </w:r>
      <w:r w:rsidRPr="00EF2265">
        <w:rPr>
          <w:rFonts w:ascii="Times New Roman" w:hAnsi="Times New Roman"/>
          <w:b/>
          <w:sz w:val="20"/>
          <w:szCs w:val="20"/>
          <w:shd w:val="clear" w:color="auto" w:fill="FFFFFF"/>
        </w:rPr>
        <w:t xml:space="preserve">162 569 absolventov, </w:t>
      </w:r>
      <w:r w:rsidRPr="00EF2265">
        <w:rPr>
          <w:rFonts w:ascii="Times New Roman" w:hAnsi="Times New Roman"/>
          <w:sz w:val="20"/>
          <w:szCs w:val="20"/>
          <w:shd w:val="clear" w:color="auto" w:fill="FFFFFF"/>
        </w:rPr>
        <w:t xml:space="preserve">z toho </w:t>
      </w:r>
      <w:r w:rsidRPr="00EF2265">
        <w:rPr>
          <w:rFonts w:ascii="Times New Roman" w:hAnsi="Times New Roman"/>
          <w:b/>
          <w:sz w:val="20"/>
          <w:szCs w:val="20"/>
          <w:shd w:val="clear" w:color="auto" w:fill="FFFFFF"/>
        </w:rPr>
        <w:t>39 599</w:t>
      </w:r>
      <w:r w:rsidRPr="00EF2265">
        <w:rPr>
          <w:rFonts w:ascii="Times New Roman" w:hAnsi="Times New Roman"/>
          <w:sz w:val="20"/>
          <w:szCs w:val="20"/>
          <w:shd w:val="clear" w:color="auto" w:fill="FFFFFF"/>
        </w:rPr>
        <w:t xml:space="preserve"> na prvom stupni, </w:t>
      </w:r>
      <w:r w:rsidRPr="00EF2265">
        <w:rPr>
          <w:rFonts w:ascii="Times New Roman" w:hAnsi="Times New Roman"/>
          <w:b/>
          <w:sz w:val="20"/>
          <w:szCs w:val="20"/>
          <w:shd w:val="clear" w:color="auto" w:fill="FFFFFF"/>
        </w:rPr>
        <w:t>119 388</w:t>
      </w:r>
      <w:r w:rsidRPr="00EF2265">
        <w:rPr>
          <w:rFonts w:ascii="Times New Roman" w:hAnsi="Times New Roman"/>
          <w:sz w:val="20"/>
          <w:szCs w:val="20"/>
          <w:shd w:val="clear" w:color="auto" w:fill="FFFFFF"/>
        </w:rPr>
        <w:t xml:space="preserve"> na druhom stupni a </w:t>
      </w:r>
      <w:r w:rsidRPr="00EF2265">
        <w:rPr>
          <w:rFonts w:ascii="Times New Roman" w:hAnsi="Times New Roman"/>
          <w:b/>
          <w:sz w:val="20"/>
          <w:szCs w:val="20"/>
          <w:shd w:val="clear" w:color="auto" w:fill="FFFFFF"/>
        </w:rPr>
        <w:t>3 582</w:t>
      </w:r>
      <w:r w:rsidRPr="00EF2265">
        <w:rPr>
          <w:rFonts w:ascii="Times New Roman" w:hAnsi="Times New Roman"/>
          <w:sz w:val="20"/>
          <w:szCs w:val="20"/>
          <w:shd w:val="clear" w:color="auto" w:fill="FFFFFF"/>
        </w:rPr>
        <w:t xml:space="preserve"> na treťom stupni štúdia. </w:t>
      </w:r>
    </w:p>
    <w:p w:rsidR="00373435" w:rsidRPr="00EF2265" w:rsidRDefault="00373435" w:rsidP="00E86605">
      <w:pPr>
        <w:tabs>
          <w:tab w:val="left" w:pos="9356"/>
        </w:tabs>
        <w:spacing w:after="120"/>
        <w:jc w:val="left"/>
        <w:rPr>
          <w:rFonts w:ascii="Times New Roman" w:hAnsi="Times New Roman"/>
          <w:sz w:val="20"/>
          <w:szCs w:val="20"/>
          <w:shd w:val="clear" w:color="auto" w:fill="FFFFFF"/>
        </w:rPr>
      </w:pPr>
      <w:r w:rsidRPr="00EF2265">
        <w:rPr>
          <w:rFonts w:ascii="Times New Roman" w:hAnsi="Times New Roman"/>
          <w:sz w:val="20"/>
          <w:szCs w:val="20"/>
          <w:shd w:val="clear" w:color="auto" w:fill="FFFFFF"/>
        </w:rPr>
        <w:t xml:space="preserve">Prehľad celkového počtu absolventov STU na jednotlivých stupňoch štúdia za posledných päť kalendárnych rokov uvádza </w:t>
      </w:r>
      <w:r w:rsidRPr="00EF2265">
        <w:rPr>
          <w:rFonts w:ascii="Times New Roman" w:hAnsi="Times New Roman"/>
          <w:sz w:val="20"/>
          <w:szCs w:val="20"/>
          <w:shd w:val="clear" w:color="auto" w:fill="FFFFFF"/>
        </w:rPr>
        <w:fldChar w:fldCharType="begin"/>
      </w:r>
      <w:r w:rsidRPr="00EF2265">
        <w:rPr>
          <w:rFonts w:ascii="Times New Roman" w:hAnsi="Times New Roman"/>
          <w:sz w:val="20"/>
          <w:szCs w:val="20"/>
          <w:shd w:val="clear" w:color="auto" w:fill="FFFFFF"/>
        </w:rPr>
        <w:instrText xml:space="preserve"> REF _Ref474780344 \h  \* MERGEFORMAT </w:instrText>
      </w:r>
      <w:r w:rsidRPr="00EF2265">
        <w:rPr>
          <w:rFonts w:ascii="Times New Roman" w:hAnsi="Times New Roman"/>
          <w:sz w:val="20"/>
          <w:szCs w:val="20"/>
          <w:shd w:val="clear" w:color="auto" w:fill="FFFFFF"/>
        </w:rPr>
      </w:r>
      <w:r w:rsidRPr="00EF2265">
        <w:rPr>
          <w:rFonts w:ascii="Times New Roman" w:hAnsi="Times New Roman"/>
          <w:sz w:val="20"/>
          <w:szCs w:val="20"/>
          <w:shd w:val="clear" w:color="auto" w:fill="FFFFFF"/>
        </w:rPr>
        <w:fldChar w:fldCharType="separate"/>
      </w:r>
      <w:r w:rsidR="001C349F" w:rsidRPr="00EF2265">
        <w:rPr>
          <w:rFonts w:ascii="Times New Roman" w:hAnsi="Times New Roman"/>
          <w:bCs/>
          <w:iCs/>
          <w:sz w:val="20"/>
          <w:szCs w:val="20"/>
          <w:lang w:eastAsia="sk-SK"/>
        </w:rPr>
        <w:t xml:space="preserve">Graf č. </w:t>
      </w:r>
      <w:r w:rsidR="001C349F">
        <w:rPr>
          <w:rFonts w:ascii="Times New Roman" w:hAnsi="Times New Roman"/>
          <w:sz w:val="20"/>
          <w:szCs w:val="20"/>
        </w:rPr>
        <w:t>16</w:t>
      </w:r>
      <w:r w:rsidRPr="00EF2265">
        <w:rPr>
          <w:rFonts w:ascii="Times New Roman" w:hAnsi="Times New Roman"/>
          <w:sz w:val="20"/>
          <w:szCs w:val="20"/>
          <w:shd w:val="clear" w:color="auto" w:fill="FFFFFF"/>
        </w:rPr>
        <w:fldChar w:fldCharType="end"/>
      </w:r>
      <w:r w:rsidRPr="00EF2265">
        <w:rPr>
          <w:rFonts w:ascii="Times New Roman" w:hAnsi="Times New Roman"/>
          <w:sz w:val="20"/>
          <w:szCs w:val="20"/>
          <w:shd w:val="clear" w:color="auto" w:fill="FFFFFF"/>
        </w:rPr>
        <w:t xml:space="preserve">. </w:t>
      </w:r>
    </w:p>
    <w:p w:rsidR="00373435" w:rsidRPr="00EF2265" w:rsidRDefault="00373435" w:rsidP="00E86605">
      <w:pPr>
        <w:tabs>
          <w:tab w:val="left" w:pos="9356"/>
        </w:tabs>
        <w:jc w:val="left"/>
        <w:rPr>
          <w:rFonts w:ascii="Times New Roman" w:hAnsi="Times New Roman"/>
          <w:bCs/>
          <w:iCs/>
          <w:sz w:val="20"/>
          <w:szCs w:val="20"/>
          <w:lang w:eastAsia="sk-SK"/>
        </w:rPr>
      </w:pPr>
      <w:bookmarkStart w:id="117" w:name="_Ref474780344"/>
      <w:bookmarkStart w:id="118" w:name="_Toc534724803"/>
      <w:r w:rsidRPr="00EF2265">
        <w:rPr>
          <w:rFonts w:ascii="Times New Roman" w:hAnsi="Times New Roman"/>
          <w:bCs/>
          <w:iCs/>
          <w:sz w:val="20"/>
          <w:szCs w:val="20"/>
          <w:lang w:eastAsia="sk-SK"/>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16</w:t>
      </w:r>
      <w:r w:rsidRPr="00EF2265">
        <w:rPr>
          <w:rFonts w:ascii="Times New Roman" w:hAnsi="Times New Roman"/>
          <w:sz w:val="20"/>
          <w:szCs w:val="20"/>
        </w:rPr>
        <w:fldChar w:fldCharType="end"/>
      </w:r>
      <w:bookmarkEnd w:id="117"/>
      <w:r w:rsidRPr="00EF2265">
        <w:rPr>
          <w:rFonts w:ascii="Times New Roman" w:hAnsi="Times New Roman"/>
          <w:bCs/>
          <w:iCs/>
          <w:sz w:val="20"/>
          <w:szCs w:val="20"/>
          <w:lang w:eastAsia="sk-SK"/>
        </w:rPr>
        <w:t>: Počet absolventov za posledných päť kalendárnych rokov</w:t>
      </w:r>
      <w:bookmarkEnd w:id="118"/>
    </w:p>
    <w:p w:rsidR="00373435" w:rsidRPr="00EF2265" w:rsidRDefault="00373435" w:rsidP="00E86605">
      <w:pPr>
        <w:tabs>
          <w:tab w:val="left" w:pos="9356"/>
        </w:tabs>
        <w:spacing w:after="120"/>
        <w:jc w:val="left"/>
        <w:rPr>
          <w:rFonts w:ascii="Times New Roman" w:hAnsi="Times New Roman"/>
          <w:bCs/>
          <w:iCs/>
          <w:sz w:val="20"/>
          <w:szCs w:val="20"/>
          <w:lang w:eastAsia="sk-SK"/>
        </w:rPr>
      </w:pPr>
      <w:r w:rsidRPr="00EF2265">
        <w:rPr>
          <w:rFonts w:ascii="Times New Roman" w:hAnsi="Times New Roman"/>
          <w:noProof/>
          <w:sz w:val="20"/>
          <w:szCs w:val="20"/>
          <w:lang w:eastAsia="sk-SK"/>
        </w:rPr>
        <w:lastRenderedPageBreak/>
        <w:drawing>
          <wp:inline distT="0" distB="0" distL="0" distR="0" wp14:anchorId="4618AE6C" wp14:editId="3BE8473E">
            <wp:extent cx="5925820" cy="2751826"/>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73435" w:rsidRPr="00EF2265" w:rsidRDefault="00373435" w:rsidP="00E86605">
      <w:pPr>
        <w:tabs>
          <w:tab w:val="left" w:pos="9356"/>
        </w:tabs>
        <w:jc w:val="left"/>
        <w:rPr>
          <w:rFonts w:ascii="Times New Roman" w:hAnsi="Times New Roman"/>
          <w:sz w:val="20"/>
          <w:szCs w:val="20"/>
          <w:shd w:val="clear" w:color="auto" w:fill="FFFFFF"/>
        </w:rPr>
      </w:pPr>
      <w:bookmarkStart w:id="119" w:name="_Ref534484974"/>
      <w:bookmarkStart w:id="120" w:name="_Ref534484964"/>
      <w:r w:rsidRPr="00EF2265">
        <w:rPr>
          <w:rFonts w:ascii="Times New Roman" w:hAnsi="Times New Roman"/>
          <w:sz w:val="20"/>
          <w:szCs w:val="20"/>
          <w:shd w:val="clear" w:color="auto" w:fill="FFFFFF"/>
        </w:rPr>
        <w:t xml:space="preserve">Pozitívne možno vnímať pozíciu STU medzi vysokými školami na Slovensku získanú atraktívnosťou a kvalitou poskytovaného vysokoškolského vzdelávania. Je to vidieť aj z percenta evidovaných nezamestnaných absolventov vysokých škôl, ktoré si STU udržiava dlhodobo medzi najnižšími v porovnaní s ostatnými verejnými vysokými školami na Slovensku. STU sa tak radí medzi najúspešnejšie univerzity na Slovensku, čo sa týka uplatniteľnosti absolventov. </w:t>
      </w:r>
    </w:p>
    <w:p w:rsidR="00373435" w:rsidRPr="00EF2265" w:rsidRDefault="00373435" w:rsidP="00E86605">
      <w:pPr>
        <w:tabs>
          <w:tab w:val="left" w:pos="9356"/>
        </w:tabs>
        <w:spacing w:after="120"/>
        <w:jc w:val="left"/>
        <w:rPr>
          <w:rFonts w:ascii="Times New Roman" w:hAnsi="Times New Roman"/>
          <w:sz w:val="20"/>
          <w:szCs w:val="20"/>
          <w:shd w:val="clear" w:color="auto" w:fill="FFFFFF"/>
        </w:rPr>
      </w:pPr>
      <w:r w:rsidRPr="00EF2265">
        <w:rPr>
          <w:rFonts w:ascii="Times New Roman" w:hAnsi="Times New Roman"/>
          <w:sz w:val="20"/>
          <w:szCs w:val="20"/>
          <w:shd w:val="clear" w:color="auto" w:fill="FFFFFF"/>
        </w:rPr>
        <w:t xml:space="preserve">Percentuálne vyjadrenie počtu nezamestnaných absolventov verejných vysokých škôl v Slovenskej republike v roku 2018 uvádza </w:t>
      </w:r>
      <w:r w:rsidRPr="00EF2265">
        <w:rPr>
          <w:rFonts w:ascii="Times New Roman" w:hAnsi="Times New Roman"/>
          <w:sz w:val="20"/>
          <w:szCs w:val="20"/>
          <w:shd w:val="clear" w:color="auto" w:fill="FFFFFF"/>
        </w:rPr>
        <w:fldChar w:fldCharType="begin"/>
      </w:r>
      <w:r w:rsidRPr="00EF2265">
        <w:rPr>
          <w:rFonts w:ascii="Times New Roman" w:hAnsi="Times New Roman"/>
          <w:sz w:val="20"/>
          <w:szCs w:val="20"/>
          <w:shd w:val="clear" w:color="auto" w:fill="FFFFFF"/>
        </w:rPr>
        <w:instrText xml:space="preserve"> REF _Ref534932083 \h </w:instrText>
      </w:r>
      <w:r w:rsidR="00D84F47" w:rsidRPr="00EF2265">
        <w:rPr>
          <w:rFonts w:ascii="Times New Roman" w:hAnsi="Times New Roman"/>
          <w:sz w:val="20"/>
          <w:szCs w:val="20"/>
          <w:shd w:val="clear" w:color="auto" w:fill="FFFFFF"/>
        </w:rPr>
        <w:instrText xml:space="preserve"> \* MERGEFORMAT </w:instrText>
      </w:r>
      <w:r w:rsidRPr="00EF2265">
        <w:rPr>
          <w:rFonts w:ascii="Times New Roman" w:hAnsi="Times New Roman"/>
          <w:sz w:val="20"/>
          <w:szCs w:val="20"/>
          <w:shd w:val="clear" w:color="auto" w:fill="FFFFFF"/>
        </w:rPr>
      </w:r>
      <w:r w:rsidRPr="00EF2265">
        <w:rPr>
          <w:rFonts w:ascii="Times New Roman" w:hAnsi="Times New Roman"/>
          <w:sz w:val="20"/>
          <w:szCs w:val="20"/>
          <w:shd w:val="clear" w:color="auto" w:fill="FFFFFF"/>
        </w:rPr>
        <w:fldChar w:fldCharType="separate"/>
      </w:r>
      <w:r w:rsidR="001C349F" w:rsidRPr="00EF2265">
        <w:rPr>
          <w:rFonts w:ascii="Times New Roman" w:hAnsi="Times New Roman"/>
          <w:bCs/>
          <w:iCs/>
          <w:sz w:val="20"/>
          <w:szCs w:val="20"/>
          <w:lang w:eastAsia="sk-SK"/>
        </w:rPr>
        <w:t xml:space="preserve">Graf č. </w:t>
      </w:r>
      <w:r w:rsidR="001C349F">
        <w:rPr>
          <w:rFonts w:ascii="Times New Roman" w:hAnsi="Times New Roman"/>
          <w:noProof/>
          <w:sz w:val="20"/>
          <w:szCs w:val="20"/>
        </w:rPr>
        <w:t>17</w:t>
      </w:r>
      <w:r w:rsidRPr="00EF2265">
        <w:rPr>
          <w:rFonts w:ascii="Times New Roman" w:hAnsi="Times New Roman"/>
          <w:sz w:val="20"/>
          <w:szCs w:val="20"/>
          <w:shd w:val="clear" w:color="auto" w:fill="FFFFFF"/>
        </w:rPr>
        <w:fldChar w:fldCharType="end"/>
      </w:r>
      <w:r w:rsidRPr="00EF2265">
        <w:rPr>
          <w:rFonts w:ascii="Times New Roman" w:hAnsi="Times New Roman"/>
          <w:sz w:val="20"/>
          <w:szCs w:val="20"/>
          <w:shd w:val="clear" w:color="auto" w:fill="FFFFFF"/>
        </w:rPr>
        <w:t xml:space="preserve">. </w:t>
      </w:r>
    </w:p>
    <w:p w:rsidR="00373435" w:rsidRPr="00EF2265" w:rsidRDefault="00373435" w:rsidP="00E86605">
      <w:pPr>
        <w:tabs>
          <w:tab w:val="left" w:pos="9356"/>
        </w:tabs>
        <w:jc w:val="left"/>
        <w:rPr>
          <w:rFonts w:ascii="Times New Roman" w:hAnsi="Times New Roman"/>
          <w:bCs/>
          <w:iCs/>
          <w:sz w:val="20"/>
          <w:szCs w:val="20"/>
          <w:lang w:eastAsia="sk-SK"/>
        </w:rPr>
      </w:pPr>
      <w:bookmarkStart w:id="121" w:name="_Ref534932083"/>
      <w:bookmarkStart w:id="122" w:name="_Toc534724804"/>
      <w:bookmarkStart w:id="123" w:name="_Ref534932073"/>
      <w:r w:rsidRPr="00EF2265">
        <w:rPr>
          <w:rFonts w:ascii="Times New Roman" w:hAnsi="Times New Roman"/>
          <w:bCs/>
          <w:iCs/>
          <w:sz w:val="20"/>
          <w:szCs w:val="20"/>
          <w:lang w:eastAsia="sk-SK"/>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17</w:t>
      </w:r>
      <w:r w:rsidRPr="00EF2265">
        <w:rPr>
          <w:rFonts w:ascii="Times New Roman" w:hAnsi="Times New Roman"/>
          <w:sz w:val="20"/>
          <w:szCs w:val="20"/>
        </w:rPr>
        <w:fldChar w:fldCharType="end"/>
      </w:r>
      <w:bookmarkEnd w:id="119"/>
      <w:bookmarkEnd w:id="121"/>
      <w:r w:rsidRPr="00EF2265">
        <w:rPr>
          <w:rFonts w:ascii="Times New Roman" w:hAnsi="Times New Roman"/>
          <w:bCs/>
          <w:iCs/>
          <w:sz w:val="20"/>
          <w:szCs w:val="20"/>
          <w:lang w:eastAsia="sk-SK"/>
        </w:rPr>
        <w:t>: Percentuálne vyjadrenie počtu nezamestnaných absolventov verejných vysokých škôl v SR v roku 2018</w:t>
      </w:r>
      <w:bookmarkEnd w:id="120"/>
      <w:bookmarkEnd w:id="122"/>
      <w:bookmarkEnd w:id="123"/>
    </w:p>
    <w:p w:rsidR="00373435" w:rsidRPr="00EF2265" w:rsidRDefault="00373435" w:rsidP="00E86605">
      <w:pPr>
        <w:tabs>
          <w:tab w:val="left" w:pos="9356"/>
        </w:tabs>
        <w:jc w:val="left"/>
        <w:rPr>
          <w:rFonts w:ascii="Times New Roman" w:hAnsi="Times New Roman"/>
          <w:bCs/>
          <w:iCs/>
          <w:sz w:val="20"/>
          <w:szCs w:val="20"/>
          <w:lang w:eastAsia="sk-SK"/>
        </w:rPr>
      </w:pPr>
      <w:r w:rsidRPr="00EF2265">
        <w:rPr>
          <w:rFonts w:ascii="Times New Roman" w:hAnsi="Times New Roman"/>
          <w:noProof/>
          <w:sz w:val="20"/>
          <w:szCs w:val="20"/>
          <w:lang w:eastAsia="sk-SK"/>
        </w:rPr>
        <w:drawing>
          <wp:inline distT="0" distB="0" distL="0" distR="0" wp14:anchorId="5901DF7A" wp14:editId="37E72FE0">
            <wp:extent cx="6031230" cy="3573780"/>
            <wp:effectExtent l="0" t="0" r="7620" b="762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73435" w:rsidRPr="00EF2265" w:rsidRDefault="00373435" w:rsidP="00E86605">
      <w:pPr>
        <w:tabs>
          <w:tab w:val="left" w:pos="9356"/>
        </w:tabs>
        <w:jc w:val="left"/>
        <w:rPr>
          <w:rFonts w:ascii="Times New Roman" w:hAnsi="Times New Roman"/>
          <w:bCs/>
          <w:iCs/>
          <w:sz w:val="20"/>
          <w:szCs w:val="20"/>
          <w:lang w:eastAsia="sk-SK"/>
        </w:rPr>
      </w:pPr>
      <w:r w:rsidRPr="00EF2265">
        <w:rPr>
          <w:rFonts w:ascii="Times New Roman" w:hAnsi="Times New Roman"/>
          <w:bCs/>
          <w:iCs/>
          <w:sz w:val="20"/>
          <w:szCs w:val="20"/>
          <w:lang w:eastAsia="sk-SK"/>
        </w:rPr>
        <w:t>Vysvetlivky:</w:t>
      </w:r>
    </w:p>
    <w:p w:rsidR="00373435" w:rsidRPr="00EF2265" w:rsidRDefault="00373435" w:rsidP="00E86605">
      <w:pPr>
        <w:tabs>
          <w:tab w:val="left" w:pos="9356"/>
        </w:tabs>
        <w:jc w:val="left"/>
        <w:rPr>
          <w:rFonts w:ascii="Times New Roman" w:eastAsia="Times New Roman" w:hAnsi="Times New Roman"/>
          <w:bCs/>
          <w:color w:val="000000"/>
          <w:sz w:val="20"/>
          <w:szCs w:val="20"/>
          <w:lang w:eastAsia="sk-SK"/>
        </w:rPr>
      </w:pPr>
      <w:r w:rsidRPr="00EF2265">
        <w:rPr>
          <w:rFonts w:ascii="Times New Roman" w:eastAsia="Times New Roman" w:hAnsi="Times New Roman"/>
          <w:bCs/>
          <w:color w:val="000000"/>
          <w:sz w:val="20"/>
          <w:szCs w:val="20"/>
          <w:lang w:eastAsia="sk-SK"/>
        </w:rPr>
        <w:t>% nezamestnaných absolventov verejných vysokých škôl v SR z celkového počtu absolventov príslušnej vysokej školy</w:t>
      </w:r>
    </w:p>
    <w:p w:rsidR="00373435" w:rsidRPr="00EF2265" w:rsidRDefault="00373435" w:rsidP="00E86605">
      <w:pPr>
        <w:tabs>
          <w:tab w:val="left" w:pos="9356"/>
        </w:tabs>
        <w:jc w:val="left"/>
        <w:rPr>
          <w:rFonts w:ascii="Times New Roman" w:eastAsia="Times New Roman" w:hAnsi="Times New Roman"/>
          <w:bCs/>
          <w:color w:val="000000"/>
          <w:sz w:val="20"/>
          <w:szCs w:val="20"/>
          <w:lang w:eastAsia="sk-SK"/>
        </w:rPr>
      </w:pPr>
      <w:r w:rsidRPr="00EF2265">
        <w:rPr>
          <w:rFonts w:ascii="Times New Roman" w:eastAsia="Times New Roman" w:hAnsi="Times New Roman"/>
          <w:bCs/>
          <w:color w:val="000000"/>
          <w:sz w:val="20"/>
          <w:szCs w:val="20"/>
          <w:lang w:eastAsia="sk-SK"/>
        </w:rPr>
        <w:t xml:space="preserve">Zdroj: </w:t>
      </w:r>
    </w:p>
    <w:p w:rsidR="00373435" w:rsidRPr="00EF2265" w:rsidRDefault="00373435" w:rsidP="00E86605">
      <w:pPr>
        <w:tabs>
          <w:tab w:val="left" w:pos="9356"/>
        </w:tabs>
        <w:jc w:val="left"/>
        <w:rPr>
          <w:rStyle w:val="Hypertextovprepojenie"/>
          <w:rFonts w:ascii="Times New Roman" w:eastAsia="Times New Roman" w:hAnsi="Times New Roman"/>
          <w:sz w:val="20"/>
          <w:szCs w:val="20"/>
          <w:lang w:eastAsia="sk-SK"/>
        </w:rPr>
      </w:pPr>
      <w:r w:rsidRPr="00EF2265">
        <w:rPr>
          <w:rFonts w:ascii="Times New Roman" w:eastAsia="Times New Roman" w:hAnsi="Times New Roman"/>
          <w:b/>
          <w:bCs/>
          <w:color w:val="000000"/>
          <w:sz w:val="20"/>
          <w:szCs w:val="20"/>
          <w:lang w:eastAsia="sk-SK"/>
        </w:rPr>
        <w:t>Počet absolventov</w:t>
      </w:r>
      <w:r w:rsidRPr="00EF2265">
        <w:rPr>
          <w:rFonts w:ascii="Times New Roman" w:eastAsia="Times New Roman" w:hAnsi="Times New Roman"/>
          <w:color w:val="000000"/>
          <w:sz w:val="20"/>
          <w:szCs w:val="20"/>
          <w:lang w:eastAsia="sk-SK"/>
        </w:rPr>
        <w:t xml:space="preserve"> všetkých stupňov a foriem štúdia k 31.12.2017; Štatistická ročenka CVTI: </w:t>
      </w:r>
      <w:hyperlink r:id="rId50" w:history="1">
        <w:r w:rsidRPr="00EF2265">
          <w:rPr>
            <w:rStyle w:val="Hypertextovprepojenie"/>
            <w:rFonts w:ascii="Times New Roman" w:eastAsia="Times New Roman" w:hAnsi="Times New Roman"/>
            <w:sz w:val="20"/>
            <w:szCs w:val="20"/>
            <w:lang w:eastAsia="sk-SK"/>
          </w:rPr>
          <w:t>http://www.cvtisr.sk/</w:t>
        </w:r>
      </w:hyperlink>
    </w:p>
    <w:p w:rsidR="00367B40" w:rsidRDefault="00373435" w:rsidP="00E86605">
      <w:pPr>
        <w:tabs>
          <w:tab w:val="left" w:pos="9356"/>
        </w:tabs>
        <w:jc w:val="left"/>
        <w:rPr>
          <w:rFonts w:ascii="Times New Roman" w:eastAsia="Times New Roman" w:hAnsi="Times New Roman"/>
          <w:color w:val="000000"/>
          <w:sz w:val="20"/>
          <w:szCs w:val="20"/>
          <w:lang w:eastAsia="sk-SK"/>
        </w:rPr>
      </w:pPr>
      <w:r w:rsidRPr="00EF2265">
        <w:rPr>
          <w:rFonts w:ascii="Times New Roman" w:eastAsia="Times New Roman" w:hAnsi="Times New Roman"/>
          <w:b/>
          <w:bCs/>
          <w:color w:val="000000"/>
          <w:sz w:val="20"/>
          <w:szCs w:val="20"/>
          <w:lang w:eastAsia="sk-SK"/>
        </w:rPr>
        <w:lastRenderedPageBreak/>
        <w:t xml:space="preserve">Počet nezamestnaných </w:t>
      </w:r>
      <w:r w:rsidRPr="00EF2265">
        <w:rPr>
          <w:rFonts w:ascii="Times New Roman" w:eastAsia="Times New Roman" w:hAnsi="Times New Roman"/>
          <w:color w:val="000000"/>
          <w:sz w:val="20"/>
          <w:szCs w:val="20"/>
          <w:lang w:eastAsia="sk-SK"/>
        </w:rPr>
        <w:t xml:space="preserve">absolventov VŠ všetkých stupňov a foriem štúdia evidovaných 0 až 18 mesiacov k septembru 2018; ÚPSVaR SR / Štatistiky / Nezamestnanosť - absolventi – štatistiky: </w:t>
      </w:r>
      <w:hyperlink r:id="rId51" w:history="1">
        <w:r w:rsidRPr="00EF2265">
          <w:rPr>
            <w:rStyle w:val="Hypertextovprepojenie"/>
            <w:rFonts w:ascii="Times New Roman" w:eastAsia="Times New Roman" w:hAnsi="Times New Roman"/>
            <w:sz w:val="20"/>
            <w:szCs w:val="20"/>
            <w:lang w:eastAsia="sk-SK"/>
          </w:rPr>
          <w:t>https://www.upsvr.gov.sk/statistiky/</w:t>
        </w:r>
      </w:hyperlink>
      <w:r w:rsidRPr="00EF2265">
        <w:rPr>
          <w:rFonts w:ascii="Times New Roman" w:eastAsia="Times New Roman" w:hAnsi="Times New Roman"/>
          <w:color w:val="000000"/>
          <w:sz w:val="20"/>
          <w:szCs w:val="20"/>
          <w:lang w:eastAsia="sk-SK"/>
        </w:rPr>
        <w:t xml:space="preserve"> </w:t>
      </w:r>
    </w:p>
    <w:p w:rsidR="00373435" w:rsidRPr="00EF2265" w:rsidRDefault="00373435" w:rsidP="00E86605">
      <w:pPr>
        <w:tabs>
          <w:tab w:val="left" w:pos="9356"/>
        </w:tabs>
        <w:jc w:val="left"/>
        <w:rPr>
          <w:rFonts w:ascii="Times New Roman" w:hAnsi="Times New Roman"/>
          <w:bCs/>
          <w:iCs/>
          <w:sz w:val="20"/>
          <w:szCs w:val="20"/>
          <w:lang w:eastAsia="sk-SK"/>
        </w:rPr>
      </w:pPr>
    </w:p>
    <w:p w:rsidR="00373435" w:rsidRPr="00EF2265" w:rsidRDefault="00373435" w:rsidP="00E86605">
      <w:pPr>
        <w:pStyle w:val="Nadpis1"/>
        <w:numPr>
          <w:ilvl w:val="1"/>
          <w:numId w:val="8"/>
        </w:numPr>
        <w:tabs>
          <w:tab w:val="left" w:pos="9356"/>
        </w:tabs>
        <w:rPr>
          <w:rFonts w:ascii="Times New Roman" w:hAnsi="Times New Roman" w:cs="Times New Roman"/>
          <w:color w:val="auto"/>
          <w:sz w:val="20"/>
          <w:szCs w:val="20"/>
        </w:rPr>
      </w:pPr>
      <w:bookmarkStart w:id="124" w:name="_Prehľad_úspechov,_ktoré"/>
      <w:bookmarkStart w:id="125" w:name="_Toc534722889"/>
      <w:bookmarkEnd w:id="124"/>
      <w:r w:rsidRPr="00EF2265">
        <w:rPr>
          <w:rFonts w:ascii="Times New Roman" w:hAnsi="Times New Roman" w:cs="Times New Roman"/>
          <w:color w:val="auto"/>
          <w:sz w:val="20"/>
          <w:szCs w:val="20"/>
        </w:rPr>
        <w:t>Prehľad úspechov, ktoré dosiahli študenti na národnej a medzinárodnej úrovni</w:t>
      </w:r>
      <w:bookmarkEnd w:id="125"/>
    </w:p>
    <w:p w:rsidR="00373435" w:rsidRPr="00EF2265" w:rsidRDefault="00373435" w:rsidP="00E86605">
      <w:pPr>
        <w:tabs>
          <w:tab w:val="left" w:pos="9356"/>
        </w:tabs>
        <w:jc w:val="left"/>
        <w:rPr>
          <w:rFonts w:ascii="Times New Roman" w:hAnsi="Times New Roman"/>
          <w:b/>
          <w:sz w:val="20"/>
          <w:szCs w:val="20"/>
        </w:rPr>
      </w:pPr>
      <w:r w:rsidRPr="00EF2265">
        <w:rPr>
          <w:rFonts w:ascii="Times New Roman" w:hAnsi="Times New Roman"/>
          <w:sz w:val="20"/>
          <w:szCs w:val="20"/>
        </w:rPr>
        <w:t>STU umožňuje svojim študentom reprezentovať univerzitu na národnej a medzinárodnej úrovni, najmä na odborných súťažiach organizovaných inštitúciami, ktoré súvisia s profesijným profilom študijných programov univerzity. Účasť a úspešnosť študentov v súťažiach je jednou z najefektívnejších foriem propagácie kvality vzdelávania v odbornej a profesijnej komunite.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_Ref474778061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Tab. č.</w:t>
      </w:r>
      <w:r w:rsidR="001C349F" w:rsidRPr="00EF2265">
        <w:rPr>
          <w:rFonts w:ascii="Times New Roman" w:hAnsi="Times New Roman"/>
          <w:noProof/>
          <w:sz w:val="20"/>
          <w:szCs w:val="20"/>
        </w:rPr>
        <w:t xml:space="preserve"> </w:t>
      </w:r>
      <w:r w:rsidR="001C349F">
        <w:rPr>
          <w:rFonts w:ascii="Times New Roman" w:hAnsi="Times New Roman"/>
          <w:noProof/>
          <w:sz w:val="20"/>
          <w:szCs w:val="20"/>
        </w:rPr>
        <w:t>34</w:t>
      </w:r>
      <w:r w:rsidRPr="00EF2265">
        <w:rPr>
          <w:rFonts w:ascii="Times New Roman" w:hAnsi="Times New Roman"/>
          <w:sz w:val="20"/>
          <w:szCs w:val="20"/>
        </w:rPr>
        <w:fldChar w:fldCharType="end"/>
      </w:r>
      <w:r w:rsidRPr="00EF2265">
        <w:rPr>
          <w:rFonts w:ascii="Times New Roman" w:hAnsi="Times New Roman"/>
          <w:sz w:val="20"/>
          <w:szCs w:val="20"/>
        </w:rPr>
        <w:t xml:space="preserve">,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_Ref474778075 \h  \* MERGEFORMAT </w:instrText>
      </w:r>
      <w:r w:rsidRPr="00EF2265">
        <w:rPr>
          <w:rFonts w:ascii="Times New Roman" w:hAnsi="Times New Roman"/>
          <w:sz w:val="20"/>
          <w:szCs w:val="20"/>
        </w:rPr>
      </w:r>
      <w:r w:rsidRPr="00EF2265">
        <w:rPr>
          <w:rFonts w:ascii="Times New Roman" w:hAnsi="Times New Roman"/>
          <w:sz w:val="20"/>
          <w:szCs w:val="20"/>
        </w:rPr>
        <w:fldChar w:fldCharType="end"/>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_Ref506811532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35</w:t>
      </w:r>
      <w:r w:rsidRPr="00EF2265">
        <w:rPr>
          <w:rFonts w:ascii="Times New Roman" w:hAnsi="Times New Roman"/>
          <w:sz w:val="20"/>
          <w:szCs w:val="20"/>
        </w:rPr>
        <w:fldChar w:fldCharType="end"/>
      </w:r>
      <w:r w:rsidRPr="00EF2265">
        <w:rPr>
          <w:rFonts w:ascii="Times New Roman" w:hAnsi="Times New Roman"/>
          <w:sz w:val="20"/>
          <w:szCs w:val="20"/>
        </w:rPr>
        <w:t xml:space="preserve"> 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_Ref474778113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36</w:t>
      </w:r>
      <w:r w:rsidRPr="00EF2265">
        <w:rPr>
          <w:rFonts w:ascii="Times New Roman" w:hAnsi="Times New Roman"/>
          <w:sz w:val="20"/>
          <w:szCs w:val="20"/>
        </w:rPr>
        <w:fldChar w:fldCharType="end"/>
      </w:r>
      <w:r w:rsidRPr="00EF2265">
        <w:rPr>
          <w:rFonts w:ascii="Times New Roman" w:hAnsi="Times New Roman"/>
          <w:sz w:val="20"/>
          <w:szCs w:val="20"/>
        </w:rPr>
        <w:t xml:space="preserve"> je uvedený kvantitatívny prehľad najvýznamnejších ocenení, ktoré študenti STU dosiahli v priebehu akademického roka 2017/2018 </w:t>
      </w:r>
      <w:r w:rsidRPr="00EF2265">
        <w:rPr>
          <w:rFonts w:ascii="Times New Roman" w:hAnsi="Times New Roman"/>
          <w:b/>
          <w:sz w:val="20"/>
          <w:szCs w:val="20"/>
        </w:rPr>
        <w:t>(spolu 176 na národnej úrovni mimo univerzity a 41 na medzinárodnej úrovni).</w:t>
      </w:r>
    </w:p>
    <w:p w:rsidR="00373435" w:rsidRPr="00EF2265" w:rsidRDefault="00373435" w:rsidP="00E86605">
      <w:pPr>
        <w:tabs>
          <w:tab w:val="left" w:pos="9356"/>
        </w:tabs>
        <w:spacing w:after="80"/>
        <w:jc w:val="left"/>
        <w:rPr>
          <w:rFonts w:ascii="Times New Roman" w:hAnsi="Times New Roman"/>
          <w:sz w:val="20"/>
          <w:szCs w:val="20"/>
        </w:rPr>
      </w:pPr>
      <w:r w:rsidRPr="00EF2265">
        <w:rPr>
          <w:rFonts w:ascii="Times New Roman" w:hAnsi="Times New Roman"/>
          <w:sz w:val="20"/>
          <w:szCs w:val="20"/>
        </w:rPr>
        <w:t>Okrem toho sú v tabuľkách uvedené aj úspechy študentov jednotlivcov alebo kolektívov, ktoré vyplývajú z ich mimo študijných aktivít (šport, kultúra a pod.). Tieto ocenenia sú vnímané tiež ako dôležité, pretože okrem toho, že študenti reprezentujú univerzitu, mimo študijné aktivity prispievajú k celkovému rozvoju osobnosti mladého človeka.</w:t>
      </w:r>
    </w:p>
    <w:p w:rsidR="00373435" w:rsidRPr="00EF2265" w:rsidRDefault="00373435" w:rsidP="00E86605">
      <w:pPr>
        <w:tabs>
          <w:tab w:val="left" w:pos="9356"/>
        </w:tabs>
        <w:jc w:val="left"/>
        <w:rPr>
          <w:rFonts w:ascii="Times New Roman" w:hAnsi="Times New Roman"/>
          <w:sz w:val="20"/>
          <w:szCs w:val="20"/>
        </w:rPr>
      </w:pPr>
      <w:bookmarkStart w:id="126" w:name="_Ref474778061"/>
      <w:bookmarkStart w:id="127" w:name="_Toc534793973"/>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34</w:t>
      </w:r>
      <w:r w:rsidRPr="00EF2265">
        <w:rPr>
          <w:rFonts w:ascii="Times New Roman" w:hAnsi="Times New Roman"/>
          <w:sz w:val="20"/>
          <w:szCs w:val="20"/>
        </w:rPr>
        <w:fldChar w:fldCharType="end"/>
      </w:r>
      <w:bookmarkEnd w:id="126"/>
      <w:r w:rsidRPr="00EF2265">
        <w:rPr>
          <w:rFonts w:ascii="Times New Roman" w:hAnsi="Times New Roman"/>
          <w:sz w:val="20"/>
          <w:szCs w:val="20"/>
        </w:rPr>
        <w:t>: Kvantitatívny prehľad ocenení a cien študentov STU dosiahnutých mimo univerzity na národnej úrovni</w:t>
      </w:r>
      <w:bookmarkEnd w:id="127"/>
    </w:p>
    <w:tbl>
      <w:tblPr>
        <w:tblW w:w="9498" w:type="dxa"/>
        <w:tblInd w:w="-5" w:type="dxa"/>
        <w:tblLayout w:type="fixed"/>
        <w:tblCellMar>
          <w:left w:w="70" w:type="dxa"/>
          <w:right w:w="70" w:type="dxa"/>
        </w:tblCellMar>
        <w:tblLook w:val="04A0" w:firstRow="1" w:lastRow="0" w:firstColumn="1" w:lastColumn="0" w:noHBand="0" w:noVBand="1"/>
      </w:tblPr>
      <w:tblGrid>
        <w:gridCol w:w="4820"/>
        <w:gridCol w:w="566"/>
        <w:gridCol w:w="567"/>
        <w:gridCol w:w="568"/>
        <w:gridCol w:w="709"/>
        <w:gridCol w:w="567"/>
        <w:gridCol w:w="567"/>
        <w:gridCol w:w="567"/>
        <w:gridCol w:w="567"/>
      </w:tblGrid>
      <w:tr w:rsidR="00373435" w:rsidRPr="00EF2265" w:rsidTr="00373435">
        <w:trPr>
          <w:trHeight w:val="20"/>
        </w:trPr>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Ocenenia dosiahnuté na národnej úrovni mimo STU</w:t>
            </w:r>
          </w:p>
        </w:tc>
        <w:tc>
          <w:tcPr>
            <w:tcW w:w="566"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568"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709" w:type="dxa"/>
            <w:tcBorders>
              <w:top w:val="single" w:sz="4" w:space="0" w:color="auto"/>
              <w:left w:val="nil"/>
              <w:bottom w:val="single" w:sz="4" w:space="0" w:color="auto"/>
              <w:right w:val="nil"/>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ACM ICPC 2017</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Asociácia čistiarenských expertov SR</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BIM challenge 2017, Majstrovstvá Slovenska v rýchlosti projektovania  (2., 3. a 5. miesto)</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Bukóza Holding, a.s.</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709" w:type="dxa"/>
            <w:tcBorders>
              <w:top w:val="nil"/>
              <w:left w:val="nil"/>
              <w:bottom w:val="single" w:sz="4" w:space="0" w:color="auto"/>
              <w:right w:val="nil"/>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ABF Slovakia (cena/čestné uznanie)</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Aurela Stodolu</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československej sekcie IEEE</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HUMUSOFT</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komory geodetov a kartografov</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literárneho fondu</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9</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ministra dopravy, pôšt a telekomunikácií</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NAG 2018</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NCR</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predsedu Úradu kartografie a katastra SR</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noWrap/>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prezidenta SEZ-KES za prínos v elektrotechnike</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Cena primátora mesta </w:t>
            </w:r>
          </w:p>
        </w:tc>
        <w:tc>
          <w:tcPr>
            <w:tcW w:w="566"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prof. Arpáda Tesára</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nil"/>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prof. Jana Hlavičku za vynikajúce výsledky</w:t>
            </w:r>
          </w:p>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 doktorandskom štúdiu</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prof. Jozefa Lacka 2017/2018</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prof. Nemessányiho, Slovenský plynárenský</w:t>
            </w:r>
            <w:r w:rsidRPr="00EF2265">
              <w:rPr>
                <w:rFonts w:ascii="Times New Roman" w:eastAsia="Times New Roman" w:hAnsi="Times New Roman"/>
                <w:sz w:val="20"/>
                <w:szCs w:val="20"/>
                <w:lang w:eastAsia="sk-SK"/>
              </w:rPr>
              <w:br/>
              <w:t xml:space="preserve">a naftový zväz </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SASI</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Slovak German Start up award v rámci Slovak German Innovation Day za najinovatívnejší startup</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Slovenskej cestnej spoločnosti</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Slovenského národného komitétu IWA  (International Water Association)</w:t>
            </w:r>
          </w:p>
        </w:tc>
        <w:tc>
          <w:tcPr>
            <w:tcW w:w="566" w:type="dxa"/>
            <w:tcBorders>
              <w:top w:val="nil"/>
              <w:left w:val="nil"/>
              <w:bottom w:val="single" w:sz="4" w:space="0" w:color="auto"/>
              <w:right w:val="single" w:sz="4" w:space="0" w:color="auto"/>
            </w:tcBorders>
            <w:shd w:val="clear" w:color="auto" w:fill="auto"/>
            <w:noWrap/>
            <w:vAlign w:val="center"/>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nil"/>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Spolku SKSI, SAS, SFVU, SKCOLD (stavov. org.)</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Cena spoločnosti STRABAG za vynikajúce diplomové práce </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UI SAV</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zamestnávateľov vo vodnom hospodárstve</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Zväzu slovenských vedeckotechnických spoločností</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Certifikát MUNISS medziuniverzitná študentská súťaž Smart rozvoj lokality v Bratislave</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11</w:t>
            </w:r>
          </w:p>
        </w:tc>
      </w:tr>
      <w:tr w:rsidR="00373435" w:rsidRPr="00EF2265" w:rsidTr="00373435">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CONECO 2018/Salón architektúry – ocenenie</w:t>
            </w:r>
            <w:r w:rsidRPr="00EF2265">
              <w:rPr>
                <w:rFonts w:ascii="Times New Roman" w:eastAsia="Times New Roman" w:hAnsi="Times New Roman"/>
                <w:sz w:val="20"/>
                <w:szCs w:val="20"/>
                <w:lang w:eastAsia="sk-SK"/>
              </w:rPr>
              <w:br/>
              <w:t>Zlatý Leonardo</w:t>
            </w:r>
          </w:p>
        </w:tc>
        <w:tc>
          <w:tcPr>
            <w:tcW w:w="56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bl>
    <w:p w:rsidR="00373435" w:rsidRPr="00EF2265" w:rsidRDefault="00373435" w:rsidP="00E86605">
      <w:pPr>
        <w:jc w:val="left"/>
        <w:rPr>
          <w:rFonts w:ascii="Times New Roman" w:hAnsi="Times New Roman"/>
          <w:sz w:val="20"/>
          <w:szCs w:val="20"/>
        </w:rPr>
      </w:pPr>
    </w:p>
    <w:tbl>
      <w:tblPr>
        <w:tblW w:w="9498" w:type="dxa"/>
        <w:tblInd w:w="-5" w:type="dxa"/>
        <w:tblLayout w:type="fixed"/>
        <w:tblCellMar>
          <w:left w:w="70" w:type="dxa"/>
          <w:right w:w="70" w:type="dxa"/>
        </w:tblCellMar>
        <w:tblLook w:val="04A0" w:firstRow="1" w:lastRow="0" w:firstColumn="1" w:lastColumn="0" w:noHBand="0" w:noVBand="1"/>
      </w:tblPr>
      <w:tblGrid>
        <w:gridCol w:w="4819"/>
        <w:gridCol w:w="567"/>
        <w:gridCol w:w="567"/>
        <w:gridCol w:w="568"/>
        <w:gridCol w:w="709"/>
        <w:gridCol w:w="567"/>
        <w:gridCol w:w="567"/>
        <w:gridCol w:w="567"/>
        <w:gridCol w:w="567"/>
      </w:tblGrid>
      <w:tr w:rsidR="00373435" w:rsidRPr="00EF2265" w:rsidTr="00373435">
        <w:trPr>
          <w:trHeight w:val="20"/>
        </w:trPr>
        <w:tc>
          <w:tcPr>
            <w:tcW w:w="4819"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lastRenderedPageBreak/>
              <w:t>Ocenenia dosiahnuté na národnej úrovni mimo STU</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568"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709" w:type="dxa"/>
            <w:tcBorders>
              <w:top w:val="single" w:sz="4" w:space="0" w:color="auto"/>
              <w:left w:val="nil"/>
              <w:bottom w:val="single" w:sz="4" w:space="0" w:color="auto"/>
              <w:right w:val="nil"/>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Inžinierska cena za najlepšiu diplomovú prácu 2017 - čestné uznanie</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Inžinierska cena za najlepšiu diplomovú prácu 2018 - IET</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ISTRAN,s.r.o.</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ISTROBOT 2. miesto Voľná jazda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single" w:sz="4" w:space="0" w:color="auto"/>
              <w:left w:val="single" w:sz="4" w:space="0" w:color="auto"/>
              <w:bottom w:val="nil"/>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Malé Centrum, kníhkupectvo a vydavateľstvo</w:t>
            </w:r>
          </w:p>
        </w:tc>
        <w:tc>
          <w:tcPr>
            <w:tcW w:w="567" w:type="dxa"/>
            <w:tcBorders>
              <w:top w:val="single" w:sz="4" w:space="0" w:color="auto"/>
              <w:left w:val="nil"/>
              <w:bottom w:val="nil"/>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single" w:sz="4" w:space="0" w:color="auto"/>
              <w:left w:val="nil"/>
              <w:bottom w:val="nil"/>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MDŠ/IMOS-Systemair, s.r.o.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Medzinárodná vedecká konferencia doktorandov TU Košice, 2. najlepší príspevok</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b/>
                <w:bCs/>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Medzinárodný strojársky veľtrh v Nitre, súťaž Techfórum  </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b/>
                <w:bCs/>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Memoriál Antonína Fajkoša/STRECHY/</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6</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Mondi SCP, a.s.</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Nadácia Ekopolis/súťaž PRE VODU (1. a 2. miesto)</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Nadácia pre rozvoj FCHPT STU v Bratislave</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Národné centrum pre výskum a aplikácie obnoviteľných zdrojov energií</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Rajo, a.s., Bratislava</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Regotrans - Rittmeyer, s.r.o.</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Siemens</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Slovenská elektrochemická spoločnosť a Metrohm Slovensko, s.r.o.</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Slovenská chemická spoločnosť</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Slovenská spoločnosť chemického inžinierstva</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Slovenská spoločnosť pre povrchové úpravy </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Slovenský zväz pre chladiacu a klimatizačnú techniku</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Slovnaft, a.s.</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Súťaž Equitone - originálne odvetrané fasády </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nil"/>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Súťaž ISOVER 2017, (čestné ocenenie projekt „SILHOUETTE“, záverečné kolo )</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single" w:sz="4" w:space="0" w:color="auto"/>
              <w:left w:val="single" w:sz="4" w:space="0" w:color="auto"/>
              <w:bottom w:val="nil"/>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Súťaž ISOVER 2018, národné kolo</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single" w:sz="4" w:space="0" w:color="auto"/>
              <w:left w:val="single" w:sz="4" w:space="0" w:color="auto"/>
              <w:bottom w:val="nil"/>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Súťaž I-SWEEP, Houston, 3. miesto</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r>
      <w:tr w:rsidR="00373435" w:rsidRPr="00EF2265" w:rsidTr="00373435">
        <w:trPr>
          <w:trHeight w:val="20"/>
        </w:trPr>
        <w:tc>
          <w:tcPr>
            <w:tcW w:w="4819" w:type="dxa"/>
            <w:tcBorders>
              <w:top w:val="single" w:sz="4" w:space="0" w:color="auto"/>
              <w:left w:val="single" w:sz="4" w:space="0" w:color="auto"/>
              <w:bottom w:val="nil"/>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Súťaž Stavby s vůní dřeva</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single" w:sz="4" w:space="0" w:color="auto"/>
              <w:left w:val="single" w:sz="4" w:space="0" w:color="auto"/>
              <w:bottom w:val="nil"/>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Synchro University Challenge 4D BIM plánovanie výstavby</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Študentská osobnosť Slovenska  </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Študentská súťaž Navrhneš interiér domu 3x3</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Študentská súťaž Skrášlenie bratislavských okruhov</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Študentská osobnosť roka</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Thermosolar, s.r.o., Žiar nad Hronom</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Zväz chemického a farmaceutického priemyslu</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Zväz slovenských vedeckotechn. spoločností (ZSVTS) </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F2265">
            <w:pPr>
              <w:ind w:firstLineChars="100" w:firstLine="200"/>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nil"/>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ŠVK Aplikovaná chémia a environmentálna chémia 2018, UCM, Trnava</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Akademické majstrovstvá SR</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Medzinárodné OPEN MSR, 90 kg tlak na lavičke</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Medzinárodné OPEN MSR, tlak na lavičke</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MSR, biatlon juniori</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MSR, drep - absolútne hodnotenie</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MSR, drep - junior</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1. miesto, MSR, drep - juniorky </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MSR, silový trojboj</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1. miesto, MSR, silový trojboj -  juniorky </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MSR, silový trojboj - absolútne hodnotenie</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MSR, silový trojboj - junior</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1. miesto, VŠ liga vo futbale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83"/>
        </w:trPr>
        <w:tc>
          <w:tcPr>
            <w:tcW w:w="4819"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lastRenderedPageBreak/>
              <w:t>Ocenenia dosiahnuté na národnej úrovni mimo STU</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5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r>
      <w:tr w:rsidR="00373435" w:rsidRPr="00EF2265" w:rsidTr="00373435">
        <w:trPr>
          <w:trHeight w:val="57"/>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eastAsia="Times New Roman" w:hAnsi="Times New Roman"/>
                <w:sz w:val="20"/>
                <w:szCs w:val="20"/>
                <w:lang w:eastAsia="sk-SK"/>
              </w:rPr>
              <w:t>1.</w:t>
            </w:r>
            <w:r w:rsidRPr="00EF2265">
              <w:rPr>
                <w:rFonts w:ascii="Times New Roman" w:hAnsi="Times New Roman"/>
                <w:sz w:val="20"/>
                <w:szCs w:val="20"/>
              </w:rPr>
              <w:t xml:space="preserve"> miesto, VŠ liga vo volejbale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Akademické MSR, atletika 200 m</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Akademické MSR, plávanie 100 m</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Medzinárodné OPEN MSR, tlak na lavičke -  absolútne hodnotenie</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MSR, biatlon juniori</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MSR, frisbee</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Univerziáda SR, silový trojboj</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VŠ liga, volejbal ženy</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VŠ liga, FUTSAL - muži</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VŠ liga, plávanie - 50 m voľný spôsob</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VŠ liga, stolný futbal - dvojice</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Zimná univerziáda SR, karate kumite</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Akademické MSR, plávanie 50 m prsia</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VŠ liga, plávanie - štafeta 4x50 m</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VŠ liga, plávanie - štafeta 800 m</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Akademické MSR, futbal</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Medzinárodné OPEN MSR, tlak na lavičke</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Medzinárodné OPEN MSR, tlak na lavičke</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MS, šprint quadrathlon</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VŠ liga, stolný futbal - tímy</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VŠ liga, volejbal - muži</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819" w:type="dxa"/>
            <w:tcBorders>
              <w:top w:val="nil"/>
              <w:left w:val="single" w:sz="4" w:space="0" w:color="auto"/>
              <w:bottom w:val="single" w:sz="4" w:space="0" w:color="auto"/>
              <w:right w:val="single" w:sz="4" w:space="0" w:color="auto"/>
            </w:tcBorders>
            <w:shd w:val="clear" w:color="auto" w:fill="EEECE1" w:themeFill="background2"/>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567"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59</w:t>
            </w:r>
          </w:p>
        </w:tc>
        <w:tc>
          <w:tcPr>
            <w:tcW w:w="567"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16</w:t>
            </w:r>
          </w:p>
        </w:tc>
        <w:tc>
          <w:tcPr>
            <w:tcW w:w="568"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28</w:t>
            </w:r>
          </w:p>
        </w:tc>
        <w:tc>
          <w:tcPr>
            <w:tcW w:w="709"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31</w:t>
            </w:r>
          </w:p>
        </w:tc>
        <w:tc>
          <w:tcPr>
            <w:tcW w:w="567"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5</w:t>
            </w:r>
          </w:p>
        </w:tc>
        <w:tc>
          <w:tcPr>
            <w:tcW w:w="567"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15</w:t>
            </w:r>
          </w:p>
        </w:tc>
        <w:tc>
          <w:tcPr>
            <w:tcW w:w="567"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9</w:t>
            </w:r>
          </w:p>
        </w:tc>
        <w:tc>
          <w:tcPr>
            <w:tcW w:w="567"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13</w:t>
            </w:r>
          </w:p>
        </w:tc>
      </w:tr>
    </w:tbl>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bookmarkStart w:id="128" w:name="_Ref506811532"/>
      <w:bookmarkStart w:id="129" w:name="_Ref506811522"/>
      <w:bookmarkStart w:id="130" w:name="_Toc534793974"/>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35</w:t>
      </w:r>
      <w:r w:rsidRPr="00EF2265">
        <w:rPr>
          <w:rFonts w:ascii="Times New Roman" w:hAnsi="Times New Roman"/>
          <w:sz w:val="20"/>
          <w:szCs w:val="20"/>
        </w:rPr>
        <w:fldChar w:fldCharType="end"/>
      </w:r>
      <w:bookmarkEnd w:id="128"/>
      <w:r w:rsidRPr="00EF2265">
        <w:rPr>
          <w:rFonts w:ascii="Times New Roman" w:hAnsi="Times New Roman"/>
          <w:sz w:val="20"/>
          <w:szCs w:val="20"/>
        </w:rPr>
        <w:t>: Kvantitatívny prehľad ocenení a cien študentov STU dosiahnutých mimo univerzity na medzinárodnej úrovni</w:t>
      </w:r>
      <w:bookmarkEnd w:id="129"/>
      <w:bookmarkEnd w:id="130"/>
    </w:p>
    <w:tbl>
      <w:tblPr>
        <w:tblW w:w="9498" w:type="dxa"/>
        <w:tblInd w:w="-5" w:type="dxa"/>
        <w:tblLayout w:type="fixed"/>
        <w:tblCellMar>
          <w:left w:w="70" w:type="dxa"/>
          <w:right w:w="70" w:type="dxa"/>
        </w:tblCellMar>
        <w:tblLook w:val="04A0" w:firstRow="1" w:lastRow="0" w:firstColumn="1" w:lastColumn="0" w:noHBand="0" w:noVBand="1"/>
      </w:tblPr>
      <w:tblGrid>
        <w:gridCol w:w="4792"/>
        <w:gridCol w:w="588"/>
        <w:gridCol w:w="588"/>
        <w:gridCol w:w="588"/>
        <w:gridCol w:w="674"/>
        <w:gridCol w:w="567"/>
        <w:gridCol w:w="567"/>
        <w:gridCol w:w="567"/>
        <w:gridCol w:w="567"/>
      </w:tblGrid>
      <w:tr w:rsidR="00373435" w:rsidRPr="00EF2265" w:rsidTr="00373435">
        <w:trPr>
          <w:trHeight w:val="20"/>
        </w:trPr>
        <w:tc>
          <w:tcPr>
            <w:tcW w:w="47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Ocenenia dosiahnuté v zahraničí</w:t>
            </w:r>
          </w:p>
        </w:tc>
        <w:tc>
          <w:tcPr>
            <w:tcW w:w="588"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588"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588"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674"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dekana, medzinárodná ŠVOČ - Zielonogorska univerzita</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Cena prof. Halabalu </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Český ostrovní dům</w:t>
            </w: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Imagine Cup 2018</w:t>
            </w: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Muniss 2017/2018</w:t>
            </w: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Národná cena za študentský dizajn GRAND 2017</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Súťaž ISOVER 2017, medzinárodné kolo</w:t>
            </w: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Súťaž o najlepší urbanistický projekt (ČVUT Praha)</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VELUX 2017</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VELUX 2018</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nil"/>
            </w:tcBorders>
            <w:shd w:val="clear" w:color="auto" w:fill="auto"/>
            <w:noWrap/>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Xella 2017/2018</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noWrap/>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1. miesto, Akademické MS v Malajzii, streľba na trap </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b/>
                <w:bCs/>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ME, silový trojboj - 90 kg tlak na lavičke</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ME, silový trojboj - absolútne hodnotenie - drep</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ME, silový trojboj - absolútne hodnotenie - tlak na lavičke</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ME, silový trojboj -150 kg drep</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1. miesto, súťaž KEYMAKER (MKB) -  v kategórií PhD. </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medzinárodná SVOČ</w:t>
            </w: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2. miesto, súťaž KEYMAKER (MKB) - v kategórií PhD. </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medzinárodná SVOČ</w:t>
            </w: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3. miesto MS v quadrathlone </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noWrap/>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medzinárodná ŠVOČ - Zielonogorska univerzita</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88"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color w:val="FF0000"/>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auto"/>
            <w:noWrap/>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6. miesto, súťaž KEYMAKER (MKB) - v absolútnom poradí</w:t>
            </w: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8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7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792" w:type="dxa"/>
            <w:tcBorders>
              <w:top w:val="nil"/>
              <w:left w:val="single" w:sz="4" w:space="0" w:color="auto"/>
              <w:bottom w:val="single" w:sz="4" w:space="0" w:color="auto"/>
              <w:right w:val="single" w:sz="4" w:space="0" w:color="auto"/>
            </w:tcBorders>
            <w:shd w:val="clear" w:color="auto" w:fill="EEECE1" w:themeFill="background2"/>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lastRenderedPageBreak/>
              <w:t>Spolu</w:t>
            </w:r>
          </w:p>
        </w:tc>
        <w:tc>
          <w:tcPr>
            <w:tcW w:w="588"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w:t>
            </w:r>
          </w:p>
        </w:tc>
        <w:tc>
          <w:tcPr>
            <w:tcW w:w="588"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0</w:t>
            </w:r>
          </w:p>
        </w:tc>
        <w:tc>
          <w:tcPr>
            <w:tcW w:w="588"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7</w:t>
            </w:r>
          </w:p>
        </w:tc>
        <w:tc>
          <w:tcPr>
            <w:tcW w:w="674"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0</w:t>
            </w:r>
          </w:p>
        </w:tc>
        <w:tc>
          <w:tcPr>
            <w:tcW w:w="567"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16</w:t>
            </w:r>
          </w:p>
        </w:tc>
        <w:tc>
          <w:tcPr>
            <w:tcW w:w="567"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w:t>
            </w:r>
          </w:p>
        </w:tc>
        <w:tc>
          <w:tcPr>
            <w:tcW w:w="567"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5</w:t>
            </w:r>
          </w:p>
        </w:tc>
        <w:tc>
          <w:tcPr>
            <w:tcW w:w="567"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0</w:t>
            </w:r>
          </w:p>
        </w:tc>
      </w:tr>
    </w:tbl>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Špecifickou možnosťou reprezentácie univerzity sú národné alebo medzinárodné študentské konferencie, ktoré sú zamerané hlavne na prezentáciu študentskej vedeckej, odbornej a umeleckej činnosti (ŠVOČ). Úspechy študentov STU v tejto oblasti sú tiež zaznamenané v uvedených tabuľkách. </w:t>
      </w:r>
    </w:p>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right" w:pos="-284"/>
          <w:tab w:val="left" w:pos="9356"/>
        </w:tabs>
        <w:spacing w:after="120"/>
        <w:jc w:val="left"/>
        <w:rPr>
          <w:rFonts w:ascii="Times New Roman" w:hAnsi="Times New Roman"/>
          <w:sz w:val="20"/>
          <w:szCs w:val="20"/>
        </w:rPr>
      </w:pPr>
      <w:r w:rsidRPr="00EF2265">
        <w:rPr>
          <w:rFonts w:ascii="Times New Roman" w:hAnsi="Times New Roman"/>
          <w:sz w:val="20"/>
          <w:szCs w:val="20"/>
        </w:rPr>
        <w:t>Jedným z takýchto podujatí je aj</w:t>
      </w:r>
      <w:r w:rsidRPr="00EF2265">
        <w:rPr>
          <w:rFonts w:ascii="Times New Roman" w:hAnsi="Times New Roman"/>
          <w:b/>
          <w:sz w:val="20"/>
          <w:szCs w:val="20"/>
        </w:rPr>
        <w:t xml:space="preserve"> XIX. ročník súťaže SVOČ stavebných fakúlt Českej republiky a Slovenskej republiky</w:t>
      </w:r>
      <w:r w:rsidRPr="00EF2265">
        <w:rPr>
          <w:rFonts w:ascii="Times New Roman" w:hAnsi="Times New Roman"/>
          <w:sz w:val="20"/>
          <w:szCs w:val="20"/>
        </w:rPr>
        <w:t>,</w:t>
      </w:r>
      <w:r w:rsidRPr="00EF2265">
        <w:rPr>
          <w:rFonts w:ascii="Times New Roman" w:hAnsi="Times New Roman"/>
          <w:bCs/>
          <w:sz w:val="20"/>
          <w:szCs w:val="20"/>
        </w:rPr>
        <w:t xml:space="preserve"> ktorá sa uskutočnila 17. mája 2018 na Fakulte stavební VUT Brno za účasti </w:t>
      </w:r>
      <w:r w:rsidRPr="00EF2265">
        <w:rPr>
          <w:rFonts w:ascii="Times New Roman" w:hAnsi="Times New Roman"/>
          <w:sz w:val="20"/>
          <w:szCs w:val="20"/>
        </w:rPr>
        <w:t>študentov stavebných fakúlt ČVUT Praha, VUT Brno, VŠB TU Ostrava, ŽU Žilina, TU Košice a STU Bratislava. Študenti súťažili v  desiatich sekciách. STU prezentovali študenti s 19 prácami, pričom získali po ČVUT Praha najviac umiestnení, celkove 9 (5 x 2. miesto a 4 x 3. miesto). Celkový prehľad umiestení je uvedený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_Ref474778113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36</w:t>
      </w:r>
      <w:r w:rsidRPr="00EF2265">
        <w:rPr>
          <w:rFonts w:ascii="Times New Roman" w:hAnsi="Times New Roman"/>
          <w:sz w:val="20"/>
          <w:szCs w:val="20"/>
        </w:rPr>
        <w:fldChar w:fldCharType="end"/>
      </w:r>
      <w:r w:rsidRPr="00EF2265">
        <w:rPr>
          <w:rFonts w:ascii="Times New Roman" w:hAnsi="Times New Roman"/>
          <w:sz w:val="20"/>
          <w:szCs w:val="20"/>
        </w:rPr>
        <w:t>.</w:t>
      </w:r>
    </w:p>
    <w:p w:rsidR="00373435" w:rsidRPr="00EF2265" w:rsidRDefault="00373435" w:rsidP="00E86605">
      <w:pPr>
        <w:tabs>
          <w:tab w:val="right" w:pos="-284"/>
          <w:tab w:val="left" w:pos="9356"/>
        </w:tabs>
        <w:spacing w:after="120"/>
        <w:jc w:val="left"/>
        <w:rPr>
          <w:rFonts w:ascii="Times New Roman" w:hAnsi="Times New Roman"/>
          <w:sz w:val="20"/>
          <w:szCs w:val="20"/>
        </w:rPr>
      </w:pPr>
    </w:p>
    <w:p w:rsidR="00373435" w:rsidRPr="00EF2265" w:rsidRDefault="00373435" w:rsidP="00E86605">
      <w:pPr>
        <w:tabs>
          <w:tab w:val="right" w:pos="-284"/>
          <w:tab w:val="left" w:pos="9356"/>
        </w:tabs>
        <w:jc w:val="left"/>
        <w:rPr>
          <w:rFonts w:ascii="Times New Roman" w:hAnsi="Times New Roman"/>
          <w:sz w:val="20"/>
          <w:szCs w:val="20"/>
        </w:rPr>
      </w:pPr>
      <w:bookmarkStart w:id="131" w:name="_Ref474778113"/>
      <w:bookmarkStart w:id="132" w:name="_Toc534793975"/>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36</w:t>
      </w:r>
      <w:r w:rsidRPr="00EF2265">
        <w:rPr>
          <w:rFonts w:ascii="Times New Roman" w:hAnsi="Times New Roman"/>
          <w:sz w:val="20"/>
          <w:szCs w:val="20"/>
        </w:rPr>
        <w:fldChar w:fldCharType="end"/>
      </w:r>
      <w:bookmarkEnd w:id="131"/>
      <w:r w:rsidRPr="00EF2265">
        <w:rPr>
          <w:rFonts w:ascii="Times New Roman" w:hAnsi="Times New Roman"/>
          <w:sz w:val="20"/>
          <w:szCs w:val="20"/>
        </w:rPr>
        <w:t>: Výsledky XIX. ročníka súťaže ŠVOČ stavebných fakúlt Českej republiky a Slovenskej republiky</w:t>
      </w:r>
      <w:bookmarkEnd w:id="132"/>
    </w:p>
    <w:tbl>
      <w:tblPr>
        <w:tblW w:w="7155" w:type="dxa"/>
        <w:tblInd w:w="55" w:type="dxa"/>
        <w:tblCellMar>
          <w:left w:w="70" w:type="dxa"/>
          <w:right w:w="70" w:type="dxa"/>
        </w:tblCellMar>
        <w:tblLook w:val="04A0" w:firstRow="1" w:lastRow="0" w:firstColumn="1" w:lastColumn="0" w:noHBand="0" w:noVBand="1"/>
      </w:tblPr>
      <w:tblGrid>
        <w:gridCol w:w="1554"/>
        <w:gridCol w:w="917"/>
        <w:gridCol w:w="911"/>
        <w:gridCol w:w="924"/>
        <w:gridCol w:w="914"/>
        <w:gridCol w:w="917"/>
        <w:gridCol w:w="1018"/>
      </w:tblGrid>
      <w:tr w:rsidR="00373435" w:rsidRPr="00EF2265" w:rsidTr="00373435">
        <w:trPr>
          <w:trHeight w:val="453"/>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Umiestnenie</w:t>
            </w:r>
          </w:p>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prác)</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ČVUT Praha</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VUT Brno</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VŠB TU Ostrava</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ŽU Žilina</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TU Košice</w:t>
            </w:r>
          </w:p>
        </w:tc>
        <w:tc>
          <w:tcPr>
            <w:tcW w:w="962" w:type="dxa"/>
            <w:tcBorders>
              <w:top w:val="single" w:sz="4" w:space="0" w:color="auto"/>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 Bratislava</w:t>
            </w:r>
          </w:p>
        </w:tc>
      </w:tr>
      <w:tr w:rsidR="00373435" w:rsidRPr="00EF2265" w:rsidTr="00373435">
        <w:trPr>
          <w:trHeight w:val="255"/>
        </w:trPr>
        <w:tc>
          <w:tcPr>
            <w:tcW w:w="1568"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w:t>
            </w:r>
          </w:p>
        </w:tc>
        <w:tc>
          <w:tcPr>
            <w:tcW w:w="92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w:t>
            </w:r>
          </w:p>
        </w:tc>
        <w:tc>
          <w:tcPr>
            <w:tcW w:w="92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w:t>
            </w:r>
          </w:p>
        </w:tc>
        <w:tc>
          <w:tcPr>
            <w:tcW w:w="92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92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0</w:t>
            </w:r>
          </w:p>
        </w:tc>
        <w:tc>
          <w:tcPr>
            <w:tcW w:w="92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0</w:t>
            </w:r>
          </w:p>
        </w:tc>
        <w:tc>
          <w:tcPr>
            <w:tcW w:w="962"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0</w:t>
            </w:r>
          </w:p>
        </w:tc>
      </w:tr>
      <w:tr w:rsidR="00373435" w:rsidRPr="00EF2265" w:rsidTr="00373435">
        <w:trPr>
          <w:trHeight w:val="255"/>
        </w:trPr>
        <w:tc>
          <w:tcPr>
            <w:tcW w:w="1568"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w:t>
            </w:r>
          </w:p>
        </w:tc>
        <w:tc>
          <w:tcPr>
            <w:tcW w:w="92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92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92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0</w:t>
            </w:r>
          </w:p>
        </w:tc>
        <w:tc>
          <w:tcPr>
            <w:tcW w:w="92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0</w:t>
            </w:r>
          </w:p>
        </w:tc>
        <w:tc>
          <w:tcPr>
            <w:tcW w:w="92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962"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5</w:t>
            </w:r>
          </w:p>
        </w:tc>
      </w:tr>
      <w:tr w:rsidR="00373435" w:rsidRPr="00EF2265" w:rsidTr="00373435">
        <w:trPr>
          <w:trHeight w:val="255"/>
        </w:trPr>
        <w:tc>
          <w:tcPr>
            <w:tcW w:w="1568" w:type="dxa"/>
            <w:tcBorders>
              <w:top w:val="nil"/>
              <w:left w:val="single" w:sz="4" w:space="0" w:color="auto"/>
              <w:bottom w:val="single" w:sz="4" w:space="0" w:color="auto"/>
              <w:right w:val="single" w:sz="4" w:space="0" w:color="auto"/>
            </w:tcBorders>
            <w:shd w:val="clear" w:color="auto" w:fill="auto"/>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w:t>
            </w:r>
          </w:p>
        </w:tc>
        <w:tc>
          <w:tcPr>
            <w:tcW w:w="92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w:t>
            </w:r>
          </w:p>
        </w:tc>
        <w:tc>
          <w:tcPr>
            <w:tcW w:w="92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928"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0</w:t>
            </w:r>
          </w:p>
        </w:tc>
        <w:tc>
          <w:tcPr>
            <w:tcW w:w="924"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92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0</w:t>
            </w:r>
          </w:p>
        </w:tc>
        <w:tc>
          <w:tcPr>
            <w:tcW w:w="962"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4</w:t>
            </w:r>
          </w:p>
        </w:tc>
      </w:tr>
    </w:tbl>
    <w:p w:rsidR="00373435" w:rsidRPr="00EF2265" w:rsidRDefault="00373435" w:rsidP="00E86605">
      <w:pPr>
        <w:tabs>
          <w:tab w:val="left" w:pos="9356"/>
        </w:tabs>
        <w:jc w:val="left"/>
        <w:rPr>
          <w:rFonts w:ascii="Times New Roman" w:hAnsi="Times New Roman"/>
          <w:sz w:val="20"/>
          <w:szCs w:val="20"/>
          <w:shd w:val="clear" w:color="auto" w:fill="FFFFFF"/>
        </w:rPr>
      </w:pPr>
    </w:p>
    <w:p w:rsidR="00373435" w:rsidRPr="00EF2265" w:rsidRDefault="00373435" w:rsidP="00E86605">
      <w:pPr>
        <w:tabs>
          <w:tab w:val="left" w:pos="9356"/>
        </w:tabs>
        <w:jc w:val="left"/>
        <w:rPr>
          <w:rFonts w:ascii="Times New Roman" w:hAnsi="Times New Roman"/>
          <w:sz w:val="20"/>
          <w:szCs w:val="20"/>
          <w:shd w:val="clear" w:color="auto" w:fill="FFFFFF"/>
        </w:rPr>
      </w:pPr>
    </w:p>
    <w:p w:rsidR="00373435" w:rsidRPr="00EF2265" w:rsidRDefault="00373435" w:rsidP="00E86605">
      <w:pPr>
        <w:pStyle w:val="Nadpis1"/>
        <w:numPr>
          <w:ilvl w:val="1"/>
          <w:numId w:val="8"/>
        </w:numPr>
        <w:tabs>
          <w:tab w:val="left" w:pos="9356"/>
        </w:tabs>
        <w:spacing w:after="80"/>
        <w:rPr>
          <w:rFonts w:ascii="Times New Roman" w:hAnsi="Times New Roman" w:cs="Times New Roman"/>
          <w:color w:val="auto"/>
          <w:sz w:val="20"/>
          <w:szCs w:val="20"/>
        </w:rPr>
      </w:pPr>
      <w:bookmarkStart w:id="133" w:name="_Prehľad_ocenení_študentov"/>
      <w:bookmarkStart w:id="134" w:name="_Toc534722890"/>
      <w:bookmarkEnd w:id="133"/>
      <w:r w:rsidRPr="00EF2265">
        <w:rPr>
          <w:rFonts w:ascii="Times New Roman" w:hAnsi="Times New Roman" w:cs="Times New Roman"/>
          <w:color w:val="auto"/>
          <w:sz w:val="20"/>
          <w:szCs w:val="20"/>
        </w:rPr>
        <w:t>Prehľad ocenení študentov v rámci STU</w:t>
      </w:r>
      <w:bookmarkEnd w:id="134"/>
    </w:p>
    <w:p w:rsidR="00373435" w:rsidRPr="00EF2265" w:rsidRDefault="00373435" w:rsidP="00E86605">
      <w:pPr>
        <w:tabs>
          <w:tab w:val="left" w:pos="9356"/>
        </w:tabs>
        <w:jc w:val="left"/>
        <w:rPr>
          <w:rFonts w:ascii="Times New Roman" w:hAnsi="Times New Roman"/>
          <w:sz w:val="20"/>
          <w:szCs w:val="20"/>
          <w:shd w:val="clear" w:color="auto" w:fill="FFFFFF"/>
        </w:rPr>
      </w:pPr>
      <w:r w:rsidRPr="00EF2265">
        <w:rPr>
          <w:rFonts w:ascii="Times New Roman" w:hAnsi="Times New Roman"/>
          <w:sz w:val="20"/>
          <w:szCs w:val="20"/>
          <w:shd w:val="clear" w:color="auto" w:fill="FFFFFF"/>
        </w:rPr>
        <w:t xml:space="preserve">Ocenenia študentov v rámci STU sú spravidla spojené s priznaním štipendia v súlade so Štipendijným poriadkom STU v platnom znení. Počet študentov vrátane ocenených kolektívov, ktorí získali niektoré z ocenení, v rámci toho aj ocenení rektora, resp. dekana v akademickom roku 2017/2018 predstavoval </w:t>
      </w:r>
      <w:r w:rsidRPr="00EF2265">
        <w:rPr>
          <w:rFonts w:ascii="Times New Roman" w:hAnsi="Times New Roman"/>
          <w:b/>
          <w:sz w:val="20"/>
          <w:szCs w:val="20"/>
          <w:shd w:val="clear" w:color="auto" w:fill="FFFFFF"/>
        </w:rPr>
        <w:t xml:space="preserve">487. </w:t>
      </w:r>
      <w:r w:rsidRPr="00EF2265">
        <w:rPr>
          <w:rFonts w:ascii="Times New Roman" w:hAnsi="Times New Roman"/>
          <w:sz w:val="20"/>
          <w:szCs w:val="20"/>
          <w:shd w:val="clear" w:color="auto" w:fill="FFFFFF"/>
        </w:rPr>
        <w:t>Prehľad udelených ocenení je uvedený v </w:t>
      </w:r>
      <w:r w:rsidRPr="00EF2265">
        <w:rPr>
          <w:rFonts w:ascii="Times New Roman" w:hAnsi="Times New Roman"/>
          <w:sz w:val="20"/>
          <w:szCs w:val="20"/>
          <w:shd w:val="clear" w:color="auto" w:fill="FFFFFF"/>
        </w:rPr>
        <w:fldChar w:fldCharType="begin"/>
      </w:r>
      <w:r w:rsidRPr="00EF2265">
        <w:rPr>
          <w:rFonts w:ascii="Times New Roman" w:hAnsi="Times New Roman"/>
          <w:sz w:val="20"/>
          <w:szCs w:val="20"/>
          <w:shd w:val="clear" w:color="auto" w:fill="FFFFFF"/>
        </w:rPr>
        <w:instrText xml:space="preserve"> REF _Ref474778125 \h  \* MERGEFORMAT </w:instrText>
      </w:r>
      <w:r w:rsidRPr="00EF2265">
        <w:rPr>
          <w:rFonts w:ascii="Times New Roman" w:hAnsi="Times New Roman"/>
          <w:sz w:val="20"/>
          <w:szCs w:val="20"/>
          <w:shd w:val="clear" w:color="auto" w:fill="FFFFFF"/>
        </w:rPr>
      </w:r>
      <w:r w:rsidRPr="00EF2265">
        <w:rPr>
          <w:rFonts w:ascii="Times New Roman" w:hAnsi="Times New Roman"/>
          <w:sz w:val="20"/>
          <w:szCs w:val="20"/>
          <w:shd w:val="clear" w:color="auto" w:fill="FFFFFF"/>
        </w:rPr>
        <w:fldChar w:fldCharType="separate"/>
      </w:r>
      <w:r w:rsidR="001C349F" w:rsidRPr="00EF2265">
        <w:rPr>
          <w:rFonts w:ascii="Times New Roman" w:hAnsi="Times New Roman"/>
          <w:sz w:val="20"/>
          <w:szCs w:val="20"/>
          <w:shd w:val="clear" w:color="auto" w:fill="FFFFFF"/>
        </w:rPr>
        <w:t xml:space="preserve">Tab. č. </w:t>
      </w:r>
      <w:r w:rsidR="001C349F">
        <w:rPr>
          <w:rFonts w:ascii="Times New Roman" w:hAnsi="Times New Roman"/>
          <w:sz w:val="20"/>
          <w:szCs w:val="20"/>
        </w:rPr>
        <w:t>37</w:t>
      </w:r>
      <w:r w:rsidRPr="00EF2265">
        <w:rPr>
          <w:rFonts w:ascii="Times New Roman" w:hAnsi="Times New Roman"/>
          <w:sz w:val="20"/>
          <w:szCs w:val="20"/>
          <w:shd w:val="clear" w:color="auto" w:fill="FFFFFF"/>
        </w:rPr>
        <w:fldChar w:fldCharType="end"/>
      </w:r>
      <w:r w:rsidRPr="00EF2265">
        <w:rPr>
          <w:rFonts w:ascii="Times New Roman" w:hAnsi="Times New Roman"/>
          <w:sz w:val="20"/>
          <w:szCs w:val="20"/>
          <w:shd w:val="clear" w:color="auto" w:fill="FFFFFF"/>
        </w:rPr>
        <w:t>.</w:t>
      </w:r>
    </w:p>
    <w:p w:rsidR="00373435" w:rsidRPr="00EF2265" w:rsidRDefault="00373435" w:rsidP="00E86605">
      <w:pPr>
        <w:tabs>
          <w:tab w:val="left" w:pos="9356"/>
        </w:tabs>
        <w:jc w:val="left"/>
        <w:rPr>
          <w:rFonts w:ascii="Times New Roman" w:hAnsi="Times New Roman"/>
          <w:sz w:val="20"/>
          <w:szCs w:val="20"/>
          <w:shd w:val="clear" w:color="auto" w:fill="FFFFFF"/>
        </w:rPr>
      </w:pPr>
    </w:p>
    <w:p w:rsidR="00373435" w:rsidRPr="00EF2265" w:rsidRDefault="00373435" w:rsidP="00E86605">
      <w:pPr>
        <w:tabs>
          <w:tab w:val="left" w:pos="9356"/>
        </w:tabs>
        <w:jc w:val="left"/>
        <w:rPr>
          <w:rFonts w:ascii="Times New Roman" w:hAnsi="Times New Roman"/>
          <w:sz w:val="20"/>
          <w:szCs w:val="20"/>
          <w:shd w:val="clear" w:color="auto" w:fill="FFFFFF"/>
        </w:rPr>
      </w:pPr>
      <w:bookmarkStart w:id="135" w:name="_Ref474778125"/>
      <w:bookmarkStart w:id="136" w:name="_Toc534793976"/>
      <w:r w:rsidRPr="00EF2265">
        <w:rPr>
          <w:rFonts w:ascii="Times New Roman" w:hAnsi="Times New Roman"/>
          <w:sz w:val="20"/>
          <w:szCs w:val="20"/>
          <w:shd w:val="clear" w:color="auto" w:fill="FFFFFF"/>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37</w:t>
      </w:r>
      <w:r w:rsidRPr="00EF2265">
        <w:rPr>
          <w:rFonts w:ascii="Times New Roman" w:hAnsi="Times New Roman"/>
          <w:sz w:val="20"/>
          <w:szCs w:val="20"/>
        </w:rPr>
        <w:fldChar w:fldCharType="end"/>
      </w:r>
      <w:bookmarkEnd w:id="135"/>
      <w:r w:rsidRPr="00EF2265">
        <w:rPr>
          <w:rFonts w:ascii="Times New Roman" w:hAnsi="Times New Roman"/>
          <w:sz w:val="20"/>
          <w:szCs w:val="20"/>
          <w:shd w:val="clear" w:color="auto" w:fill="FFFFFF"/>
        </w:rPr>
        <w:t>: Ocenenia študentov STU dosiahnuté v rámci univerzity</w:t>
      </w:r>
      <w:bookmarkEnd w:id="136"/>
    </w:p>
    <w:tbl>
      <w:tblPr>
        <w:tblW w:w="9498" w:type="dxa"/>
        <w:tblInd w:w="-5" w:type="dxa"/>
        <w:tblLayout w:type="fixed"/>
        <w:tblCellMar>
          <w:left w:w="70" w:type="dxa"/>
          <w:right w:w="70" w:type="dxa"/>
        </w:tblCellMar>
        <w:tblLook w:val="04A0" w:firstRow="1" w:lastRow="0" w:firstColumn="1" w:lastColumn="0" w:noHBand="0" w:noVBand="1"/>
      </w:tblPr>
      <w:tblGrid>
        <w:gridCol w:w="1418"/>
        <w:gridCol w:w="3260"/>
        <w:gridCol w:w="602"/>
        <w:gridCol w:w="603"/>
        <w:gridCol w:w="602"/>
        <w:gridCol w:w="745"/>
        <w:gridCol w:w="567"/>
        <w:gridCol w:w="567"/>
        <w:gridCol w:w="567"/>
        <w:gridCol w:w="567"/>
      </w:tblGrid>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Ocenenia </w:t>
            </w:r>
          </w:p>
        </w:tc>
        <w:tc>
          <w:tcPr>
            <w:tcW w:w="602" w:type="dxa"/>
            <w:tcBorders>
              <w:top w:val="single" w:sz="4" w:space="0" w:color="auto"/>
              <w:left w:val="nil"/>
              <w:bottom w:val="nil"/>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603" w:type="dxa"/>
            <w:tcBorders>
              <w:top w:val="single" w:sz="4" w:space="0" w:color="auto"/>
              <w:left w:val="nil"/>
              <w:bottom w:val="nil"/>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602" w:type="dxa"/>
            <w:tcBorders>
              <w:top w:val="single" w:sz="4" w:space="0" w:color="auto"/>
              <w:left w:val="nil"/>
              <w:bottom w:val="nil"/>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745" w:type="dxa"/>
            <w:tcBorders>
              <w:top w:val="single" w:sz="4" w:space="0" w:color="auto"/>
              <w:left w:val="nil"/>
              <w:bottom w:val="nil"/>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567" w:type="dxa"/>
            <w:tcBorders>
              <w:top w:val="single" w:sz="4" w:space="0" w:color="auto"/>
              <w:left w:val="nil"/>
              <w:bottom w:val="nil"/>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567" w:type="dxa"/>
            <w:tcBorders>
              <w:top w:val="single" w:sz="4" w:space="0" w:color="auto"/>
              <w:left w:val="nil"/>
              <w:bottom w:val="nil"/>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567" w:type="dxa"/>
            <w:tcBorders>
              <w:top w:val="single" w:sz="4" w:space="0" w:color="auto"/>
              <w:left w:val="nil"/>
              <w:bottom w:val="nil"/>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567" w:type="dxa"/>
            <w:tcBorders>
              <w:top w:val="single" w:sz="4" w:space="0" w:color="auto"/>
              <w:left w:val="nil"/>
              <w:bottom w:val="nil"/>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r>
      <w:tr w:rsidR="00373435" w:rsidRPr="00EF2265" w:rsidTr="00373435">
        <w:trPr>
          <w:trHeight w:val="20"/>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Ocenenie </w:t>
            </w:r>
          </w:p>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rektora STU</w:t>
            </w:r>
          </w:p>
        </w:tc>
        <w:tc>
          <w:tcPr>
            <w:tcW w:w="3260"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stupeň</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603"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1418"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3260"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stupeň</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6</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9</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6</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r>
      <w:tr w:rsidR="00373435" w:rsidRPr="00EF2265" w:rsidTr="00373435">
        <w:trPr>
          <w:trHeight w:val="20"/>
        </w:trPr>
        <w:tc>
          <w:tcPr>
            <w:tcW w:w="1418"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3260"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 stupeň</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r>
      <w:tr w:rsidR="00373435" w:rsidRPr="00EF2265" w:rsidTr="00373435">
        <w:trPr>
          <w:trHeight w:val="20"/>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Ocenenie rektora</w:t>
            </w:r>
          </w:p>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Študent roka</w:t>
            </w:r>
          </w:p>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2018</w:t>
            </w:r>
          </w:p>
        </w:tc>
        <w:tc>
          <w:tcPr>
            <w:tcW w:w="3260" w:type="dxa"/>
            <w:tcBorders>
              <w:top w:val="nil"/>
              <w:left w:val="nil"/>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najlepší študent I. stupňa štúdia</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r>
      <w:tr w:rsidR="00373435" w:rsidRPr="00EF2265" w:rsidTr="00373435">
        <w:trPr>
          <w:trHeight w:val="20"/>
        </w:trPr>
        <w:tc>
          <w:tcPr>
            <w:tcW w:w="1418"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najlepší študent II. stupňa štúdia</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r>
      <w:tr w:rsidR="00373435" w:rsidRPr="00EF2265" w:rsidTr="00373435">
        <w:trPr>
          <w:trHeight w:val="20"/>
        </w:trPr>
        <w:tc>
          <w:tcPr>
            <w:tcW w:w="1418"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najlepší študent III. stupňa štúdia</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r>
      <w:tr w:rsidR="00373435" w:rsidRPr="00EF2265" w:rsidTr="00373435">
        <w:trPr>
          <w:trHeight w:val="20"/>
        </w:trPr>
        <w:tc>
          <w:tcPr>
            <w:tcW w:w="1418"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3260" w:type="dxa"/>
            <w:tcBorders>
              <w:top w:val="nil"/>
              <w:left w:val="nil"/>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najlepšie absolvovaná akademická mobilita na STU</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1418"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mimoriadny výsledok v oblasti výskumu alebo vývoja</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w:t>
            </w:r>
          </w:p>
        </w:tc>
        <w:tc>
          <w:tcPr>
            <w:tcW w:w="745"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r>
      <w:tr w:rsidR="00373435" w:rsidRPr="00EF2265" w:rsidTr="00373435">
        <w:trPr>
          <w:trHeight w:val="20"/>
        </w:trPr>
        <w:tc>
          <w:tcPr>
            <w:tcW w:w="1418"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významný reprezentant STU v športe</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1418"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významný reprezentant STU v umení</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c>
          <w:tcPr>
            <w:tcW w:w="60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745"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1418"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mimoriadna činnosť konaná v prospech STU</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1418"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3260" w:type="dxa"/>
            <w:tcBorders>
              <w:top w:val="nil"/>
              <w:left w:val="nil"/>
              <w:bottom w:val="single" w:sz="4" w:space="0" w:color="auto"/>
              <w:right w:val="single" w:sz="4" w:space="0" w:color="auto"/>
            </w:tcBorders>
            <w:shd w:val="clear" w:color="auto" w:fill="auto"/>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humánny čin roka</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dekana za I. stupeň štúdia</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14</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60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12</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14</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9</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dekana za II. stupeň štúdia</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21</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9</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13</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30</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Cena dekana za III. stupeň štúdia</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Ďalšie ocenenia dekanov fakúlt za štúdium, záverečné práce (pochvalné listy, pochvalné uznania a diplomy dekana a pod.)</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54</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40</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23</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6</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35</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Majstrovstvá STU, futbal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Majstrovstvá STU, plávanie</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Majstrovstvá STU, plávanie - štafeta</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Majstrovstvá STU, stolný tenis</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Majstrovstvá STU, streetbal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Majstrovstvá STU, volejbal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lastRenderedPageBreak/>
              <w:t xml:space="preserve">1. miesto, Turnaj o pohár rektora STU, basketbal </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 miesto, Turnaj o pohár rektora STU, florbal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Majstrovstvá STU, florbal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Majstrovstvá STU, futsal- muži</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Majstrovstvá STU, stolný tenis</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Majstrovstvá STU, streetbal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 miesto, Majstrovstvá STU, volejbal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2. miesto, Turnaj o pohár rektora STU, basketbal </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2. miesto, Turnaj o pohár rektora STU, plávanie </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Majstrovstvá STU, basketbal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Majstrovstvá STU, stolný tenis</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Majstrovstvá STU, streetbal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Turnaj o pohár rektora, futbal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Turnaj o pohár rektora, plávanie</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Turnaj o pohár rektora, volejbal</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 miesto, Zimná univerziáda</w:t>
            </w: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602"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745"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c>
          <w:tcPr>
            <w:tcW w:w="567"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jc w:val="left"/>
              <w:rPr>
                <w:rFonts w:ascii="Times New Roman" w:eastAsia="Times New Roman" w:hAnsi="Times New Roman"/>
                <w:sz w:val="20"/>
                <w:szCs w:val="20"/>
                <w:lang w:eastAsia="sk-SK"/>
              </w:rPr>
            </w:pPr>
          </w:p>
        </w:tc>
      </w:tr>
      <w:tr w:rsidR="00373435" w:rsidRPr="00EF2265" w:rsidTr="00373435">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602"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121</w:t>
            </w:r>
          </w:p>
        </w:tc>
        <w:tc>
          <w:tcPr>
            <w:tcW w:w="603"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38</w:t>
            </w:r>
          </w:p>
        </w:tc>
        <w:tc>
          <w:tcPr>
            <w:tcW w:w="602"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103</w:t>
            </w:r>
          </w:p>
        </w:tc>
        <w:tc>
          <w:tcPr>
            <w:tcW w:w="745"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97</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13</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55</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49</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11</w:t>
            </w:r>
          </w:p>
        </w:tc>
      </w:tr>
    </w:tbl>
    <w:p w:rsidR="00373435" w:rsidRPr="00EF2265" w:rsidRDefault="00373435" w:rsidP="00E86605">
      <w:pPr>
        <w:tabs>
          <w:tab w:val="left" w:pos="9356"/>
        </w:tabs>
        <w:jc w:val="left"/>
        <w:rPr>
          <w:rFonts w:ascii="Times New Roman" w:hAnsi="Times New Roman"/>
          <w:sz w:val="20"/>
          <w:szCs w:val="20"/>
          <w:shd w:val="clear" w:color="auto" w:fill="FFFFFF"/>
        </w:rPr>
      </w:pPr>
    </w:p>
    <w:p w:rsidR="00373435" w:rsidRPr="00EF2265" w:rsidRDefault="00373435" w:rsidP="00E86605">
      <w:pPr>
        <w:pStyle w:val="Nadpis2"/>
        <w:numPr>
          <w:ilvl w:val="1"/>
          <w:numId w:val="8"/>
        </w:numPr>
        <w:tabs>
          <w:tab w:val="left" w:pos="9356"/>
        </w:tabs>
        <w:ind w:left="0" w:firstLine="0"/>
        <w:rPr>
          <w:rFonts w:ascii="Times New Roman" w:hAnsi="Times New Roman" w:cs="Times New Roman"/>
          <w:color w:val="auto"/>
          <w:sz w:val="20"/>
          <w:szCs w:val="20"/>
          <w:shd w:val="clear" w:color="auto" w:fill="FFFFFF"/>
        </w:rPr>
      </w:pPr>
      <w:bookmarkStart w:id="137" w:name="_Toc534722891"/>
      <w:r w:rsidRPr="00EF2265">
        <w:rPr>
          <w:rFonts w:ascii="Times New Roman" w:hAnsi="Times New Roman" w:cs="Times New Roman"/>
          <w:color w:val="auto"/>
          <w:sz w:val="20"/>
          <w:szCs w:val="20"/>
          <w:shd w:val="clear" w:color="auto" w:fill="FFFFFF"/>
        </w:rPr>
        <w:t xml:space="preserve">Študentská vedecká odborná činnosť na </w:t>
      </w:r>
      <w:r w:rsidRPr="00EF2265">
        <w:rPr>
          <w:rFonts w:ascii="Times New Roman" w:hAnsi="Times New Roman" w:cs="Times New Roman"/>
          <w:color w:val="auto"/>
          <w:sz w:val="20"/>
          <w:szCs w:val="20"/>
        </w:rPr>
        <w:t>STU</w:t>
      </w:r>
      <w:bookmarkEnd w:id="137"/>
    </w:p>
    <w:p w:rsidR="00373435" w:rsidRPr="00EF2265" w:rsidRDefault="00373435"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shd w:val="clear" w:color="auto" w:fill="FFFFFF"/>
        </w:rPr>
        <w:t xml:space="preserve">Dôležitou oblasťou komplexného vysokoškolského vzdelávania je rozvoj vedeckej a umeleckej činnosti študentov v študijných odboroch, v ktorých sa uskutočňuje vysokoškolské štúdium. Na túto oblasť je špecificky zameraná </w:t>
      </w:r>
      <w:r w:rsidRPr="00EF2265">
        <w:rPr>
          <w:rFonts w:ascii="Times New Roman" w:hAnsi="Times New Roman"/>
          <w:sz w:val="20"/>
          <w:szCs w:val="20"/>
        </w:rPr>
        <w:t>Študentská vedecká odborná činnosť, resp. Študentská tvorivá vedecká odborná a umelecká činnosť (ďalej tiež „ŠVOČ“), ktorá má na STU dlhoročnú tradíciu. Zúčastňujú sa jej hlavne študenti v 2. a 3. roku štúdia na prvom stupni a v 1. a 2. roku štúdia na druhom stupni. ŠVOČ sa každý rok završuje konferenciou (Študentská vedecká konferencia – ŠVK), na ktorej študenti prezentujú výsledky svojej vedeckej odbornej činnosti. ŠVK prebieha vo forme jednodňovej konferencie v odborných sekciách, kde študenti majú možnosť prezentovať svoje práce prostredníctvom posterov alebo odbornej power-pointovej prezentácie. Niektoré fakulty vydávajú pri príležitosti ŠVK zborník prác študentov.</w:t>
      </w:r>
    </w:p>
    <w:p w:rsidR="00373435" w:rsidRPr="00EF2265" w:rsidRDefault="00373435" w:rsidP="00E86605">
      <w:pPr>
        <w:tabs>
          <w:tab w:val="left" w:pos="9356"/>
        </w:tabs>
        <w:autoSpaceDE w:val="0"/>
        <w:autoSpaceDN w:val="0"/>
        <w:adjustRightInd w:val="0"/>
        <w:spacing w:after="120"/>
        <w:jc w:val="left"/>
        <w:rPr>
          <w:rFonts w:ascii="Times New Roman" w:hAnsi="Times New Roman"/>
          <w:sz w:val="20"/>
          <w:szCs w:val="20"/>
        </w:rPr>
      </w:pPr>
      <w:r w:rsidRPr="00EF2265">
        <w:rPr>
          <w:rFonts w:ascii="Times New Roman" w:hAnsi="Times New Roman"/>
          <w:sz w:val="20"/>
          <w:szCs w:val="20"/>
        </w:rPr>
        <w:t xml:space="preserve">V každej odbornej sekcii sú odbornou komisiou vyhodnocované najlepšie práce, ktoré sú slávnostne vyhlásené na záver ŠVK. Študenti víťazných prác sú okrem diplomov ocenení aj motivačným štipendiom alebo mimoriadnym štipendiom z vlastných zdrojov STU. Niektoré fakulty využívajú pri organizovaní ŠVK a oceňovaní najlepších prác podporu sponzorov – vo väčšine prípadov významných firiem z danej odbornej oblasti (Slovenská spoločnosť pre kybernetiku a informatiku, Oracle, Slovenská elektrizačná prenosová sústava, Slovnaft, Slovenský plynárenský priemysel, Slovenská zváračská spoločnosť, STRABAG, Zväz slovenských vedecko technických spoločností a ďalšie). Najlepšie práce ŠVK sú nominované na Cenu literárneho fondu, celkovo bolo v hodnotenom období ocenených Cenu literárneho fondu 18 prác (SvF 9, SjF 3, FEI 2 a MTF 4). </w:t>
      </w:r>
    </w:p>
    <w:p w:rsidR="00373435" w:rsidRPr="00EF2265" w:rsidRDefault="00373435" w:rsidP="00E86605">
      <w:pPr>
        <w:tabs>
          <w:tab w:val="left" w:pos="9356"/>
        </w:tabs>
        <w:autoSpaceDE w:val="0"/>
        <w:autoSpaceDN w:val="0"/>
        <w:adjustRightInd w:val="0"/>
        <w:spacing w:after="120"/>
        <w:jc w:val="left"/>
        <w:rPr>
          <w:rFonts w:ascii="Times New Roman" w:hAnsi="Times New Roman"/>
          <w:sz w:val="20"/>
          <w:szCs w:val="20"/>
        </w:rPr>
      </w:pPr>
      <w:r w:rsidRPr="00EF2265">
        <w:rPr>
          <w:rFonts w:ascii="Times New Roman" w:hAnsi="Times New Roman"/>
          <w:sz w:val="20"/>
          <w:szCs w:val="20"/>
        </w:rPr>
        <w:t xml:space="preserve">V akademickom roku 2017/2018 sa umiestnili práce študentov aj na najvyšších miestach v celoštátnych a medzinárodných súťažiach ŠVOČ alebo ŠVK, ako je podrobne uvedené v predchádzajúcich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_Ref474778061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noProof/>
          <w:sz w:val="20"/>
          <w:szCs w:val="20"/>
        </w:rPr>
        <w:t>34</w:t>
      </w:r>
      <w:r w:rsidRPr="00EF2265">
        <w:rPr>
          <w:rFonts w:ascii="Times New Roman" w:hAnsi="Times New Roman"/>
          <w:sz w:val="20"/>
          <w:szCs w:val="20"/>
        </w:rPr>
        <w:fldChar w:fldCharType="end"/>
      </w:r>
      <w:r w:rsidRPr="00EF2265">
        <w:rPr>
          <w:rFonts w:ascii="Times New Roman" w:hAnsi="Times New Roman"/>
          <w:sz w:val="20"/>
          <w:szCs w:val="20"/>
        </w:rPr>
        <w:t xml:space="preserve">,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_Ref506811532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35</w:t>
      </w:r>
      <w:r w:rsidRPr="00EF2265">
        <w:rPr>
          <w:rFonts w:ascii="Times New Roman" w:hAnsi="Times New Roman"/>
          <w:sz w:val="20"/>
          <w:szCs w:val="20"/>
        </w:rPr>
        <w:fldChar w:fldCharType="end"/>
      </w:r>
      <w:r w:rsidRPr="00EF2265">
        <w:rPr>
          <w:rFonts w:ascii="Times New Roman" w:hAnsi="Times New Roman"/>
          <w:sz w:val="20"/>
          <w:szCs w:val="20"/>
        </w:rPr>
        <w:t xml:space="preserve"> 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_Ref474778113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36</w:t>
      </w:r>
      <w:r w:rsidRPr="00EF2265">
        <w:rPr>
          <w:rFonts w:ascii="Times New Roman" w:hAnsi="Times New Roman"/>
          <w:sz w:val="20"/>
          <w:szCs w:val="20"/>
        </w:rPr>
        <w:fldChar w:fldCharType="end"/>
      </w:r>
      <w:r w:rsidRPr="00EF2265">
        <w:rPr>
          <w:rFonts w:ascii="Times New Roman" w:hAnsi="Times New Roman"/>
          <w:sz w:val="20"/>
          <w:szCs w:val="20"/>
        </w:rPr>
        <w:t xml:space="preserve">. Z hodnotení študentov STU na uvedených súťažiach je možné konštatovať, že vysoká kvalita ŠVOČ sa stala trvalým javom na STU. </w:t>
      </w:r>
    </w:p>
    <w:p w:rsidR="00373435" w:rsidRPr="00EF2265" w:rsidRDefault="00373435" w:rsidP="00E86605">
      <w:pPr>
        <w:tabs>
          <w:tab w:val="left" w:pos="9356"/>
        </w:tabs>
        <w:autoSpaceDE w:val="0"/>
        <w:autoSpaceDN w:val="0"/>
        <w:adjustRightInd w:val="0"/>
        <w:spacing w:after="120"/>
        <w:jc w:val="left"/>
        <w:rPr>
          <w:rFonts w:ascii="Times New Roman" w:hAnsi="Times New Roman"/>
          <w:sz w:val="20"/>
          <w:szCs w:val="20"/>
        </w:rPr>
      </w:pPr>
      <w:r w:rsidRPr="00EF2265">
        <w:rPr>
          <w:rFonts w:ascii="Times New Roman" w:hAnsi="Times New Roman"/>
          <w:sz w:val="20"/>
          <w:szCs w:val="20"/>
        </w:rPr>
        <w:t xml:space="preserve">Niektoré fakulty organizujú okrem ŠVK ako podporu vedeckej práce študentov tretieho stupňa štúdia aj </w:t>
      </w:r>
      <w:r w:rsidRPr="00EF2265">
        <w:rPr>
          <w:rFonts w:ascii="Times New Roman" w:hAnsi="Times New Roman"/>
          <w:b/>
          <w:sz w:val="20"/>
          <w:szCs w:val="20"/>
        </w:rPr>
        <w:t>medzinárodné doktorandské semináre a konferencie</w:t>
      </w:r>
      <w:r w:rsidRPr="00EF2265">
        <w:rPr>
          <w:rFonts w:ascii="Times New Roman" w:hAnsi="Times New Roman"/>
          <w:sz w:val="20"/>
          <w:szCs w:val="20"/>
        </w:rPr>
        <w:t xml:space="preserve">. </w:t>
      </w:r>
    </w:p>
    <w:p w:rsidR="00373435" w:rsidRPr="00EF2265" w:rsidRDefault="00373435" w:rsidP="00E86605">
      <w:pPr>
        <w:tabs>
          <w:tab w:val="left" w:pos="9356"/>
        </w:tabs>
        <w:jc w:val="left"/>
        <w:rPr>
          <w:rFonts w:ascii="Times New Roman" w:hAnsi="Times New Roman"/>
          <w:sz w:val="20"/>
          <w:szCs w:val="20"/>
        </w:rPr>
      </w:pPr>
      <w:r w:rsidRPr="00EF2265">
        <w:rPr>
          <w:rFonts w:ascii="Times New Roman" w:hAnsi="Times New Roman"/>
          <w:sz w:val="20"/>
          <w:szCs w:val="20"/>
        </w:rPr>
        <w:t>Kvantitatívny prehľad ŠVOČ v akademickom roku 2017/2018 v porovnaní s predchádzajúcimi akademickými rokmi je uvedený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_Ref474778251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38</w:t>
      </w:r>
      <w:r w:rsidRPr="00EF2265">
        <w:rPr>
          <w:rFonts w:ascii="Times New Roman" w:hAnsi="Times New Roman"/>
          <w:sz w:val="20"/>
          <w:szCs w:val="20"/>
        </w:rPr>
        <w:fldChar w:fldCharType="end"/>
      </w:r>
      <w:r w:rsidRPr="00EF2265">
        <w:rPr>
          <w:rFonts w:ascii="Times New Roman" w:hAnsi="Times New Roman"/>
          <w:sz w:val="20"/>
          <w:szCs w:val="20"/>
        </w:rPr>
        <w:t xml:space="preserve"> a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_Ref474780366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1C349F">
        <w:rPr>
          <w:rFonts w:ascii="Times New Roman" w:hAnsi="Times New Roman"/>
          <w:sz w:val="20"/>
          <w:szCs w:val="20"/>
          <w:shd w:val="clear" w:color="auto" w:fill="FFFFFF"/>
        </w:rPr>
        <w:t>Graf č.</w:t>
      </w:r>
      <w:r w:rsidR="001C349F" w:rsidRPr="00EF2265">
        <w:rPr>
          <w:rFonts w:ascii="Times New Roman" w:hAnsi="Times New Roman"/>
          <w:sz w:val="20"/>
          <w:szCs w:val="20"/>
        </w:rPr>
        <w:t xml:space="preserve"> </w:t>
      </w:r>
      <w:r w:rsidR="001C349F">
        <w:rPr>
          <w:rFonts w:ascii="Times New Roman" w:hAnsi="Times New Roman"/>
          <w:sz w:val="20"/>
          <w:szCs w:val="20"/>
        </w:rPr>
        <w:t>18</w:t>
      </w:r>
      <w:r w:rsidR="001C349F" w:rsidRPr="00EF2265">
        <w:rPr>
          <w:rFonts w:ascii="Times New Roman" w:hAnsi="Times New Roman"/>
          <w:sz w:val="20"/>
          <w:szCs w:val="20"/>
        </w:rPr>
        <w:t>: Kvantitatívny prehľad ŠVOČ na STU za posledných sedem akademických rokov</w:t>
      </w:r>
      <w:r w:rsidRPr="00EF2265">
        <w:rPr>
          <w:rFonts w:ascii="Times New Roman" w:hAnsi="Times New Roman"/>
          <w:sz w:val="20"/>
          <w:szCs w:val="20"/>
        </w:rPr>
        <w:fldChar w:fldCharType="end"/>
      </w:r>
      <w:r w:rsidRPr="00EF2265">
        <w:rPr>
          <w:rFonts w:ascii="Times New Roman" w:hAnsi="Times New Roman"/>
          <w:sz w:val="20"/>
          <w:szCs w:val="20"/>
        </w:rPr>
        <w:t>.</w:t>
      </w:r>
    </w:p>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bookmarkStart w:id="138" w:name="_Ref474778251"/>
      <w:bookmarkStart w:id="139" w:name="_Toc534793977"/>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38</w:t>
      </w:r>
      <w:r w:rsidRPr="00EF2265">
        <w:rPr>
          <w:rFonts w:ascii="Times New Roman" w:hAnsi="Times New Roman"/>
          <w:sz w:val="20"/>
          <w:szCs w:val="20"/>
        </w:rPr>
        <w:fldChar w:fldCharType="end"/>
      </w:r>
      <w:bookmarkEnd w:id="138"/>
      <w:r w:rsidRPr="00EF2265">
        <w:rPr>
          <w:rFonts w:ascii="Times New Roman" w:hAnsi="Times New Roman"/>
          <w:sz w:val="20"/>
          <w:szCs w:val="20"/>
        </w:rPr>
        <w:t>: Kvantitatívny prehľad ŠVOČ na STU v rokoch 2015/2016 až 2017/2018</w:t>
      </w:r>
      <w:bookmarkEnd w:id="139"/>
    </w:p>
    <w:tbl>
      <w:tblPr>
        <w:tblW w:w="9438" w:type="dxa"/>
        <w:tblInd w:w="55" w:type="dxa"/>
        <w:tblLayout w:type="fixed"/>
        <w:tblCellMar>
          <w:left w:w="70" w:type="dxa"/>
          <w:right w:w="70" w:type="dxa"/>
        </w:tblCellMar>
        <w:tblLook w:val="04A0" w:firstRow="1" w:lastRow="0" w:firstColumn="1" w:lastColumn="0" w:noHBand="0" w:noVBand="1"/>
      </w:tblPr>
      <w:tblGrid>
        <w:gridCol w:w="866"/>
        <w:gridCol w:w="952"/>
        <w:gridCol w:w="952"/>
        <w:gridCol w:w="953"/>
        <w:gridCol w:w="952"/>
        <w:gridCol w:w="953"/>
        <w:gridCol w:w="952"/>
        <w:gridCol w:w="953"/>
        <w:gridCol w:w="952"/>
        <w:gridCol w:w="953"/>
      </w:tblGrid>
      <w:tr w:rsidR="00373435" w:rsidRPr="00EF2265" w:rsidTr="00373435">
        <w:trPr>
          <w:trHeight w:val="20"/>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285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2015/2016</w:t>
            </w:r>
          </w:p>
        </w:tc>
        <w:tc>
          <w:tcPr>
            <w:tcW w:w="285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2016/2017</w:t>
            </w:r>
          </w:p>
        </w:tc>
        <w:tc>
          <w:tcPr>
            <w:tcW w:w="285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2017/2018</w:t>
            </w:r>
          </w:p>
        </w:tc>
      </w:tr>
      <w:tr w:rsidR="00373435" w:rsidRPr="00EF2265" w:rsidTr="00373435">
        <w:trPr>
          <w:trHeight w:val="20"/>
        </w:trPr>
        <w:tc>
          <w:tcPr>
            <w:tcW w:w="866" w:type="dxa"/>
            <w:vMerge/>
            <w:tcBorders>
              <w:top w:val="single" w:sz="4" w:space="0" w:color="auto"/>
              <w:left w:val="single" w:sz="4" w:space="0" w:color="auto"/>
              <w:bottom w:val="single" w:sz="4" w:space="0" w:color="auto"/>
              <w:right w:val="single" w:sz="4" w:space="0" w:color="auto"/>
            </w:tcBorders>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sekcie</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práce</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študenti</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sekcie</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práce</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študenti</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sekcie</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práce</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študenti</w:t>
            </w:r>
          </w:p>
        </w:tc>
      </w:tr>
      <w:tr w:rsidR="00373435" w:rsidRPr="00EF2265" w:rsidTr="00373435">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18</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173</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210</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17</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155</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183</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16</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148</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179</w:t>
            </w:r>
          </w:p>
        </w:tc>
      </w:tr>
      <w:tr w:rsidR="00373435" w:rsidRPr="00EF2265" w:rsidTr="00373435">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9</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76</w:t>
            </w:r>
          </w:p>
        </w:tc>
        <w:tc>
          <w:tcPr>
            <w:tcW w:w="953"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80</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7</w:t>
            </w:r>
          </w:p>
        </w:tc>
        <w:tc>
          <w:tcPr>
            <w:tcW w:w="953"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59</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61</w:t>
            </w:r>
          </w:p>
        </w:tc>
        <w:tc>
          <w:tcPr>
            <w:tcW w:w="953"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57</w:t>
            </w:r>
          </w:p>
        </w:tc>
        <w:tc>
          <w:tcPr>
            <w:tcW w:w="953"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59</w:t>
            </w:r>
          </w:p>
        </w:tc>
      </w:tr>
      <w:tr w:rsidR="00373435" w:rsidRPr="00EF2265" w:rsidTr="00373435">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35</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37</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31</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32</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26</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26</w:t>
            </w:r>
          </w:p>
        </w:tc>
      </w:tr>
      <w:tr w:rsidR="00373435" w:rsidRPr="00EF2265" w:rsidTr="00373435">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19</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156</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166</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27</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231</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240</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24</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221</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239</w:t>
            </w:r>
          </w:p>
        </w:tc>
      </w:tr>
      <w:tr w:rsidR="00373435" w:rsidRPr="00EF2265" w:rsidTr="00373435">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6</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97</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145</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5</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79</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129</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6</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94</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137</w:t>
            </w:r>
          </w:p>
        </w:tc>
      </w:tr>
      <w:tr w:rsidR="00373435" w:rsidRPr="00EF2265" w:rsidTr="00373435">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11</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88</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94</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10</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73</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85</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67</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76</w:t>
            </w:r>
          </w:p>
        </w:tc>
      </w:tr>
      <w:tr w:rsidR="00373435" w:rsidRPr="00EF2265" w:rsidTr="00373435">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7</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65</w:t>
            </w:r>
          </w:p>
        </w:tc>
        <w:tc>
          <w:tcPr>
            <w:tcW w:w="953"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89</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7</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75</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95</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w:t>
            </w:r>
          </w:p>
        </w:tc>
        <w:tc>
          <w:tcPr>
            <w:tcW w:w="952"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80</w:t>
            </w:r>
          </w:p>
        </w:tc>
        <w:tc>
          <w:tcPr>
            <w:tcW w:w="953" w:type="dxa"/>
            <w:tcBorders>
              <w:top w:val="nil"/>
              <w:left w:val="nil"/>
              <w:bottom w:val="single" w:sz="4" w:space="0" w:color="auto"/>
              <w:right w:val="single" w:sz="4" w:space="0" w:color="auto"/>
            </w:tcBorders>
            <w:shd w:val="clear" w:color="auto" w:fill="auto"/>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87</w:t>
            </w:r>
          </w:p>
        </w:tc>
      </w:tr>
      <w:tr w:rsidR="00373435" w:rsidRPr="00EF2265" w:rsidTr="00373435">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UM</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5</w:t>
            </w:r>
          </w:p>
        </w:tc>
        <w:tc>
          <w:tcPr>
            <w:tcW w:w="953"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9</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w:t>
            </w:r>
          </w:p>
        </w:tc>
        <w:tc>
          <w:tcPr>
            <w:tcW w:w="953"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6</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14</w:t>
            </w:r>
          </w:p>
        </w:tc>
        <w:tc>
          <w:tcPr>
            <w:tcW w:w="953"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1</w:t>
            </w:r>
          </w:p>
        </w:tc>
        <w:tc>
          <w:tcPr>
            <w:tcW w:w="952"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7</w:t>
            </w:r>
          </w:p>
        </w:tc>
        <w:tc>
          <w:tcPr>
            <w:tcW w:w="953" w:type="dxa"/>
            <w:tcBorders>
              <w:top w:val="nil"/>
              <w:left w:val="nil"/>
              <w:bottom w:val="single" w:sz="4" w:space="0" w:color="auto"/>
              <w:right w:val="single" w:sz="4" w:space="0" w:color="auto"/>
            </w:tcBorders>
            <w:shd w:val="clear" w:color="000000" w:fill="FFFFFF"/>
            <w:noWrap/>
            <w:vAlign w:val="bottom"/>
            <w:hideMark/>
          </w:tcPr>
          <w:p w:rsidR="00373435" w:rsidRPr="00EF2265" w:rsidRDefault="00373435" w:rsidP="00EF2265">
            <w:pPr>
              <w:ind w:firstLineChars="100" w:firstLine="200"/>
              <w:jc w:val="left"/>
              <w:rPr>
                <w:rFonts w:ascii="Times New Roman" w:hAnsi="Times New Roman"/>
                <w:sz w:val="20"/>
                <w:szCs w:val="20"/>
              </w:rPr>
            </w:pPr>
            <w:r w:rsidRPr="00EF2265">
              <w:rPr>
                <w:rFonts w:ascii="Times New Roman" w:hAnsi="Times New Roman"/>
                <w:sz w:val="20"/>
                <w:szCs w:val="20"/>
              </w:rPr>
              <w:t>8</w:t>
            </w:r>
          </w:p>
        </w:tc>
      </w:tr>
      <w:tr w:rsidR="00373435" w:rsidRPr="00EF2265" w:rsidTr="00373435">
        <w:trPr>
          <w:trHeight w:val="20"/>
        </w:trPr>
        <w:tc>
          <w:tcPr>
            <w:tcW w:w="866"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lastRenderedPageBreak/>
              <w:t>STU</w:t>
            </w:r>
          </w:p>
        </w:tc>
        <w:tc>
          <w:tcPr>
            <w:tcW w:w="952" w:type="dxa"/>
            <w:tcBorders>
              <w:top w:val="nil"/>
              <w:left w:val="nil"/>
              <w:bottom w:val="single" w:sz="4" w:space="0" w:color="auto"/>
              <w:right w:val="single" w:sz="4" w:space="0" w:color="auto"/>
            </w:tcBorders>
            <w:shd w:val="clear" w:color="auto" w:fill="EEECE1" w:themeFill="background2"/>
            <w:noWrap/>
            <w:vAlign w:val="bottom"/>
            <w:hideMark/>
          </w:tcPr>
          <w:p w:rsidR="00373435" w:rsidRPr="00EF2265" w:rsidRDefault="00373435" w:rsidP="00EF2265">
            <w:pPr>
              <w:ind w:firstLineChars="100" w:firstLine="201"/>
              <w:jc w:val="left"/>
              <w:rPr>
                <w:rFonts w:ascii="Times New Roman" w:hAnsi="Times New Roman"/>
                <w:b/>
                <w:bCs/>
                <w:sz w:val="20"/>
                <w:szCs w:val="20"/>
              </w:rPr>
            </w:pPr>
            <w:r w:rsidRPr="00EF2265">
              <w:rPr>
                <w:rFonts w:ascii="Times New Roman" w:hAnsi="Times New Roman"/>
                <w:b/>
                <w:bCs/>
                <w:sz w:val="20"/>
                <w:szCs w:val="20"/>
              </w:rPr>
              <w:t>79</w:t>
            </w:r>
          </w:p>
        </w:tc>
        <w:tc>
          <w:tcPr>
            <w:tcW w:w="952" w:type="dxa"/>
            <w:tcBorders>
              <w:top w:val="nil"/>
              <w:left w:val="nil"/>
              <w:bottom w:val="single" w:sz="4" w:space="0" w:color="auto"/>
              <w:right w:val="single" w:sz="4" w:space="0" w:color="auto"/>
            </w:tcBorders>
            <w:shd w:val="clear" w:color="auto" w:fill="EEECE1" w:themeFill="background2"/>
            <w:noWrap/>
            <w:vAlign w:val="bottom"/>
            <w:hideMark/>
          </w:tcPr>
          <w:p w:rsidR="00373435" w:rsidRPr="00EF2265" w:rsidRDefault="00373435" w:rsidP="00EF2265">
            <w:pPr>
              <w:ind w:firstLineChars="100" w:firstLine="201"/>
              <w:jc w:val="left"/>
              <w:rPr>
                <w:rFonts w:ascii="Times New Roman" w:hAnsi="Times New Roman"/>
                <w:b/>
                <w:bCs/>
                <w:sz w:val="20"/>
                <w:szCs w:val="20"/>
              </w:rPr>
            </w:pPr>
            <w:r w:rsidRPr="00EF2265">
              <w:rPr>
                <w:rFonts w:ascii="Times New Roman" w:hAnsi="Times New Roman"/>
                <w:b/>
                <w:bCs/>
                <w:sz w:val="20"/>
                <w:szCs w:val="20"/>
              </w:rPr>
              <w:t>695</w:t>
            </w:r>
          </w:p>
        </w:tc>
        <w:tc>
          <w:tcPr>
            <w:tcW w:w="953" w:type="dxa"/>
            <w:tcBorders>
              <w:top w:val="nil"/>
              <w:left w:val="nil"/>
              <w:bottom w:val="single" w:sz="4" w:space="0" w:color="auto"/>
              <w:right w:val="single" w:sz="4" w:space="0" w:color="auto"/>
            </w:tcBorders>
            <w:shd w:val="clear" w:color="auto" w:fill="EEECE1" w:themeFill="background2"/>
            <w:noWrap/>
            <w:vAlign w:val="bottom"/>
            <w:hideMark/>
          </w:tcPr>
          <w:p w:rsidR="00373435" w:rsidRPr="00EF2265" w:rsidRDefault="00373435" w:rsidP="00EF2265">
            <w:pPr>
              <w:ind w:firstLineChars="100" w:firstLine="201"/>
              <w:jc w:val="left"/>
              <w:rPr>
                <w:rFonts w:ascii="Times New Roman" w:hAnsi="Times New Roman"/>
                <w:b/>
                <w:bCs/>
                <w:sz w:val="20"/>
                <w:szCs w:val="20"/>
              </w:rPr>
            </w:pPr>
            <w:r w:rsidRPr="00EF2265">
              <w:rPr>
                <w:rFonts w:ascii="Times New Roman" w:hAnsi="Times New Roman"/>
                <w:b/>
                <w:bCs/>
                <w:sz w:val="20"/>
                <w:szCs w:val="20"/>
              </w:rPr>
              <w:t>830</w:t>
            </w:r>
          </w:p>
        </w:tc>
        <w:tc>
          <w:tcPr>
            <w:tcW w:w="952" w:type="dxa"/>
            <w:tcBorders>
              <w:top w:val="nil"/>
              <w:left w:val="nil"/>
              <w:bottom w:val="single" w:sz="4" w:space="0" w:color="auto"/>
              <w:right w:val="single" w:sz="4" w:space="0" w:color="auto"/>
            </w:tcBorders>
            <w:shd w:val="clear" w:color="auto" w:fill="EEECE1" w:themeFill="background2"/>
            <w:noWrap/>
            <w:vAlign w:val="bottom"/>
            <w:hideMark/>
          </w:tcPr>
          <w:p w:rsidR="00373435" w:rsidRPr="00EF2265" w:rsidRDefault="00373435" w:rsidP="00EF2265">
            <w:pPr>
              <w:ind w:firstLineChars="100" w:firstLine="201"/>
              <w:jc w:val="left"/>
              <w:rPr>
                <w:rFonts w:ascii="Times New Roman" w:hAnsi="Times New Roman"/>
                <w:b/>
                <w:bCs/>
                <w:sz w:val="20"/>
                <w:szCs w:val="20"/>
              </w:rPr>
            </w:pPr>
            <w:r w:rsidRPr="00EF2265">
              <w:rPr>
                <w:rFonts w:ascii="Times New Roman" w:hAnsi="Times New Roman"/>
                <w:b/>
                <w:bCs/>
                <w:sz w:val="20"/>
                <w:szCs w:val="20"/>
              </w:rPr>
              <w:t>82</w:t>
            </w:r>
          </w:p>
        </w:tc>
        <w:tc>
          <w:tcPr>
            <w:tcW w:w="953" w:type="dxa"/>
            <w:tcBorders>
              <w:top w:val="nil"/>
              <w:left w:val="nil"/>
              <w:bottom w:val="single" w:sz="4" w:space="0" w:color="auto"/>
              <w:right w:val="single" w:sz="4" w:space="0" w:color="auto"/>
            </w:tcBorders>
            <w:shd w:val="clear" w:color="auto" w:fill="EEECE1" w:themeFill="background2"/>
            <w:noWrap/>
            <w:vAlign w:val="bottom"/>
            <w:hideMark/>
          </w:tcPr>
          <w:p w:rsidR="00373435" w:rsidRPr="00EF2265" w:rsidRDefault="00373435" w:rsidP="00EF2265">
            <w:pPr>
              <w:ind w:firstLineChars="100" w:firstLine="201"/>
              <w:jc w:val="left"/>
              <w:rPr>
                <w:rFonts w:ascii="Times New Roman" w:hAnsi="Times New Roman"/>
                <w:b/>
                <w:bCs/>
                <w:sz w:val="20"/>
                <w:szCs w:val="20"/>
              </w:rPr>
            </w:pPr>
            <w:r w:rsidRPr="00EF2265">
              <w:rPr>
                <w:rFonts w:ascii="Times New Roman" w:hAnsi="Times New Roman"/>
                <w:b/>
                <w:bCs/>
                <w:sz w:val="20"/>
                <w:szCs w:val="20"/>
              </w:rPr>
              <w:t>709</w:t>
            </w:r>
          </w:p>
        </w:tc>
        <w:tc>
          <w:tcPr>
            <w:tcW w:w="952" w:type="dxa"/>
            <w:tcBorders>
              <w:top w:val="nil"/>
              <w:left w:val="nil"/>
              <w:bottom w:val="single" w:sz="4" w:space="0" w:color="auto"/>
              <w:right w:val="single" w:sz="4" w:space="0" w:color="auto"/>
            </w:tcBorders>
            <w:shd w:val="clear" w:color="auto" w:fill="EEECE1" w:themeFill="background2"/>
            <w:noWrap/>
            <w:vAlign w:val="bottom"/>
            <w:hideMark/>
          </w:tcPr>
          <w:p w:rsidR="00373435" w:rsidRPr="00EF2265" w:rsidRDefault="00373435" w:rsidP="00EF2265">
            <w:pPr>
              <w:ind w:firstLineChars="100" w:firstLine="201"/>
              <w:jc w:val="left"/>
              <w:rPr>
                <w:rFonts w:ascii="Times New Roman" w:hAnsi="Times New Roman"/>
                <w:b/>
                <w:bCs/>
                <w:sz w:val="20"/>
                <w:szCs w:val="20"/>
              </w:rPr>
            </w:pPr>
            <w:r w:rsidRPr="00EF2265">
              <w:rPr>
                <w:rFonts w:ascii="Times New Roman" w:hAnsi="Times New Roman"/>
                <w:b/>
                <w:bCs/>
                <w:sz w:val="20"/>
                <w:szCs w:val="20"/>
              </w:rPr>
              <w:t>839</w:t>
            </w:r>
          </w:p>
        </w:tc>
        <w:tc>
          <w:tcPr>
            <w:tcW w:w="953" w:type="dxa"/>
            <w:tcBorders>
              <w:top w:val="nil"/>
              <w:left w:val="nil"/>
              <w:bottom w:val="single" w:sz="4" w:space="0" w:color="auto"/>
              <w:right w:val="single" w:sz="4" w:space="0" w:color="auto"/>
            </w:tcBorders>
            <w:shd w:val="clear" w:color="auto" w:fill="EEECE1" w:themeFill="background2"/>
            <w:noWrap/>
            <w:vAlign w:val="bottom"/>
            <w:hideMark/>
          </w:tcPr>
          <w:p w:rsidR="00373435" w:rsidRPr="00EF2265" w:rsidRDefault="00373435" w:rsidP="00EF2265">
            <w:pPr>
              <w:ind w:firstLineChars="100" w:firstLine="201"/>
              <w:jc w:val="left"/>
              <w:rPr>
                <w:rFonts w:ascii="Times New Roman" w:hAnsi="Times New Roman"/>
                <w:b/>
                <w:bCs/>
                <w:sz w:val="20"/>
                <w:szCs w:val="20"/>
              </w:rPr>
            </w:pPr>
            <w:r w:rsidRPr="00EF2265">
              <w:rPr>
                <w:rFonts w:ascii="Times New Roman" w:hAnsi="Times New Roman"/>
                <w:b/>
                <w:bCs/>
                <w:sz w:val="20"/>
                <w:szCs w:val="20"/>
              </w:rPr>
              <w:t>79</w:t>
            </w:r>
          </w:p>
        </w:tc>
        <w:tc>
          <w:tcPr>
            <w:tcW w:w="952" w:type="dxa"/>
            <w:tcBorders>
              <w:top w:val="nil"/>
              <w:left w:val="nil"/>
              <w:bottom w:val="single" w:sz="4" w:space="0" w:color="auto"/>
              <w:right w:val="single" w:sz="4" w:space="0" w:color="auto"/>
            </w:tcBorders>
            <w:shd w:val="clear" w:color="auto" w:fill="EEECE1" w:themeFill="background2"/>
            <w:noWrap/>
            <w:vAlign w:val="bottom"/>
            <w:hideMark/>
          </w:tcPr>
          <w:p w:rsidR="00373435" w:rsidRPr="00EF2265" w:rsidRDefault="00373435" w:rsidP="00EF2265">
            <w:pPr>
              <w:ind w:firstLineChars="100" w:firstLine="201"/>
              <w:jc w:val="left"/>
              <w:rPr>
                <w:rFonts w:ascii="Times New Roman" w:hAnsi="Times New Roman"/>
                <w:b/>
                <w:bCs/>
                <w:sz w:val="20"/>
                <w:szCs w:val="20"/>
              </w:rPr>
            </w:pPr>
            <w:r w:rsidRPr="00EF2265">
              <w:rPr>
                <w:rFonts w:ascii="Times New Roman" w:hAnsi="Times New Roman"/>
                <w:b/>
                <w:bCs/>
                <w:sz w:val="20"/>
                <w:szCs w:val="20"/>
              </w:rPr>
              <w:t>700</w:t>
            </w:r>
          </w:p>
        </w:tc>
        <w:tc>
          <w:tcPr>
            <w:tcW w:w="953" w:type="dxa"/>
            <w:tcBorders>
              <w:top w:val="nil"/>
              <w:left w:val="nil"/>
              <w:bottom w:val="single" w:sz="4" w:space="0" w:color="auto"/>
              <w:right w:val="single" w:sz="4" w:space="0" w:color="auto"/>
            </w:tcBorders>
            <w:shd w:val="clear" w:color="auto" w:fill="EEECE1" w:themeFill="background2"/>
            <w:noWrap/>
            <w:vAlign w:val="bottom"/>
            <w:hideMark/>
          </w:tcPr>
          <w:p w:rsidR="00373435" w:rsidRPr="00EF2265" w:rsidRDefault="00373435" w:rsidP="00EF2265">
            <w:pPr>
              <w:ind w:firstLineChars="100" w:firstLine="201"/>
              <w:jc w:val="left"/>
              <w:rPr>
                <w:rFonts w:ascii="Times New Roman" w:hAnsi="Times New Roman"/>
                <w:b/>
                <w:bCs/>
                <w:sz w:val="20"/>
                <w:szCs w:val="20"/>
              </w:rPr>
            </w:pPr>
            <w:r w:rsidRPr="00EF2265">
              <w:rPr>
                <w:rFonts w:ascii="Times New Roman" w:hAnsi="Times New Roman"/>
                <w:b/>
                <w:bCs/>
                <w:sz w:val="20"/>
                <w:szCs w:val="20"/>
              </w:rPr>
              <w:t>811</w:t>
            </w:r>
          </w:p>
        </w:tc>
      </w:tr>
    </w:tbl>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bookmarkStart w:id="140" w:name="_Ref474780366"/>
      <w:bookmarkStart w:id="141" w:name="_Toc534724805"/>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18</w:t>
      </w:r>
      <w:r w:rsidRPr="00EF2265">
        <w:rPr>
          <w:rFonts w:ascii="Times New Roman" w:hAnsi="Times New Roman"/>
          <w:sz w:val="20"/>
          <w:szCs w:val="20"/>
        </w:rPr>
        <w:fldChar w:fldCharType="end"/>
      </w:r>
      <w:r w:rsidRPr="00EF2265">
        <w:rPr>
          <w:rFonts w:ascii="Times New Roman" w:hAnsi="Times New Roman"/>
          <w:sz w:val="20"/>
          <w:szCs w:val="20"/>
        </w:rPr>
        <w:t>: Kvantitatívny prehľad ŠVOČ na STU za posledných sedem akademických rokov</w:t>
      </w:r>
      <w:bookmarkEnd w:id="140"/>
      <w:bookmarkEnd w:id="141"/>
    </w:p>
    <w:p w:rsidR="00373435" w:rsidRPr="00EF2265" w:rsidRDefault="00373435" w:rsidP="00E86605">
      <w:pPr>
        <w:tabs>
          <w:tab w:val="left" w:pos="8080"/>
          <w:tab w:val="left" w:pos="9356"/>
        </w:tabs>
        <w:ind w:right="-284"/>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3B247513" wp14:editId="00AC256F">
            <wp:extent cx="4671695" cy="3079630"/>
            <wp:effectExtent l="0" t="0" r="0" b="698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73435" w:rsidRPr="00EF2265" w:rsidRDefault="00373435" w:rsidP="00E86605">
      <w:pPr>
        <w:tabs>
          <w:tab w:val="left" w:pos="8080"/>
          <w:tab w:val="left" w:pos="9356"/>
        </w:tabs>
        <w:ind w:right="-284"/>
        <w:jc w:val="left"/>
        <w:rPr>
          <w:rFonts w:ascii="Times New Roman" w:hAnsi="Times New Roman"/>
          <w:sz w:val="20"/>
          <w:szCs w:val="20"/>
          <w:shd w:val="clear" w:color="auto" w:fill="FFFFFF"/>
        </w:rPr>
      </w:pPr>
    </w:p>
    <w:p w:rsidR="00373435" w:rsidRPr="00EF2265" w:rsidRDefault="00373435" w:rsidP="00E86605">
      <w:pPr>
        <w:tabs>
          <w:tab w:val="left" w:pos="8080"/>
          <w:tab w:val="left" w:pos="9356"/>
        </w:tabs>
        <w:ind w:right="-284"/>
        <w:jc w:val="left"/>
        <w:rPr>
          <w:rFonts w:ascii="Times New Roman" w:hAnsi="Times New Roman"/>
          <w:sz w:val="20"/>
          <w:szCs w:val="20"/>
          <w:shd w:val="clear" w:color="auto" w:fill="FFFFFF"/>
        </w:rPr>
      </w:pPr>
    </w:p>
    <w:p w:rsidR="00373435" w:rsidRPr="00BE3E2D" w:rsidRDefault="00373435" w:rsidP="00E86605">
      <w:pPr>
        <w:pStyle w:val="Nadpis1"/>
        <w:numPr>
          <w:ilvl w:val="0"/>
          <w:numId w:val="8"/>
        </w:numPr>
        <w:tabs>
          <w:tab w:val="left" w:pos="9356"/>
        </w:tabs>
        <w:spacing w:after="120"/>
        <w:ind w:left="0" w:firstLine="0"/>
        <w:rPr>
          <w:rFonts w:ascii="Times New Roman" w:hAnsi="Times New Roman" w:cs="Times New Roman"/>
          <w:color w:val="auto"/>
          <w:shd w:val="clear" w:color="auto" w:fill="FFFFFF"/>
        </w:rPr>
      </w:pPr>
      <w:bookmarkStart w:id="142" w:name="_Informácie_o_poskytovaní"/>
      <w:bookmarkStart w:id="143" w:name="_Toc534722892"/>
      <w:bookmarkEnd w:id="142"/>
      <w:r w:rsidRPr="00BE3E2D">
        <w:rPr>
          <w:rFonts w:ascii="Times New Roman" w:hAnsi="Times New Roman" w:cs="Times New Roman"/>
          <w:color w:val="auto"/>
          <w:shd w:val="clear" w:color="auto" w:fill="FFFFFF"/>
        </w:rPr>
        <w:t>Informácie o poskytovaní ďalšieho vzdelávania</w:t>
      </w:r>
      <w:bookmarkEnd w:id="143"/>
      <w:r w:rsidRPr="00BE3E2D">
        <w:rPr>
          <w:rFonts w:ascii="Times New Roman" w:hAnsi="Times New Roman" w:cs="Times New Roman"/>
          <w:color w:val="auto"/>
          <w:shd w:val="clear" w:color="auto" w:fill="FFFFFF"/>
        </w:rPr>
        <w:t xml:space="preserve"> </w:t>
      </w:r>
    </w:p>
    <w:p w:rsidR="00373435" w:rsidRPr="00EF2265" w:rsidRDefault="00373435"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Ďalšie vzdelávanie na STU je poskytované na jednotlivých súčastiach STU a osobitne na Inštitúte celoživotného vzdelávania STU (ICV), ktorý je špecializovaným pracoviskom univerzity zaoberajúci sa ďalším vzdelávaním.</w:t>
      </w:r>
    </w:p>
    <w:p w:rsidR="00373435" w:rsidRPr="00EF2265" w:rsidRDefault="00373435"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V  akademickom roku 2017/2018 sa realizovalo celkovo </w:t>
      </w:r>
      <w:r w:rsidRPr="00EF2265">
        <w:rPr>
          <w:rFonts w:ascii="Times New Roman" w:hAnsi="Times New Roman"/>
          <w:b/>
          <w:sz w:val="20"/>
          <w:szCs w:val="20"/>
        </w:rPr>
        <w:t>139 kurzov vzdelávacích programov</w:t>
      </w:r>
      <w:r w:rsidRPr="00EF2265">
        <w:rPr>
          <w:rFonts w:ascii="Times New Roman" w:hAnsi="Times New Roman"/>
          <w:sz w:val="20"/>
          <w:szCs w:val="20"/>
        </w:rPr>
        <w:t xml:space="preserve"> ďalšieho vzdelávania, ktorých sa zúčastnilo spolu </w:t>
      </w:r>
      <w:r w:rsidRPr="00EF2265">
        <w:rPr>
          <w:rFonts w:ascii="Times New Roman" w:hAnsi="Times New Roman"/>
          <w:b/>
          <w:sz w:val="20"/>
          <w:szCs w:val="20"/>
        </w:rPr>
        <w:t>3 568 frekventantov</w:t>
      </w:r>
      <w:r w:rsidRPr="00EF2265">
        <w:rPr>
          <w:rFonts w:ascii="Times New Roman" w:hAnsi="Times New Roman"/>
          <w:sz w:val="20"/>
          <w:szCs w:val="20"/>
        </w:rPr>
        <w:t>. Kvantitatívny prehľad ďalšieho vzdelávania na jednotlivých súčastiach STU a osobitne na ICV je uvedený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_Ref474778271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39</w:t>
      </w:r>
      <w:r w:rsidRPr="00EF2265">
        <w:rPr>
          <w:rFonts w:ascii="Times New Roman" w:hAnsi="Times New Roman"/>
          <w:sz w:val="20"/>
          <w:szCs w:val="20"/>
        </w:rPr>
        <w:fldChar w:fldCharType="end"/>
      </w:r>
      <w:r w:rsidRPr="00EF2265">
        <w:rPr>
          <w:rFonts w:ascii="Times New Roman" w:hAnsi="Times New Roman"/>
          <w:sz w:val="20"/>
          <w:szCs w:val="20"/>
        </w:rPr>
        <w:t>.</w:t>
      </w:r>
    </w:p>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bookmarkStart w:id="144" w:name="_Ref474778271"/>
      <w:bookmarkStart w:id="145" w:name="_Toc534793978"/>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39</w:t>
      </w:r>
      <w:r w:rsidRPr="00EF2265">
        <w:rPr>
          <w:rFonts w:ascii="Times New Roman" w:hAnsi="Times New Roman"/>
          <w:sz w:val="20"/>
          <w:szCs w:val="20"/>
        </w:rPr>
        <w:fldChar w:fldCharType="end"/>
      </w:r>
      <w:bookmarkEnd w:id="144"/>
      <w:r w:rsidRPr="00EF2265">
        <w:rPr>
          <w:rFonts w:ascii="Times New Roman" w:hAnsi="Times New Roman"/>
          <w:sz w:val="20"/>
          <w:szCs w:val="20"/>
        </w:rPr>
        <w:t>: Kvantitatívny prehľad uskutočnených vzdelávacích programov ďalšieho vzdelávania na STU za akademický rok 2017/2018</w:t>
      </w:r>
      <w:bookmarkEnd w:id="145"/>
    </w:p>
    <w:tbl>
      <w:tblPr>
        <w:tblW w:w="9433" w:type="dxa"/>
        <w:tblInd w:w="55" w:type="dxa"/>
        <w:tblLayout w:type="fixed"/>
        <w:tblCellMar>
          <w:left w:w="70" w:type="dxa"/>
          <w:right w:w="70" w:type="dxa"/>
        </w:tblCellMar>
        <w:tblLook w:val="04A0" w:firstRow="1" w:lastRow="0" w:firstColumn="1" w:lastColumn="0" w:noHBand="0" w:noVBand="1"/>
      </w:tblPr>
      <w:tblGrid>
        <w:gridCol w:w="919"/>
        <w:gridCol w:w="1573"/>
        <w:gridCol w:w="614"/>
        <w:gridCol w:w="614"/>
        <w:gridCol w:w="615"/>
        <w:gridCol w:w="839"/>
        <w:gridCol w:w="682"/>
        <w:gridCol w:w="683"/>
        <w:gridCol w:w="682"/>
        <w:gridCol w:w="683"/>
        <w:gridCol w:w="683"/>
        <w:gridCol w:w="846"/>
      </w:tblGrid>
      <w:tr w:rsidR="00373435" w:rsidRPr="00EF2265" w:rsidTr="00373435">
        <w:trPr>
          <w:trHeight w:val="375"/>
        </w:trPr>
        <w:tc>
          <w:tcPr>
            <w:tcW w:w="249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p>
        </w:tc>
        <w:tc>
          <w:tcPr>
            <w:tcW w:w="614"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SvF</w:t>
            </w:r>
          </w:p>
        </w:tc>
        <w:tc>
          <w:tcPr>
            <w:tcW w:w="614"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SjF</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FEI</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FCHPT</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FA</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MTF</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FIIT</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ÚM*</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ICV</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STU</w:t>
            </w:r>
          </w:p>
        </w:tc>
      </w:tr>
      <w:tr w:rsidR="00373435" w:rsidRPr="00EF2265" w:rsidTr="00373435">
        <w:trPr>
          <w:cantSplit/>
          <w:trHeight w:val="620"/>
        </w:trPr>
        <w:tc>
          <w:tcPr>
            <w:tcW w:w="91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Neakredito-vané  programy</w:t>
            </w:r>
          </w:p>
        </w:tc>
        <w:tc>
          <w:tcPr>
            <w:tcW w:w="157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frekventantov</w:t>
            </w:r>
          </w:p>
        </w:tc>
        <w:tc>
          <w:tcPr>
            <w:tcW w:w="6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84</w:t>
            </w:r>
          </w:p>
        </w:tc>
        <w:tc>
          <w:tcPr>
            <w:tcW w:w="6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335</w:t>
            </w:r>
          </w:p>
        </w:tc>
        <w:tc>
          <w:tcPr>
            <w:tcW w:w="6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29</w:t>
            </w:r>
          </w:p>
        </w:tc>
        <w:tc>
          <w:tcPr>
            <w:tcW w:w="83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1 140</w:t>
            </w:r>
          </w:p>
        </w:tc>
        <w:tc>
          <w:tcPr>
            <w:tcW w:w="68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99</w:t>
            </w:r>
          </w:p>
        </w:tc>
        <w:tc>
          <w:tcPr>
            <w:tcW w:w="68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167</w:t>
            </w:r>
          </w:p>
        </w:tc>
        <w:tc>
          <w:tcPr>
            <w:tcW w:w="68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87</w:t>
            </w:r>
          </w:p>
        </w:tc>
        <w:tc>
          <w:tcPr>
            <w:tcW w:w="683" w:type="dxa"/>
            <w:tcBorders>
              <w:top w:val="nil"/>
              <w:left w:val="nil"/>
              <w:bottom w:val="nil"/>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p>
        </w:tc>
        <w:tc>
          <w:tcPr>
            <w:tcW w:w="68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1 082</w:t>
            </w:r>
          </w:p>
        </w:tc>
        <w:tc>
          <w:tcPr>
            <w:tcW w:w="84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3 023</w:t>
            </w:r>
          </w:p>
        </w:tc>
      </w:tr>
      <w:tr w:rsidR="00373435" w:rsidRPr="00EF2265" w:rsidTr="00373435">
        <w:trPr>
          <w:cantSplit/>
          <w:trHeight w:val="620"/>
        </w:trPr>
        <w:tc>
          <w:tcPr>
            <w:tcW w:w="919"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p>
        </w:tc>
        <w:tc>
          <w:tcPr>
            <w:tcW w:w="157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kurzov</w:t>
            </w:r>
          </w:p>
        </w:tc>
        <w:tc>
          <w:tcPr>
            <w:tcW w:w="6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w:t>
            </w:r>
          </w:p>
        </w:tc>
        <w:tc>
          <w:tcPr>
            <w:tcW w:w="6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25</w:t>
            </w:r>
          </w:p>
        </w:tc>
        <w:tc>
          <w:tcPr>
            <w:tcW w:w="6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w:t>
            </w:r>
          </w:p>
        </w:tc>
        <w:tc>
          <w:tcPr>
            <w:tcW w:w="83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15</w:t>
            </w:r>
          </w:p>
        </w:tc>
        <w:tc>
          <w:tcPr>
            <w:tcW w:w="68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5</w:t>
            </w:r>
          </w:p>
        </w:tc>
        <w:tc>
          <w:tcPr>
            <w:tcW w:w="68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4</w:t>
            </w:r>
          </w:p>
        </w:tc>
        <w:tc>
          <w:tcPr>
            <w:tcW w:w="68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4</w:t>
            </w:r>
          </w:p>
        </w:tc>
        <w:tc>
          <w:tcPr>
            <w:tcW w:w="683" w:type="dxa"/>
            <w:tcBorders>
              <w:top w:val="single" w:sz="4" w:space="0" w:color="auto"/>
              <w:left w:val="nil"/>
              <w:bottom w:val="nil"/>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p>
        </w:tc>
        <w:tc>
          <w:tcPr>
            <w:tcW w:w="68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46</w:t>
            </w:r>
          </w:p>
        </w:tc>
        <w:tc>
          <w:tcPr>
            <w:tcW w:w="84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104</w:t>
            </w:r>
          </w:p>
        </w:tc>
      </w:tr>
      <w:tr w:rsidR="00373435" w:rsidRPr="00EF2265" w:rsidTr="00373435">
        <w:trPr>
          <w:trHeight w:val="480"/>
        </w:trPr>
        <w:tc>
          <w:tcPr>
            <w:tcW w:w="91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Akredito-</w:t>
            </w:r>
          </w:p>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vané  programy</w:t>
            </w:r>
          </w:p>
        </w:tc>
        <w:tc>
          <w:tcPr>
            <w:tcW w:w="157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frekventantov</w:t>
            </w:r>
          </w:p>
        </w:tc>
        <w:tc>
          <w:tcPr>
            <w:tcW w:w="6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281</w:t>
            </w:r>
          </w:p>
        </w:tc>
        <w:tc>
          <w:tcPr>
            <w:tcW w:w="6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p>
        </w:tc>
        <w:tc>
          <w:tcPr>
            <w:tcW w:w="6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35</w:t>
            </w:r>
          </w:p>
        </w:tc>
        <w:tc>
          <w:tcPr>
            <w:tcW w:w="83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110</w:t>
            </w:r>
          </w:p>
        </w:tc>
        <w:tc>
          <w:tcPr>
            <w:tcW w:w="68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p>
        </w:tc>
        <w:tc>
          <w:tcPr>
            <w:tcW w:w="68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p>
        </w:tc>
        <w:tc>
          <w:tcPr>
            <w:tcW w:w="68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p>
        </w:tc>
        <w:tc>
          <w:tcPr>
            <w:tcW w:w="683" w:type="dxa"/>
            <w:tcBorders>
              <w:top w:val="single" w:sz="4" w:space="0" w:color="auto"/>
              <w:left w:val="nil"/>
              <w:bottom w:val="nil"/>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93</w:t>
            </w:r>
          </w:p>
        </w:tc>
        <w:tc>
          <w:tcPr>
            <w:tcW w:w="68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26</w:t>
            </w:r>
          </w:p>
        </w:tc>
        <w:tc>
          <w:tcPr>
            <w:tcW w:w="84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545</w:t>
            </w:r>
          </w:p>
        </w:tc>
      </w:tr>
      <w:tr w:rsidR="00373435" w:rsidRPr="00EF2265" w:rsidTr="00373435">
        <w:trPr>
          <w:trHeight w:val="614"/>
        </w:trPr>
        <w:tc>
          <w:tcPr>
            <w:tcW w:w="919" w:type="dxa"/>
            <w:vMerge/>
            <w:tcBorders>
              <w:top w:val="nil"/>
              <w:left w:val="single" w:sz="4" w:space="0" w:color="auto"/>
              <w:bottom w:val="single" w:sz="4" w:space="0" w:color="000000"/>
              <w:right w:val="single" w:sz="4" w:space="0" w:color="auto"/>
            </w:tcBorders>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p>
        </w:tc>
        <w:tc>
          <w:tcPr>
            <w:tcW w:w="1573"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kurzov</w:t>
            </w:r>
          </w:p>
        </w:tc>
        <w:tc>
          <w:tcPr>
            <w:tcW w:w="6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12</w:t>
            </w:r>
          </w:p>
        </w:tc>
        <w:tc>
          <w:tcPr>
            <w:tcW w:w="6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p>
        </w:tc>
        <w:tc>
          <w:tcPr>
            <w:tcW w:w="615"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6</w:t>
            </w:r>
          </w:p>
        </w:tc>
        <w:tc>
          <w:tcPr>
            <w:tcW w:w="839"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7</w:t>
            </w:r>
          </w:p>
        </w:tc>
        <w:tc>
          <w:tcPr>
            <w:tcW w:w="68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p>
        </w:tc>
        <w:tc>
          <w:tcPr>
            <w:tcW w:w="68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p>
        </w:tc>
        <w:tc>
          <w:tcPr>
            <w:tcW w:w="682"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p>
        </w:tc>
        <w:tc>
          <w:tcPr>
            <w:tcW w:w="683" w:type="dxa"/>
            <w:tcBorders>
              <w:top w:val="single" w:sz="4" w:space="0" w:color="auto"/>
              <w:left w:val="nil"/>
              <w:bottom w:val="nil"/>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8</w:t>
            </w:r>
          </w:p>
        </w:tc>
        <w:tc>
          <w:tcPr>
            <w:tcW w:w="683"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w:t>
            </w:r>
          </w:p>
        </w:tc>
        <w:tc>
          <w:tcPr>
            <w:tcW w:w="846"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35</w:t>
            </w:r>
          </w:p>
        </w:tc>
      </w:tr>
      <w:tr w:rsidR="00373435" w:rsidRPr="00EF2265" w:rsidTr="00373435">
        <w:trPr>
          <w:trHeight w:val="480"/>
        </w:trPr>
        <w:tc>
          <w:tcPr>
            <w:tcW w:w="919" w:type="dxa"/>
            <w:vMerge w:val="restart"/>
            <w:tcBorders>
              <w:top w:val="nil"/>
              <w:left w:val="single" w:sz="4" w:space="0" w:color="auto"/>
              <w:bottom w:val="single" w:sz="4" w:space="0" w:color="000000"/>
              <w:right w:val="single" w:sz="4" w:space="0" w:color="auto"/>
            </w:tcBorders>
            <w:shd w:val="clear" w:color="auto" w:fill="EEECE1" w:themeFill="background2"/>
            <w:noWrap/>
            <w:textDirection w:val="btLr"/>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1573"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Počet frekventantov</w:t>
            </w:r>
          </w:p>
        </w:tc>
        <w:tc>
          <w:tcPr>
            <w:tcW w:w="614"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365</w:t>
            </w:r>
          </w:p>
        </w:tc>
        <w:tc>
          <w:tcPr>
            <w:tcW w:w="614"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335</w:t>
            </w:r>
          </w:p>
        </w:tc>
        <w:tc>
          <w:tcPr>
            <w:tcW w:w="615"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64</w:t>
            </w:r>
          </w:p>
        </w:tc>
        <w:tc>
          <w:tcPr>
            <w:tcW w:w="839"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1 250</w:t>
            </w:r>
          </w:p>
        </w:tc>
        <w:tc>
          <w:tcPr>
            <w:tcW w:w="682"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99</w:t>
            </w:r>
          </w:p>
        </w:tc>
        <w:tc>
          <w:tcPr>
            <w:tcW w:w="683"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167</w:t>
            </w:r>
          </w:p>
        </w:tc>
        <w:tc>
          <w:tcPr>
            <w:tcW w:w="682"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87</w:t>
            </w:r>
          </w:p>
        </w:tc>
        <w:tc>
          <w:tcPr>
            <w:tcW w:w="683"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93</w:t>
            </w:r>
          </w:p>
        </w:tc>
        <w:tc>
          <w:tcPr>
            <w:tcW w:w="683"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1 108</w:t>
            </w:r>
          </w:p>
        </w:tc>
        <w:tc>
          <w:tcPr>
            <w:tcW w:w="846"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3 568</w:t>
            </w:r>
          </w:p>
        </w:tc>
      </w:tr>
      <w:tr w:rsidR="00373435" w:rsidRPr="00EF2265" w:rsidTr="00373435">
        <w:trPr>
          <w:trHeight w:val="480"/>
        </w:trPr>
        <w:tc>
          <w:tcPr>
            <w:tcW w:w="919"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p>
        </w:tc>
        <w:tc>
          <w:tcPr>
            <w:tcW w:w="1573"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Počet kurzov</w:t>
            </w:r>
          </w:p>
        </w:tc>
        <w:tc>
          <w:tcPr>
            <w:tcW w:w="614"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14</w:t>
            </w:r>
          </w:p>
        </w:tc>
        <w:tc>
          <w:tcPr>
            <w:tcW w:w="614"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25</w:t>
            </w:r>
          </w:p>
        </w:tc>
        <w:tc>
          <w:tcPr>
            <w:tcW w:w="615"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9</w:t>
            </w:r>
          </w:p>
        </w:tc>
        <w:tc>
          <w:tcPr>
            <w:tcW w:w="839"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22</w:t>
            </w:r>
          </w:p>
        </w:tc>
        <w:tc>
          <w:tcPr>
            <w:tcW w:w="682"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5</w:t>
            </w:r>
          </w:p>
        </w:tc>
        <w:tc>
          <w:tcPr>
            <w:tcW w:w="683"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4</w:t>
            </w:r>
          </w:p>
        </w:tc>
        <w:tc>
          <w:tcPr>
            <w:tcW w:w="682"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4</w:t>
            </w:r>
          </w:p>
        </w:tc>
        <w:tc>
          <w:tcPr>
            <w:tcW w:w="683"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8</w:t>
            </w:r>
          </w:p>
        </w:tc>
        <w:tc>
          <w:tcPr>
            <w:tcW w:w="683"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48</w:t>
            </w:r>
          </w:p>
        </w:tc>
        <w:tc>
          <w:tcPr>
            <w:tcW w:w="846"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139</w:t>
            </w:r>
          </w:p>
        </w:tc>
      </w:tr>
    </w:tbl>
    <w:p w:rsidR="00373435" w:rsidRPr="00EF2265" w:rsidRDefault="00373435"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Vysvetlivky: </w:t>
      </w:r>
    </w:p>
    <w:p w:rsidR="00373435" w:rsidRPr="00EF2265" w:rsidRDefault="00373435" w:rsidP="00E86605">
      <w:pPr>
        <w:tabs>
          <w:tab w:val="left" w:pos="9356"/>
        </w:tabs>
        <w:jc w:val="left"/>
        <w:rPr>
          <w:rFonts w:ascii="Times New Roman" w:hAnsi="Times New Roman"/>
          <w:sz w:val="20"/>
          <w:szCs w:val="20"/>
        </w:rPr>
      </w:pPr>
      <w:r w:rsidRPr="00EF2265">
        <w:rPr>
          <w:rFonts w:ascii="Times New Roman" w:hAnsi="Times New Roman"/>
          <w:sz w:val="20"/>
          <w:szCs w:val="20"/>
        </w:rPr>
        <w:t>V rámci univerzitného pracoviska Ústavu manažmentu sú poskytované akreditované vzdelávacie programy doplňujúceho pedagogického štúdia (DPŠ)</w:t>
      </w:r>
    </w:p>
    <w:p w:rsidR="00373435" w:rsidRPr="00EF2265" w:rsidRDefault="00373435" w:rsidP="00E86605">
      <w:pPr>
        <w:tabs>
          <w:tab w:val="left" w:pos="9356"/>
        </w:tabs>
        <w:jc w:val="left"/>
        <w:rPr>
          <w:rFonts w:ascii="Times New Roman" w:hAnsi="Times New Roman"/>
          <w:sz w:val="20"/>
          <w:szCs w:val="20"/>
        </w:rPr>
      </w:pPr>
    </w:p>
    <w:p w:rsidR="00320D60" w:rsidRPr="00EF2265" w:rsidRDefault="00373435" w:rsidP="00E86605">
      <w:pPr>
        <w:tabs>
          <w:tab w:val="left" w:pos="9356"/>
        </w:tabs>
        <w:jc w:val="left"/>
        <w:rPr>
          <w:rFonts w:ascii="Times New Roman" w:hAnsi="Times New Roman"/>
          <w:sz w:val="20"/>
          <w:szCs w:val="20"/>
        </w:rPr>
      </w:pPr>
      <w:r w:rsidRPr="00EF2265">
        <w:rPr>
          <w:rFonts w:ascii="Times New Roman" w:hAnsi="Times New Roman"/>
          <w:sz w:val="20"/>
          <w:szCs w:val="20"/>
        </w:rPr>
        <w:t>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_Ref474778297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40</w:t>
      </w:r>
      <w:r w:rsidRPr="00EF2265">
        <w:rPr>
          <w:rFonts w:ascii="Times New Roman" w:hAnsi="Times New Roman"/>
          <w:sz w:val="20"/>
          <w:szCs w:val="20"/>
        </w:rPr>
        <w:fldChar w:fldCharType="end"/>
      </w:r>
      <w:r w:rsidRPr="00EF2265">
        <w:rPr>
          <w:rFonts w:ascii="Times New Roman" w:hAnsi="Times New Roman"/>
          <w:sz w:val="20"/>
          <w:szCs w:val="20"/>
        </w:rPr>
        <w:t xml:space="preserve"> a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_Ref474780388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Graf č. </w:t>
      </w:r>
      <w:r w:rsidR="001C349F">
        <w:rPr>
          <w:rFonts w:ascii="Times New Roman" w:hAnsi="Times New Roman"/>
          <w:sz w:val="20"/>
          <w:szCs w:val="20"/>
        </w:rPr>
        <w:t>19</w:t>
      </w:r>
      <w:r w:rsidRPr="00EF2265">
        <w:rPr>
          <w:rFonts w:ascii="Times New Roman" w:hAnsi="Times New Roman"/>
          <w:sz w:val="20"/>
          <w:szCs w:val="20"/>
        </w:rPr>
        <w:fldChar w:fldCharType="end"/>
      </w:r>
      <w:r w:rsidRPr="00EF2265">
        <w:rPr>
          <w:rFonts w:ascii="Times New Roman" w:hAnsi="Times New Roman"/>
          <w:sz w:val="20"/>
          <w:szCs w:val="20"/>
        </w:rPr>
        <w:t xml:space="preserve"> je pre porovnanie uvedený prehľad aktivít ďalšieho vzdelávania na STU za ostatných päť rokov. </w:t>
      </w:r>
    </w:p>
    <w:p w:rsidR="00320D60" w:rsidRPr="00EF2265" w:rsidRDefault="00320D60"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bookmarkStart w:id="146" w:name="_Ref474778297"/>
      <w:bookmarkStart w:id="147" w:name="_Toc534793979"/>
      <w:r w:rsidRPr="00EF2265">
        <w:rPr>
          <w:rFonts w:ascii="Times New Roman" w:hAnsi="Times New Roman"/>
          <w:sz w:val="20"/>
          <w:szCs w:val="20"/>
        </w:rPr>
        <w:lastRenderedPageBreak/>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40</w:t>
      </w:r>
      <w:r w:rsidRPr="00EF2265">
        <w:rPr>
          <w:rFonts w:ascii="Times New Roman" w:hAnsi="Times New Roman"/>
          <w:sz w:val="20"/>
          <w:szCs w:val="20"/>
        </w:rPr>
        <w:fldChar w:fldCharType="end"/>
      </w:r>
      <w:bookmarkEnd w:id="146"/>
      <w:r w:rsidRPr="00EF2265">
        <w:rPr>
          <w:rFonts w:ascii="Times New Roman" w:hAnsi="Times New Roman"/>
          <w:sz w:val="20"/>
          <w:szCs w:val="20"/>
        </w:rPr>
        <w:t>: Prehľad vzdelávacích programov ďalšieho vzdelávania na STU za päť akademických rokov</w:t>
      </w:r>
      <w:bookmarkEnd w:id="147"/>
    </w:p>
    <w:tbl>
      <w:tblPr>
        <w:tblW w:w="8445" w:type="dxa"/>
        <w:tblInd w:w="55" w:type="dxa"/>
        <w:tblLayout w:type="fixed"/>
        <w:tblCellMar>
          <w:left w:w="70" w:type="dxa"/>
          <w:right w:w="70" w:type="dxa"/>
        </w:tblCellMar>
        <w:tblLook w:val="04A0" w:firstRow="1" w:lastRow="0" w:firstColumn="1" w:lastColumn="0" w:noHBand="0" w:noVBand="1"/>
      </w:tblPr>
      <w:tblGrid>
        <w:gridCol w:w="933"/>
        <w:gridCol w:w="1439"/>
        <w:gridCol w:w="1214"/>
        <w:gridCol w:w="1215"/>
        <w:gridCol w:w="1214"/>
        <w:gridCol w:w="1215"/>
        <w:gridCol w:w="1215"/>
      </w:tblGrid>
      <w:tr w:rsidR="00373435" w:rsidRPr="00EF2265" w:rsidTr="00373435">
        <w:trPr>
          <w:trHeight w:val="390"/>
        </w:trPr>
        <w:tc>
          <w:tcPr>
            <w:tcW w:w="23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2013/2014</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2014/2015</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2015/2016</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2016/2017</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2017/2018</w:t>
            </w:r>
          </w:p>
        </w:tc>
      </w:tr>
      <w:tr w:rsidR="00373435" w:rsidRPr="00EF2265" w:rsidTr="00373435">
        <w:trPr>
          <w:trHeight w:val="510"/>
        </w:trPr>
        <w:tc>
          <w:tcPr>
            <w:tcW w:w="93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Neakredito-vané  programy</w:t>
            </w:r>
          </w:p>
        </w:tc>
        <w:tc>
          <w:tcPr>
            <w:tcW w:w="143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frekventantov</w:t>
            </w:r>
          </w:p>
        </w:tc>
        <w:tc>
          <w:tcPr>
            <w:tcW w:w="12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3 550</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2 841</w:t>
            </w:r>
          </w:p>
        </w:tc>
        <w:tc>
          <w:tcPr>
            <w:tcW w:w="1214"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3 495</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3 175</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3 023</w:t>
            </w:r>
          </w:p>
        </w:tc>
      </w:tr>
      <w:tr w:rsidR="00373435" w:rsidRPr="00EF2265" w:rsidTr="00373435">
        <w:trPr>
          <w:trHeight w:val="792"/>
        </w:trPr>
        <w:tc>
          <w:tcPr>
            <w:tcW w:w="933" w:type="dxa"/>
            <w:vMerge/>
            <w:tcBorders>
              <w:top w:val="nil"/>
              <w:left w:val="single" w:sz="4" w:space="0" w:color="auto"/>
              <w:bottom w:val="single" w:sz="4" w:space="0" w:color="auto"/>
              <w:right w:val="single" w:sz="4" w:space="0" w:color="auto"/>
            </w:tcBorders>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p>
        </w:tc>
        <w:tc>
          <w:tcPr>
            <w:tcW w:w="143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kurzov</w:t>
            </w:r>
          </w:p>
        </w:tc>
        <w:tc>
          <w:tcPr>
            <w:tcW w:w="12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135</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105</w:t>
            </w:r>
          </w:p>
        </w:tc>
        <w:tc>
          <w:tcPr>
            <w:tcW w:w="1214"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114</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95</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104</w:t>
            </w:r>
          </w:p>
        </w:tc>
      </w:tr>
      <w:tr w:rsidR="00373435" w:rsidRPr="00EF2265" w:rsidTr="00373435">
        <w:trPr>
          <w:trHeight w:val="510"/>
        </w:trPr>
        <w:tc>
          <w:tcPr>
            <w:tcW w:w="93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Akredito-vané  programy</w:t>
            </w:r>
          </w:p>
        </w:tc>
        <w:tc>
          <w:tcPr>
            <w:tcW w:w="143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frekventantov</w:t>
            </w:r>
          </w:p>
        </w:tc>
        <w:tc>
          <w:tcPr>
            <w:tcW w:w="12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652</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471</w:t>
            </w:r>
          </w:p>
        </w:tc>
        <w:tc>
          <w:tcPr>
            <w:tcW w:w="1214"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589</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729</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545</w:t>
            </w:r>
          </w:p>
        </w:tc>
      </w:tr>
      <w:tr w:rsidR="00373435" w:rsidRPr="00EF2265" w:rsidTr="00373435">
        <w:trPr>
          <w:trHeight w:val="570"/>
        </w:trPr>
        <w:tc>
          <w:tcPr>
            <w:tcW w:w="933" w:type="dxa"/>
            <w:vMerge/>
            <w:tcBorders>
              <w:top w:val="nil"/>
              <w:left w:val="single" w:sz="4" w:space="0" w:color="auto"/>
              <w:bottom w:val="single" w:sz="4" w:space="0" w:color="auto"/>
              <w:right w:val="single" w:sz="4" w:space="0" w:color="auto"/>
            </w:tcBorders>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p>
        </w:tc>
        <w:tc>
          <w:tcPr>
            <w:tcW w:w="1439" w:type="dxa"/>
            <w:tcBorders>
              <w:top w:val="nil"/>
              <w:left w:val="nil"/>
              <w:bottom w:val="single" w:sz="4" w:space="0" w:color="auto"/>
              <w:right w:val="single" w:sz="4" w:space="0" w:color="auto"/>
            </w:tcBorders>
            <w:shd w:val="clear" w:color="auto" w:fill="auto"/>
            <w:vAlign w:val="center"/>
            <w:hideMark/>
          </w:tcPr>
          <w:p w:rsidR="00373435" w:rsidRPr="00EF2265" w:rsidRDefault="00373435"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kurzov</w:t>
            </w:r>
          </w:p>
        </w:tc>
        <w:tc>
          <w:tcPr>
            <w:tcW w:w="1214" w:type="dxa"/>
            <w:tcBorders>
              <w:top w:val="nil"/>
              <w:left w:val="nil"/>
              <w:bottom w:val="single" w:sz="4" w:space="0" w:color="auto"/>
              <w:right w:val="single" w:sz="4" w:space="0" w:color="auto"/>
            </w:tcBorders>
            <w:shd w:val="clear" w:color="auto" w:fill="auto"/>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35</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40</w:t>
            </w:r>
          </w:p>
        </w:tc>
        <w:tc>
          <w:tcPr>
            <w:tcW w:w="1214"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26</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35</w:t>
            </w:r>
          </w:p>
        </w:tc>
        <w:tc>
          <w:tcPr>
            <w:tcW w:w="1215" w:type="dxa"/>
            <w:tcBorders>
              <w:top w:val="nil"/>
              <w:left w:val="nil"/>
              <w:bottom w:val="single" w:sz="4" w:space="0" w:color="auto"/>
              <w:right w:val="single" w:sz="4" w:space="0" w:color="auto"/>
            </w:tcBorders>
            <w:shd w:val="clear" w:color="000000" w:fill="FFFFFF"/>
            <w:noWrap/>
            <w:vAlign w:val="center"/>
            <w:hideMark/>
          </w:tcPr>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35</w:t>
            </w:r>
          </w:p>
        </w:tc>
      </w:tr>
      <w:tr w:rsidR="00373435" w:rsidRPr="00EF2265" w:rsidTr="00373435">
        <w:trPr>
          <w:trHeight w:val="510"/>
        </w:trPr>
        <w:tc>
          <w:tcPr>
            <w:tcW w:w="933" w:type="dxa"/>
            <w:vMerge w:val="restart"/>
            <w:tcBorders>
              <w:top w:val="nil"/>
              <w:left w:val="single" w:sz="4" w:space="0" w:color="auto"/>
              <w:bottom w:val="single" w:sz="4" w:space="0" w:color="auto"/>
              <w:right w:val="single" w:sz="4" w:space="0" w:color="auto"/>
            </w:tcBorders>
            <w:shd w:val="clear" w:color="auto" w:fill="EEECE1" w:themeFill="background2"/>
            <w:noWrap/>
            <w:textDirection w:val="btLr"/>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1439"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Počet frekventantov</w:t>
            </w:r>
          </w:p>
        </w:tc>
        <w:tc>
          <w:tcPr>
            <w:tcW w:w="1214"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4 202</w:t>
            </w:r>
          </w:p>
        </w:tc>
        <w:tc>
          <w:tcPr>
            <w:tcW w:w="1215"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3 312</w:t>
            </w:r>
          </w:p>
        </w:tc>
        <w:tc>
          <w:tcPr>
            <w:tcW w:w="1214"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4 084</w:t>
            </w:r>
          </w:p>
        </w:tc>
        <w:tc>
          <w:tcPr>
            <w:tcW w:w="1215"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3 904</w:t>
            </w:r>
          </w:p>
        </w:tc>
        <w:tc>
          <w:tcPr>
            <w:tcW w:w="1215"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3 568</w:t>
            </w:r>
          </w:p>
        </w:tc>
      </w:tr>
      <w:tr w:rsidR="00373435" w:rsidRPr="00EF2265" w:rsidTr="00373435">
        <w:trPr>
          <w:trHeight w:val="480"/>
        </w:trPr>
        <w:tc>
          <w:tcPr>
            <w:tcW w:w="933" w:type="dxa"/>
            <w:vMerge/>
            <w:tcBorders>
              <w:top w:val="nil"/>
              <w:left w:val="single" w:sz="4" w:space="0" w:color="auto"/>
              <w:bottom w:val="single" w:sz="4" w:space="0" w:color="auto"/>
              <w:right w:val="single" w:sz="4" w:space="0" w:color="auto"/>
            </w:tcBorders>
            <w:shd w:val="clear" w:color="auto" w:fill="EEECE1" w:themeFill="background2"/>
            <w:vAlign w:val="center"/>
            <w:hideMark/>
          </w:tcPr>
          <w:p w:rsidR="00373435" w:rsidRPr="00EF2265" w:rsidRDefault="00373435" w:rsidP="00E86605">
            <w:pPr>
              <w:tabs>
                <w:tab w:val="left" w:pos="9356"/>
              </w:tabs>
              <w:jc w:val="left"/>
              <w:rPr>
                <w:rFonts w:ascii="Times New Roman" w:eastAsia="Times New Roman" w:hAnsi="Times New Roman"/>
                <w:b/>
                <w:bCs/>
                <w:sz w:val="20"/>
                <w:szCs w:val="20"/>
                <w:lang w:eastAsia="sk-SK"/>
              </w:rPr>
            </w:pPr>
          </w:p>
        </w:tc>
        <w:tc>
          <w:tcPr>
            <w:tcW w:w="1439" w:type="dxa"/>
            <w:tcBorders>
              <w:top w:val="nil"/>
              <w:left w:val="nil"/>
              <w:bottom w:val="single" w:sz="4" w:space="0" w:color="auto"/>
              <w:right w:val="single" w:sz="4" w:space="0" w:color="auto"/>
            </w:tcBorders>
            <w:shd w:val="clear" w:color="auto" w:fill="EEECE1" w:themeFill="background2"/>
            <w:vAlign w:val="center"/>
            <w:hideMark/>
          </w:tcPr>
          <w:p w:rsidR="00373435" w:rsidRPr="00EF2265" w:rsidRDefault="00373435"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Počet kurzov</w:t>
            </w:r>
          </w:p>
        </w:tc>
        <w:tc>
          <w:tcPr>
            <w:tcW w:w="1214"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170</w:t>
            </w:r>
          </w:p>
        </w:tc>
        <w:tc>
          <w:tcPr>
            <w:tcW w:w="1215"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145</w:t>
            </w:r>
          </w:p>
        </w:tc>
        <w:tc>
          <w:tcPr>
            <w:tcW w:w="1214"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140</w:t>
            </w:r>
          </w:p>
        </w:tc>
        <w:tc>
          <w:tcPr>
            <w:tcW w:w="1215"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130</w:t>
            </w:r>
          </w:p>
        </w:tc>
        <w:tc>
          <w:tcPr>
            <w:tcW w:w="1215" w:type="dxa"/>
            <w:tcBorders>
              <w:top w:val="nil"/>
              <w:left w:val="nil"/>
              <w:bottom w:val="single" w:sz="4" w:space="0" w:color="auto"/>
              <w:right w:val="single" w:sz="4" w:space="0" w:color="auto"/>
            </w:tcBorders>
            <w:shd w:val="clear" w:color="auto" w:fill="EEECE1" w:themeFill="background2"/>
            <w:noWrap/>
            <w:vAlign w:val="center"/>
            <w:hideMark/>
          </w:tcPr>
          <w:p w:rsidR="00373435" w:rsidRPr="00EF2265" w:rsidRDefault="00373435" w:rsidP="00E86605">
            <w:pPr>
              <w:jc w:val="left"/>
              <w:rPr>
                <w:rFonts w:ascii="Times New Roman" w:hAnsi="Times New Roman"/>
                <w:b/>
                <w:bCs/>
                <w:sz w:val="20"/>
                <w:szCs w:val="20"/>
              </w:rPr>
            </w:pPr>
            <w:r w:rsidRPr="00EF2265">
              <w:rPr>
                <w:rFonts w:ascii="Times New Roman" w:hAnsi="Times New Roman"/>
                <w:b/>
                <w:bCs/>
                <w:sz w:val="20"/>
                <w:szCs w:val="20"/>
              </w:rPr>
              <w:t>139</w:t>
            </w:r>
          </w:p>
        </w:tc>
      </w:tr>
    </w:tbl>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bookmarkStart w:id="148" w:name="_Ref474780388"/>
      <w:bookmarkStart w:id="149" w:name="_Toc534724806"/>
      <w:r w:rsidRPr="00EF2265">
        <w:rPr>
          <w:rFonts w:ascii="Times New Roman" w:hAnsi="Times New Roman"/>
          <w:sz w:val="20"/>
          <w:szCs w:val="20"/>
        </w:rPr>
        <w:t xml:space="preserve">Graf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Graf_č.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19</w:t>
      </w:r>
      <w:r w:rsidRPr="00EF2265">
        <w:rPr>
          <w:rFonts w:ascii="Times New Roman" w:hAnsi="Times New Roman"/>
          <w:sz w:val="20"/>
          <w:szCs w:val="20"/>
        </w:rPr>
        <w:fldChar w:fldCharType="end"/>
      </w:r>
      <w:bookmarkEnd w:id="148"/>
      <w:r w:rsidRPr="00EF2265">
        <w:rPr>
          <w:rFonts w:ascii="Times New Roman" w:hAnsi="Times New Roman"/>
          <w:sz w:val="20"/>
          <w:szCs w:val="20"/>
        </w:rPr>
        <w:t>: Počet frekventantov vzdelávacích programov ďalšieho vzdelávania za posledných päť akademických rokov</w:t>
      </w:r>
      <w:bookmarkEnd w:id="149"/>
    </w:p>
    <w:p w:rsidR="00373435" w:rsidRPr="00EF2265" w:rsidRDefault="00373435" w:rsidP="00E86605">
      <w:pPr>
        <w:tabs>
          <w:tab w:val="left" w:pos="9356"/>
        </w:tabs>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6724CA65" wp14:editId="097571F1">
            <wp:extent cx="5305245" cy="2622431"/>
            <wp:effectExtent l="0" t="0" r="0" b="698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pStyle w:val="Nadpis2"/>
        <w:numPr>
          <w:ilvl w:val="1"/>
          <w:numId w:val="10"/>
        </w:numPr>
        <w:tabs>
          <w:tab w:val="left" w:pos="9356"/>
        </w:tabs>
        <w:rPr>
          <w:rFonts w:ascii="Times New Roman" w:hAnsi="Times New Roman" w:cs="Times New Roman"/>
          <w:color w:val="auto"/>
          <w:sz w:val="20"/>
          <w:szCs w:val="20"/>
        </w:rPr>
      </w:pPr>
      <w:bookmarkStart w:id="150" w:name="_Toc534722893"/>
      <w:r w:rsidRPr="00EF2265">
        <w:rPr>
          <w:rFonts w:ascii="Times New Roman" w:hAnsi="Times New Roman" w:cs="Times New Roman"/>
          <w:color w:val="auto"/>
          <w:sz w:val="20"/>
          <w:szCs w:val="20"/>
        </w:rPr>
        <w:t>Ďalšie vzdelávanie na jednotlivých súčastiach STU</w:t>
      </w:r>
      <w:bookmarkEnd w:id="150"/>
    </w:p>
    <w:p w:rsidR="00373435" w:rsidRPr="00EF2265" w:rsidRDefault="00373435"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V akademickom roku 2017/2018 prebiehali vzdelávacie programy ďalšieho vzdelávania na všetkých súčastiach STU vrátane ICV. Vzdelávacie programy ďalšieho vzdelávania sú na fakultách rozdelené na akreditované a neakreditované vzdelávacie programy. Vzdelávacie programy sú akreditované Ministerstvom školstva, vedy, výskumu a športu SR a ďalšími subjektmi, ako sú Národný inšpektorát práce na FEI STU, FIBAA TU WIEN na ICV. Spolu sa uskutočnilo v akademickom roku 2017/2018 </w:t>
      </w:r>
      <w:r w:rsidRPr="00EF2265">
        <w:rPr>
          <w:rFonts w:ascii="Times New Roman" w:hAnsi="Times New Roman"/>
          <w:b/>
          <w:sz w:val="20"/>
          <w:szCs w:val="20"/>
        </w:rPr>
        <w:t>35 kurzov akreditovaných vzdelávacích programov</w:t>
      </w:r>
      <w:r w:rsidRPr="00EF2265">
        <w:rPr>
          <w:rFonts w:ascii="Times New Roman" w:hAnsi="Times New Roman"/>
          <w:sz w:val="20"/>
          <w:szCs w:val="20"/>
        </w:rPr>
        <w:t>.</w:t>
      </w:r>
    </w:p>
    <w:p w:rsidR="00373435" w:rsidRPr="00EF2265" w:rsidRDefault="00373435"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Akreditované vzdelávacie programy sú skončené skúškami a absolventi dostávajú osvedčenie o absolvovaní vzdelávacieho programu ďalšieho vzdelávania, ktoré vydáva STU.</w:t>
      </w:r>
    </w:p>
    <w:p w:rsidR="00373435" w:rsidRPr="00EF2265" w:rsidRDefault="00373435"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Väčšie zastúpenie mali </w:t>
      </w:r>
      <w:r w:rsidRPr="00EF2265">
        <w:rPr>
          <w:rFonts w:ascii="Times New Roman" w:hAnsi="Times New Roman"/>
          <w:b/>
          <w:sz w:val="20"/>
          <w:szCs w:val="20"/>
        </w:rPr>
        <w:t>neakreditované vzdelávacie programy</w:t>
      </w:r>
      <w:r w:rsidRPr="00EF2265">
        <w:rPr>
          <w:rFonts w:ascii="Times New Roman" w:hAnsi="Times New Roman"/>
          <w:sz w:val="20"/>
          <w:szCs w:val="20"/>
        </w:rPr>
        <w:t xml:space="preserve">, ktorých sa uskutočnilo </w:t>
      </w:r>
      <w:r w:rsidRPr="00EF2265">
        <w:rPr>
          <w:rFonts w:ascii="Times New Roman" w:hAnsi="Times New Roman"/>
          <w:b/>
          <w:sz w:val="20"/>
          <w:szCs w:val="20"/>
        </w:rPr>
        <w:t>104</w:t>
      </w:r>
      <w:r w:rsidRPr="00EF2265">
        <w:rPr>
          <w:rFonts w:ascii="Times New Roman" w:hAnsi="Times New Roman"/>
          <w:sz w:val="20"/>
          <w:szCs w:val="20"/>
        </w:rPr>
        <w:t>, pričom účastníci väčšinou po skončení programu získali osvedčenie o absolvovaní vydané pracoviskom garantujúcim vzdelávací program.</w:t>
      </w:r>
    </w:p>
    <w:p w:rsidR="00373435" w:rsidRPr="00EF2265" w:rsidRDefault="00373435" w:rsidP="00E86605">
      <w:pPr>
        <w:pStyle w:val="Nzov"/>
        <w:tabs>
          <w:tab w:val="left" w:pos="9356"/>
        </w:tabs>
        <w:spacing w:after="120"/>
        <w:jc w:val="left"/>
        <w:rPr>
          <w:sz w:val="20"/>
        </w:rPr>
      </w:pPr>
      <w:r w:rsidRPr="00EF2265">
        <w:rPr>
          <w:sz w:val="20"/>
        </w:rPr>
        <w:t xml:space="preserve">Mnohé zo vzdelávacích programov ďalšieho vzdelávania na STU boli realizované na základe požiadaviek z praxe (a dlhodobej spolupráce garantujúceho pracoviska s konkrétnym podnikom), čím boli programy často pripravené na mieru - presne podľa požiadaviek zadávateľa. </w:t>
      </w:r>
    </w:p>
    <w:p w:rsidR="00373435" w:rsidRPr="00EF2265" w:rsidRDefault="00373435" w:rsidP="00E86605">
      <w:pPr>
        <w:pStyle w:val="Nzov"/>
        <w:tabs>
          <w:tab w:val="left" w:pos="9356"/>
        </w:tabs>
        <w:jc w:val="left"/>
        <w:rPr>
          <w:rFonts w:eastAsiaTheme="minorEastAsia"/>
          <w:sz w:val="20"/>
          <w:lang w:eastAsia="en-US"/>
        </w:rPr>
      </w:pPr>
      <w:r w:rsidRPr="00EF2265">
        <w:rPr>
          <w:rFonts w:eastAsiaTheme="minorEastAsia"/>
          <w:sz w:val="20"/>
          <w:lang w:eastAsia="en-US"/>
        </w:rPr>
        <w:t xml:space="preserve">Okrem toho fakulty pravidelne organizujú kurzy fyziky, kurzy stredoškolskej matematiky a v prípade FCHPT kurzy chémie. Tieto kurzy sú už každoročne organizované spravidla na začiatku akademického roka a sú určené predovšetkým pre záujemcov z novoprijatých študentov prvých ročníkov na prvom stupni štúdia. Uvedené kurzy </w:t>
      </w:r>
      <w:r w:rsidRPr="00EF2265">
        <w:rPr>
          <w:rFonts w:eastAsiaTheme="minorEastAsia"/>
          <w:sz w:val="20"/>
          <w:lang w:eastAsia="en-US"/>
        </w:rPr>
        <w:lastRenderedPageBreak/>
        <w:t>predstavovali jednu z možností ako študentom pomôcť úspešne zvládnuť (hlavne v prvých rokoch) náročné štúdium na vysokej škole technického zamerania. Na FA sa každoročne konajú kurzy kreslenia a modelovania určené pre verejnosť, pričom fakulta ich organizuje ako jednu z foriem propagácie.</w:t>
      </w:r>
    </w:p>
    <w:p w:rsidR="00373435" w:rsidRPr="00EF2265" w:rsidRDefault="00373435"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Pre zamestnancov STU, študentov, ako i pre verejnosť boli na fakultách ponúkané aj jazykové kurzy. </w:t>
      </w:r>
    </w:p>
    <w:p w:rsidR="00373435" w:rsidRPr="00EF2265" w:rsidRDefault="00373435"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Spokojnosť frekventantov s realizáciou a zabezpečením vzdelávacích programov sa väčšinou zisťovala pomocou anonymných dotazníkov, z ktorých bola zrejmá spokojnosť tak s personálnym zabezpečením, ako aj s materiálnym zabezpečením aktivít celoživotného vzdelávania na STU. </w:t>
      </w:r>
    </w:p>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567"/>
          <w:tab w:val="left" w:pos="9356"/>
        </w:tabs>
        <w:jc w:val="left"/>
        <w:rPr>
          <w:rFonts w:ascii="Times New Roman" w:hAnsi="Times New Roman"/>
          <w:b/>
          <w:sz w:val="20"/>
          <w:szCs w:val="20"/>
        </w:rPr>
      </w:pPr>
      <w:r w:rsidRPr="00EF2265">
        <w:rPr>
          <w:rFonts w:ascii="Times New Roman" w:hAnsi="Times New Roman"/>
          <w:b/>
          <w:sz w:val="20"/>
          <w:szCs w:val="20"/>
        </w:rPr>
        <w:t>Oddelenie technickej pedagogiky (OTP)</w:t>
      </w:r>
    </w:p>
    <w:p w:rsidR="00373435" w:rsidRPr="00EF2265" w:rsidRDefault="00373435" w:rsidP="00E86605">
      <w:pPr>
        <w:tabs>
          <w:tab w:val="left" w:pos="567"/>
          <w:tab w:val="left" w:pos="9356"/>
        </w:tabs>
        <w:jc w:val="left"/>
        <w:rPr>
          <w:rFonts w:ascii="Times New Roman" w:hAnsi="Times New Roman"/>
          <w:b/>
          <w:sz w:val="20"/>
          <w:szCs w:val="20"/>
        </w:rPr>
      </w:pPr>
      <w:r w:rsidRPr="00EF2265">
        <w:rPr>
          <w:rFonts w:ascii="Times New Roman" w:hAnsi="Times New Roman"/>
          <w:sz w:val="20"/>
          <w:szCs w:val="20"/>
        </w:rPr>
        <w:t>Oddelenie technickej pedagogiky (OTP), realizuje</w:t>
      </w:r>
      <w:r w:rsidRPr="00EF2265">
        <w:rPr>
          <w:rFonts w:ascii="Times New Roman" w:hAnsi="Times New Roman"/>
          <w:b/>
          <w:sz w:val="20"/>
          <w:szCs w:val="20"/>
        </w:rPr>
        <w:t xml:space="preserve"> </w:t>
      </w:r>
      <w:r w:rsidRPr="00EF2265">
        <w:rPr>
          <w:rFonts w:ascii="Times New Roman" w:hAnsi="Times New Roman"/>
          <w:sz w:val="20"/>
          <w:szCs w:val="20"/>
        </w:rPr>
        <w:t xml:space="preserve">akreditované vzdelávacie programy doplňujúceho pedagogického štúdia. V akademickom roku 2017/2018 prebiehalo štvorsemestrálne </w:t>
      </w:r>
      <w:r w:rsidRPr="00EF2265">
        <w:rPr>
          <w:rFonts w:ascii="Times New Roman" w:hAnsi="Times New Roman"/>
          <w:b/>
          <w:sz w:val="20"/>
          <w:szCs w:val="20"/>
        </w:rPr>
        <w:t>doplňujúce pedagogické štúdium:</w:t>
      </w:r>
    </w:p>
    <w:p w:rsidR="00373435" w:rsidRPr="00EF2265" w:rsidRDefault="00373435" w:rsidP="00E86605">
      <w:pPr>
        <w:pStyle w:val="Odsekzoznamu"/>
        <w:numPr>
          <w:ilvl w:val="0"/>
          <w:numId w:val="3"/>
        </w:numPr>
        <w:tabs>
          <w:tab w:val="left" w:pos="9356"/>
        </w:tabs>
        <w:spacing w:after="0" w:line="240" w:lineRule="auto"/>
        <w:ind w:left="426" w:hanging="426"/>
        <w:rPr>
          <w:rFonts w:ascii="Times New Roman" w:hAnsi="Times New Roman"/>
          <w:sz w:val="20"/>
          <w:szCs w:val="20"/>
        </w:rPr>
      </w:pPr>
      <w:r w:rsidRPr="00EF2265">
        <w:rPr>
          <w:rFonts w:ascii="Times New Roman" w:hAnsi="Times New Roman"/>
          <w:b/>
          <w:sz w:val="20"/>
          <w:szCs w:val="20"/>
        </w:rPr>
        <w:t>v dennej forme</w:t>
      </w:r>
      <w:r w:rsidRPr="00EF2265">
        <w:rPr>
          <w:rFonts w:ascii="Times New Roman" w:hAnsi="Times New Roman"/>
          <w:sz w:val="20"/>
          <w:szCs w:val="20"/>
        </w:rPr>
        <w:t xml:space="preserve"> pre študentov 2. stupňa vysokoškolského štúdia všetkých fakúlt STU, úspešne skončilo </w:t>
      </w:r>
      <w:r w:rsidRPr="00EF2265">
        <w:rPr>
          <w:rFonts w:ascii="Times New Roman" w:hAnsi="Times New Roman"/>
          <w:b/>
          <w:sz w:val="20"/>
          <w:szCs w:val="20"/>
        </w:rPr>
        <w:t>8 študentov</w:t>
      </w:r>
      <w:r w:rsidRPr="00EF2265">
        <w:rPr>
          <w:rFonts w:ascii="Times New Roman" w:hAnsi="Times New Roman"/>
          <w:sz w:val="20"/>
          <w:szCs w:val="20"/>
        </w:rPr>
        <w:t>,</w:t>
      </w:r>
    </w:p>
    <w:p w:rsidR="00373435" w:rsidRPr="00EF2265" w:rsidRDefault="00373435" w:rsidP="00E86605">
      <w:pPr>
        <w:pStyle w:val="Odsekzoznamu"/>
        <w:numPr>
          <w:ilvl w:val="0"/>
          <w:numId w:val="3"/>
        </w:numPr>
        <w:tabs>
          <w:tab w:val="left" w:pos="9356"/>
        </w:tabs>
        <w:spacing w:after="120" w:line="240" w:lineRule="auto"/>
        <w:ind w:left="425" w:hanging="425"/>
        <w:contextualSpacing w:val="0"/>
        <w:rPr>
          <w:rFonts w:ascii="Times New Roman" w:hAnsi="Times New Roman"/>
          <w:sz w:val="20"/>
          <w:szCs w:val="20"/>
        </w:rPr>
      </w:pPr>
      <w:r w:rsidRPr="00EF2265">
        <w:rPr>
          <w:rFonts w:ascii="Times New Roman" w:hAnsi="Times New Roman"/>
          <w:b/>
          <w:sz w:val="20"/>
          <w:szCs w:val="20"/>
        </w:rPr>
        <w:t>v externej forme</w:t>
      </w:r>
      <w:r w:rsidRPr="00EF2265">
        <w:rPr>
          <w:rFonts w:ascii="Times New Roman" w:hAnsi="Times New Roman"/>
          <w:sz w:val="20"/>
          <w:szCs w:val="20"/>
        </w:rPr>
        <w:t xml:space="preserve"> pre absolventov 2. stupňa vysokoškolského štúdia v technických študijných odboroch, úspešne skončilo </w:t>
      </w:r>
      <w:r w:rsidRPr="00EF2265">
        <w:rPr>
          <w:rFonts w:ascii="Times New Roman" w:hAnsi="Times New Roman"/>
          <w:b/>
          <w:sz w:val="20"/>
          <w:szCs w:val="20"/>
        </w:rPr>
        <w:t>26 študujúcich</w:t>
      </w:r>
      <w:r w:rsidRPr="00EF2265">
        <w:rPr>
          <w:rFonts w:ascii="Times New Roman" w:hAnsi="Times New Roman"/>
          <w:sz w:val="20"/>
          <w:szCs w:val="20"/>
        </w:rPr>
        <w:t>.</w:t>
      </w:r>
    </w:p>
    <w:p w:rsidR="00373435" w:rsidRPr="00EF2265" w:rsidRDefault="00373435" w:rsidP="00E86605">
      <w:pPr>
        <w:spacing w:after="120"/>
        <w:jc w:val="left"/>
        <w:rPr>
          <w:rFonts w:ascii="Times New Roman" w:hAnsi="Times New Roman"/>
          <w:sz w:val="20"/>
          <w:szCs w:val="20"/>
        </w:rPr>
      </w:pPr>
      <w:r w:rsidRPr="00EF2265">
        <w:rPr>
          <w:rFonts w:ascii="Times New Roman" w:hAnsi="Times New Roman"/>
          <w:sz w:val="20"/>
          <w:szCs w:val="20"/>
        </w:rPr>
        <w:t xml:space="preserve">V predchádzajúcom akademickom roku 2016/2017 prebehla reakreditácia vzdelávacích programov doplňujúceho pedagogického štúdia v zmysle zákona č. 317/2009 Z. z. o pedagogických zamestnancoch a odborných zamestnancoch a o zmene a doplnení niektorých zákonov v znení neskorších predpisov. STU tak získala právo poskytovať </w:t>
      </w:r>
      <w:r w:rsidRPr="00EF2265">
        <w:rPr>
          <w:rFonts w:ascii="Times New Roman" w:hAnsi="Times New Roman"/>
          <w:b/>
          <w:sz w:val="20"/>
          <w:szCs w:val="20"/>
        </w:rPr>
        <w:t>doplňujúce pedagogické štúdium na výkon činnosti učiteľa profesijných predmetov</w:t>
      </w:r>
      <w:r w:rsidRPr="00EF2265">
        <w:rPr>
          <w:rFonts w:ascii="Times New Roman" w:hAnsi="Times New Roman"/>
          <w:sz w:val="20"/>
          <w:szCs w:val="20"/>
        </w:rPr>
        <w:t xml:space="preserve"> so zameraním na predmety nadväzujúce na všetky akreditované študijné programy STU (štyri akreditácie v externej forme štúdia a štyri akreditácie v dennej forme štúdia), každé v rozsahu 210 hodín s dobou platnosti akreditácie do 31. 12. 2021.</w:t>
      </w:r>
    </w:p>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tabs>
          <w:tab w:val="left" w:pos="9356"/>
        </w:tabs>
        <w:jc w:val="left"/>
        <w:rPr>
          <w:rFonts w:ascii="Times New Roman" w:hAnsi="Times New Roman"/>
          <w:sz w:val="20"/>
          <w:szCs w:val="20"/>
        </w:rPr>
      </w:pPr>
    </w:p>
    <w:p w:rsidR="00373435" w:rsidRPr="00EF2265" w:rsidRDefault="00373435" w:rsidP="00E86605">
      <w:pPr>
        <w:pStyle w:val="Nadpis2"/>
        <w:numPr>
          <w:ilvl w:val="1"/>
          <w:numId w:val="10"/>
        </w:numPr>
        <w:tabs>
          <w:tab w:val="left" w:pos="9356"/>
        </w:tabs>
        <w:ind w:left="0" w:firstLine="0"/>
        <w:rPr>
          <w:rFonts w:ascii="Times New Roman" w:hAnsi="Times New Roman" w:cs="Times New Roman"/>
          <w:color w:val="auto"/>
          <w:sz w:val="20"/>
          <w:szCs w:val="20"/>
        </w:rPr>
      </w:pPr>
      <w:bookmarkStart w:id="151" w:name="_Aktivity_Inštitútu_celoživotného"/>
      <w:bookmarkStart w:id="152" w:name="_Ref506455393"/>
      <w:bookmarkStart w:id="153" w:name="_Ref506455418"/>
      <w:bookmarkStart w:id="154" w:name="_Ref506455489"/>
      <w:bookmarkStart w:id="155" w:name="_Ref506455528"/>
      <w:bookmarkStart w:id="156" w:name="_Toc534722894"/>
      <w:bookmarkEnd w:id="151"/>
      <w:r w:rsidRPr="00EF2265">
        <w:rPr>
          <w:rFonts w:ascii="Times New Roman" w:hAnsi="Times New Roman" w:cs="Times New Roman"/>
          <w:color w:val="auto"/>
          <w:sz w:val="20"/>
          <w:szCs w:val="20"/>
        </w:rPr>
        <w:t>Aktivity Inštitútu celoživotného vzdelávania STU (ICV)</w:t>
      </w:r>
      <w:bookmarkEnd w:id="152"/>
      <w:bookmarkEnd w:id="153"/>
      <w:bookmarkEnd w:id="154"/>
      <w:bookmarkEnd w:id="155"/>
      <w:bookmarkEnd w:id="156"/>
    </w:p>
    <w:p w:rsidR="00373435" w:rsidRPr="00EF2265" w:rsidRDefault="00373435" w:rsidP="00E86605">
      <w:pPr>
        <w:tabs>
          <w:tab w:val="left" w:pos="567"/>
          <w:tab w:val="left" w:pos="9356"/>
        </w:tabs>
        <w:jc w:val="left"/>
        <w:rPr>
          <w:rFonts w:ascii="Times New Roman" w:hAnsi="Times New Roman"/>
          <w:sz w:val="20"/>
          <w:szCs w:val="20"/>
        </w:rPr>
      </w:pPr>
      <w:r w:rsidRPr="00EF2265">
        <w:rPr>
          <w:rFonts w:ascii="Times New Roman" w:hAnsi="Times New Roman"/>
          <w:sz w:val="20"/>
          <w:szCs w:val="20"/>
        </w:rPr>
        <w:t xml:space="preserve">Inštitút celoživotného vzdelávania STU (ICV) je z hľadiska počtu frekventantov a absolventov jedným z najväčších inštitútov ďalšieho vzdelávania realizovaného vysokou školou na Slovensku. ICV je členom Slovenskej akademickej asociácie pre celoživotné vzdelávanie (SAACV). </w:t>
      </w:r>
    </w:p>
    <w:p w:rsidR="00373435" w:rsidRPr="00EF2265" w:rsidRDefault="00373435" w:rsidP="00E86605">
      <w:pPr>
        <w:tabs>
          <w:tab w:val="left" w:pos="567"/>
          <w:tab w:val="left" w:pos="9356"/>
        </w:tabs>
        <w:jc w:val="left"/>
        <w:rPr>
          <w:rFonts w:ascii="Times New Roman" w:hAnsi="Times New Roman"/>
          <w:sz w:val="20"/>
          <w:szCs w:val="20"/>
        </w:rPr>
      </w:pPr>
      <w:r w:rsidRPr="00EF2265">
        <w:rPr>
          <w:rFonts w:ascii="Times New Roman" w:hAnsi="Times New Roman"/>
          <w:sz w:val="20"/>
          <w:szCs w:val="20"/>
        </w:rPr>
        <w:t>ICV sa skladá z týchto súčastí: Centrum vzdelávania, Jazykové centrum a Univerzita tretieho veku.</w:t>
      </w:r>
    </w:p>
    <w:p w:rsidR="00373435" w:rsidRPr="00EF2265" w:rsidRDefault="00373435" w:rsidP="00E86605">
      <w:pPr>
        <w:jc w:val="left"/>
        <w:rPr>
          <w:rFonts w:ascii="Times New Roman" w:hAnsi="Times New Roman"/>
          <w:b/>
          <w:sz w:val="20"/>
          <w:szCs w:val="20"/>
        </w:rPr>
      </w:pPr>
    </w:p>
    <w:p w:rsidR="00373435" w:rsidRPr="00EF2265" w:rsidRDefault="00373435" w:rsidP="00E86605">
      <w:pPr>
        <w:tabs>
          <w:tab w:val="left" w:pos="709"/>
          <w:tab w:val="left" w:pos="9356"/>
        </w:tabs>
        <w:jc w:val="left"/>
        <w:rPr>
          <w:rFonts w:ascii="Times New Roman" w:hAnsi="Times New Roman"/>
          <w:b/>
          <w:sz w:val="20"/>
          <w:szCs w:val="20"/>
        </w:rPr>
      </w:pPr>
      <w:r w:rsidRPr="00EF2265">
        <w:rPr>
          <w:rFonts w:ascii="Times New Roman" w:hAnsi="Times New Roman"/>
          <w:b/>
          <w:sz w:val="20"/>
          <w:szCs w:val="20"/>
        </w:rPr>
        <w:t>Centrum vzdelávania (CV)</w:t>
      </w:r>
    </w:p>
    <w:p w:rsidR="00373435" w:rsidRPr="00EF2265" w:rsidRDefault="00373435" w:rsidP="00E86605">
      <w:pPr>
        <w:tabs>
          <w:tab w:val="left" w:pos="567"/>
          <w:tab w:val="left" w:pos="9356"/>
        </w:tabs>
        <w:jc w:val="left"/>
        <w:rPr>
          <w:rFonts w:ascii="Times New Roman" w:hAnsi="Times New Roman"/>
          <w:sz w:val="20"/>
          <w:szCs w:val="20"/>
        </w:rPr>
      </w:pPr>
      <w:r w:rsidRPr="00EF2265">
        <w:rPr>
          <w:rFonts w:ascii="Times New Roman" w:hAnsi="Times New Roman"/>
          <w:sz w:val="20"/>
          <w:szCs w:val="20"/>
        </w:rPr>
        <w:t xml:space="preserve">V akademickom roku 2017/2018 CV organizačne zabezpečovalo </w:t>
      </w:r>
      <w:r w:rsidRPr="00EF2265">
        <w:rPr>
          <w:rFonts w:ascii="Times New Roman" w:hAnsi="Times New Roman"/>
          <w:b/>
          <w:sz w:val="20"/>
          <w:szCs w:val="20"/>
        </w:rPr>
        <w:t>akreditované dvojročné kombinované dištančné vzdelávanie Professional MBA Automotive Industry v anglickom jazyku</w:t>
      </w:r>
      <w:r w:rsidRPr="00EF2265">
        <w:rPr>
          <w:rFonts w:ascii="Times New Roman" w:hAnsi="Times New Roman"/>
          <w:sz w:val="20"/>
          <w:szCs w:val="20"/>
        </w:rPr>
        <w:t xml:space="preserve"> podporované e-learningovým prostredím, ktorého študijný program bol v roku 2013 reakreditovaný federáciou FIBAA s platnosťou do roku 2020. Úspešné štúdium bolo pripravené za pomoci už ukončeného projektu cezhraničnej spolupráce Slovenská republika – Rakúsko 2007-2013 s partnermi Auto Cluster Vienna Region a Technische Universität Wien (ďalej len „TU Viedeň“).</w:t>
      </w:r>
    </w:p>
    <w:p w:rsidR="00373435" w:rsidRPr="00EF2265" w:rsidRDefault="00373435" w:rsidP="00E86605">
      <w:pPr>
        <w:tabs>
          <w:tab w:val="left" w:pos="567"/>
          <w:tab w:val="left" w:pos="9356"/>
        </w:tabs>
        <w:jc w:val="left"/>
        <w:rPr>
          <w:rFonts w:ascii="Times New Roman" w:hAnsi="Times New Roman"/>
          <w:sz w:val="20"/>
          <w:szCs w:val="20"/>
        </w:rPr>
      </w:pPr>
      <w:r w:rsidRPr="00EF2265">
        <w:rPr>
          <w:rFonts w:ascii="Times New Roman" w:hAnsi="Times New Roman"/>
          <w:sz w:val="20"/>
          <w:szCs w:val="20"/>
        </w:rPr>
        <w:t>V akademickom roku 2017/2018 predložilo na obhajobu záverečné práce 9 frekventantov, z toho 2 zo Slovenska z ôsmej skupiny (2016 až 2018). V deviatej skupine dvojročného štúdia (2017 až 2019) je 13 frekventantov zo 6 krajín, pričom zo Slovenska sú 2 frekventanti. Desiata skupina má plánovaný začiatok 28. marca 2019. Význam globálneho štúdia je aj v tom, že STU vytvorilo podmienky pre spoluprácu s TU Viedeň na programe, v ktorom pôsobí viacej ako </w:t>
      </w:r>
      <w:r w:rsidRPr="00EF2265">
        <w:rPr>
          <w:rFonts w:ascii="Times New Roman" w:hAnsi="Times New Roman"/>
          <w:b/>
          <w:sz w:val="20"/>
          <w:szCs w:val="20"/>
        </w:rPr>
        <w:t>50 lektorov hlavne z Rakúska a Slovenska a medzi viac ako 130 frekventantmi a absolventmi boli a sú manažéri z významných výrobných i nevýrobných globálnych spoločností 23 štátov Ázie, Európy, Afriky a Ameriky.</w:t>
      </w:r>
      <w:r w:rsidRPr="00EF2265">
        <w:rPr>
          <w:rFonts w:ascii="Times New Roman" w:hAnsi="Times New Roman"/>
          <w:sz w:val="20"/>
          <w:szCs w:val="20"/>
        </w:rPr>
        <w:t xml:space="preserve">  </w:t>
      </w:r>
    </w:p>
    <w:p w:rsidR="00373435" w:rsidRPr="00EF2265" w:rsidRDefault="00373435" w:rsidP="00E86605">
      <w:pPr>
        <w:tabs>
          <w:tab w:val="left" w:pos="567"/>
          <w:tab w:val="left" w:pos="9356"/>
        </w:tabs>
        <w:jc w:val="left"/>
        <w:rPr>
          <w:rFonts w:ascii="Times New Roman" w:hAnsi="Times New Roman"/>
          <w:sz w:val="20"/>
          <w:szCs w:val="20"/>
        </w:rPr>
      </w:pPr>
    </w:p>
    <w:p w:rsidR="00373435" w:rsidRPr="00EF2265" w:rsidRDefault="00373435" w:rsidP="00E86605">
      <w:pPr>
        <w:tabs>
          <w:tab w:val="left" w:pos="567"/>
          <w:tab w:val="left" w:pos="9356"/>
        </w:tabs>
        <w:jc w:val="left"/>
        <w:rPr>
          <w:rFonts w:ascii="Times New Roman" w:hAnsi="Times New Roman"/>
          <w:b/>
          <w:sz w:val="20"/>
          <w:szCs w:val="20"/>
        </w:rPr>
      </w:pPr>
      <w:r w:rsidRPr="00EF2265">
        <w:rPr>
          <w:rFonts w:ascii="Times New Roman" w:hAnsi="Times New Roman"/>
          <w:sz w:val="20"/>
          <w:szCs w:val="20"/>
        </w:rPr>
        <w:t>V septembri a októbri 2018 CV uskutočnilo vzdelávací program Ekonomické, štatistické a finančné analýzy, ktorého rozsah bol 6 týždňov (6 hod./ týždenne) s účasťou 6 frekventantov. Vyhodnotenie kurzu ukázalo, že spojenie ekonomických a štatistických metód je aktuálna oblasť, v ktorej má STU perspektívu ďalších záujemcov aj v nasledujúcom období.</w:t>
      </w:r>
      <w:r w:rsidRPr="00EF2265">
        <w:rPr>
          <w:rFonts w:ascii="Times New Roman" w:hAnsi="Times New Roman"/>
          <w:b/>
          <w:sz w:val="20"/>
          <w:szCs w:val="20"/>
        </w:rPr>
        <w:t xml:space="preserve"> </w:t>
      </w:r>
    </w:p>
    <w:p w:rsidR="00373435" w:rsidRPr="00EF2265" w:rsidRDefault="00373435" w:rsidP="00E86605">
      <w:pPr>
        <w:tabs>
          <w:tab w:val="left" w:pos="567"/>
          <w:tab w:val="left" w:pos="9356"/>
        </w:tabs>
        <w:jc w:val="left"/>
        <w:rPr>
          <w:rFonts w:ascii="Times New Roman" w:hAnsi="Times New Roman"/>
          <w:b/>
          <w:sz w:val="20"/>
          <w:szCs w:val="20"/>
        </w:rPr>
      </w:pPr>
    </w:p>
    <w:p w:rsidR="00373435" w:rsidRPr="00EF2265" w:rsidRDefault="00373435" w:rsidP="00E86605">
      <w:pPr>
        <w:tabs>
          <w:tab w:val="left" w:pos="709"/>
          <w:tab w:val="left" w:pos="9356"/>
        </w:tabs>
        <w:jc w:val="left"/>
        <w:rPr>
          <w:rFonts w:ascii="Times New Roman" w:hAnsi="Times New Roman"/>
          <w:b/>
          <w:sz w:val="20"/>
          <w:szCs w:val="20"/>
        </w:rPr>
      </w:pPr>
      <w:r w:rsidRPr="00EF2265">
        <w:rPr>
          <w:rFonts w:ascii="Times New Roman" w:hAnsi="Times New Roman"/>
          <w:b/>
          <w:sz w:val="20"/>
          <w:szCs w:val="20"/>
        </w:rPr>
        <w:t>Jazykové centrum (JC)</w:t>
      </w:r>
    </w:p>
    <w:p w:rsidR="00373435" w:rsidRPr="00EF2265" w:rsidRDefault="00373435"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akademickom roku 2017/2018 organizovalo JC kurzy angličtiny, nemčiny a španielčiny na úrovni začiatočníci až pokročilí. Kurzy prebiehali v rozsahu 2 x 2 h za týždeň. Výhodná poloha JC v renovovaných priestoroch budovy Rektorátu STU ponúka jazykové kurzy na základe dopytu hlavne študentov STU, ale vychádza v ústrety aj zahraničným študentom, či zamestnancom STU aj mimo STU. </w:t>
      </w:r>
    </w:p>
    <w:p w:rsidR="00373435" w:rsidRPr="00EF2265" w:rsidRDefault="00373435"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lastRenderedPageBreak/>
        <w:t xml:space="preserve">JC organizovalo v anglickom jazyku </w:t>
      </w:r>
      <w:r w:rsidRPr="00EF2265">
        <w:rPr>
          <w:rFonts w:ascii="Times New Roman" w:hAnsi="Times New Roman"/>
          <w:b/>
          <w:sz w:val="20"/>
          <w:szCs w:val="20"/>
        </w:rPr>
        <w:t>1 kurz / Modul Intenzívny slovenský jazyk</w:t>
      </w:r>
      <w:r w:rsidRPr="00EF2265">
        <w:rPr>
          <w:rFonts w:ascii="Times New Roman" w:hAnsi="Times New Roman"/>
          <w:sz w:val="20"/>
          <w:szCs w:val="20"/>
        </w:rPr>
        <w:t xml:space="preserve"> pre zahraničných študentov (v rozsahu 640 hodín). Absolventi tohto kurzu môžu byť po splnení podmienok prijímacieho konania prijatí na štúdium študijných programov uskutočňovaných v štátnom jazyku na STU.</w:t>
      </w:r>
    </w:p>
    <w:p w:rsidR="00373435" w:rsidRPr="00EF2265" w:rsidRDefault="00373435"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Okrem toho JC ponúka prípravné kurzy/moduly realizované v anglickom a v slovenskom jazyku pre záujemcov o štúdium technického zamerania, študentov prvých ročníkov, ako aj zahraničných študentov. Cieľom je pripraviť študentov na úspešné zvládnutie štúdia technických študijných programov. </w:t>
      </w:r>
    </w:p>
    <w:p w:rsidR="00373435" w:rsidRPr="00EF2265" w:rsidRDefault="00373435" w:rsidP="00E86605">
      <w:pPr>
        <w:tabs>
          <w:tab w:val="left" w:pos="9356"/>
        </w:tabs>
        <w:jc w:val="left"/>
        <w:rPr>
          <w:rFonts w:ascii="Times New Roman" w:hAnsi="Times New Roman"/>
          <w:sz w:val="20"/>
          <w:szCs w:val="20"/>
          <w:u w:val="single"/>
        </w:rPr>
      </w:pPr>
      <w:r w:rsidRPr="00EF2265">
        <w:rPr>
          <w:rFonts w:ascii="Times New Roman" w:hAnsi="Times New Roman"/>
          <w:sz w:val="20"/>
          <w:szCs w:val="20"/>
          <w:u w:val="single"/>
        </w:rPr>
        <w:t>Sú to nasledovné kurzy/moduly:</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Modul MATEMATIKA I</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Modul MATEMATIKA II</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Modul FYZIKA I</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Modul FYZIKA II</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Modul CHÉMIA</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 xml:space="preserve">Modul ZÁKLADY PRÁCE PC </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Modul STATIKA</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Modul PRUŽNOSŤ</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Modul INFORMATIKA</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Modul ENVIRONMENTÁLNE INŽINIERSTVO</w:t>
      </w:r>
    </w:p>
    <w:p w:rsidR="00373435" w:rsidRPr="00EF2265" w:rsidRDefault="00373435" w:rsidP="00E86605">
      <w:pPr>
        <w:pStyle w:val="Odsekzoznamu"/>
        <w:numPr>
          <w:ilvl w:val="0"/>
          <w:numId w:val="5"/>
        </w:numPr>
        <w:tabs>
          <w:tab w:val="left" w:pos="9356"/>
        </w:tabs>
        <w:ind w:left="426" w:hanging="426"/>
        <w:rPr>
          <w:rFonts w:ascii="Times New Roman" w:hAnsi="Times New Roman"/>
          <w:sz w:val="20"/>
          <w:szCs w:val="20"/>
        </w:rPr>
      </w:pPr>
      <w:r w:rsidRPr="00EF2265">
        <w:rPr>
          <w:rFonts w:ascii="Times New Roman" w:hAnsi="Times New Roman"/>
          <w:sz w:val="20"/>
          <w:szCs w:val="20"/>
        </w:rPr>
        <w:t>Modul GEOLÓGIA</w:t>
      </w:r>
    </w:p>
    <w:p w:rsidR="00373435" w:rsidRPr="00EF2265" w:rsidRDefault="00373435" w:rsidP="00E86605">
      <w:pPr>
        <w:jc w:val="left"/>
        <w:rPr>
          <w:rFonts w:ascii="Times New Roman" w:hAnsi="Times New Roman"/>
          <w:sz w:val="20"/>
          <w:szCs w:val="20"/>
        </w:rPr>
      </w:pPr>
    </w:p>
    <w:p w:rsidR="00373435" w:rsidRPr="00EF2265" w:rsidRDefault="00373435" w:rsidP="00E86605">
      <w:pPr>
        <w:tabs>
          <w:tab w:val="left" w:pos="567"/>
          <w:tab w:val="left" w:pos="709"/>
          <w:tab w:val="left" w:pos="9356"/>
        </w:tabs>
        <w:jc w:val="left"/>
        <w:rPr>
          <w:rFonts w:ascii="Times New Roman" w:hAnsi="Times New Roman"/>
          <w:b/>
          <w:sz w:val="20"/>
          <w:szCs w:val="20"/>
        </w:rPr>
      </w:pPr>
      <w:r w:rsidRPr="00EF2265">
        <w:rPr>
          <w:rFonts w:ascii="Times New Roman" w:hAnsi="Times New Roman"/>
          <w:b/>
          <w:bCs/>
          <w:sz w:val="20"/>
          <w:szCs w:val="20"/>
        </w:rPr>
        <w:t>Univerzita tretieho veku (UTV)</w:t>
      </w:r>
    </w:p>
    <w:p w:rsidR="00373435" w:rsidRPr="00EF2265" w:rsidRDefault="00373435" w:rsidP="00E86605">
      <w:pPr>
        <w:jc w:val="left"/>
        <w:rPr>
          <w:rFonts w:ascii="Times New Roman" w:hAnsi="Times New Roman"/>
          <w:snapToGrid w:val="0"/>
          <w:sz w:val="20"/>
          <w:szCs w:val="20"/>
        </w:rPr>
      </w:pPr>
      <w:r w:rsidRPr="00EF2265">
        <w:rPr>
          <w:rFonts w:ascii="Times New Roman" w:hAnsi="Times New Roman"/>
          <w:snapToGrid w:val="0"/>
          <w:sz w:val="20"/>
          <w:szCs w:val="20"/>
        </w:rPr>
        <w:t xml:space="preserve">Vzdelávacie aktivity UTV boli aj v akademickom roku 2017/2018 realizované podľa harmonogramu zverejneného v Študijnom programe UTV. Už tradične bol zahájený 1. všeobecný (motivačný) ročník </w:t>
      </w:r>
      <w:r w:rsidRPr="00EF2265">
        <w:rPr>
          <w:rFonts w:ascii="Times New Roman" w:hAnsi="Times New Roman"/>
          <w:b/>
          <w:snapToGrid w:val="0"/>
          <w:sz w:val="20"/>
          <w:szCs w:val="20"/>
        </w:rPr>
        <w:t>imatrikuláciou nových frekventantov</w:t>
      </w:r>
      <w:r w:rsidRPr="00EF2265">
        <w:rPr>
          <w:rFonts w:ascii="Times New Roman" w:hAnsi="Times New Roman"/>
          <w:snapToGrid w:val="0"/>
          <w:sz w:val="20"/>
          <w:szCs w:val="20"/>
        </w:rPr>
        <w:t xml:space="preserve">, ktorá sa konala </w:t>
      </w:r>
      <w:r w:rsidRPr="00EF2265">
        <w:rPr>
          <w:rFonts w:ascii="Times New Roman" w:hAnsi="Times New Roman"/>
          <w:b/>
          <w:snapToGrid w:val="0"/>
          <w:sz w:val="20"/>
          <w:szCs w:val="20"/>
        </w:rPr>
        <w:t>6. 10. 2017</w:t>
      </w:r>
      <w:r w:rsidRPr="00EF2265">
        <w:rPr>
          <w:rFonts w:ascii="Times New Roman" w:hAnsi="Times New Roman"/>
          <w:snapToGrid w:val="0"/>
          <w:sz w:val="20"/>
          <w:szCs w:val="20"/>
        </w:rPr>
        <w:t xml:space="preserve">. </w:t>
      </w:r>
    </w:p>
    <w:p w:rsidR="00373435" w:rsidRPr="00EF2265" w:rsidRDefault="00373435" w:rsidP="00E86605">
      <w:pPr>
        <w:jc w:val="left"/>
        <w:rPr>
          <w:rFonts w:ascii="Times New Roman" w:hAnsi="Times New Roman"/>
          <w:snapToGrid w:val="0"/>
          <w:sz w:val="20"/>
          <w:szCs w:val="20"/>
        </w:rPr>
      </w:pPr>
      <w:r w:rsidRPr="00EF2265">
        <w:rPr>
          <w:rFonts w:ascii="Times New Roman" w:hAnsi="Times New Roman"/>
          <w:snapToGrid w:val="0"/>
          <w:sz w:val="20"/>
          <w:szCs w:val="20"/>
        </w:rPr>
        <w:t>O štúdium vo</w:t>
      </w:r>
      <w:r w:rsidRPr="00EF2265">
        <w:rPr>
          <w:rFonts w:ascii="Times New Roman" w:hAnsi="Times New Roman"/>
          <w:b/>
          <w:snapToGrid w:val="0"/>
          <w:sz w:val="20"/>
          <w:szCs w:val="20"/>
        </w:rPr>
        <w:t xml:space="preserve"> všeobecnom ročníku</w:t>
      </w:r>
      <w:r w:rsidRPr="00EF2265">
        <w:rPr>
          <w:rFonts w:ascii="Times New Roman" w:hAnsi="Times New Roman"/>
          <w:snapToGrid w:val="0"/>
          <w:sz w:val="20"/>
          <w:szCs w:val="20"/>
        </w:rPr>
        <w:t xml:space="preserve"> a v ďalších </w:t>
      </w:r>
      <w:r w:rsidRPr="00EF2265">
        <w:rPr>
          <w:rFonts w:ascii="Times New Roman" w:hAnsi="Times New Roman"/>
          <w:b/>
          <w:snapToGrid w:val="0"/>
          <w:sz w:val="20"/>
          <w:szCs w:val="20"/>
        </w:rPr>
        <w:t>41 skupinách vzdelávacích programov</w:t>
      </w:r>
      <w:r w:rsidRPr="00EF2265">
        <w:rPr>
          <w:rFonts w:ascii="Times New Roman" w:hAnsi="Times New Roman"/>
          <w:snapToGrid w:val="0"/>
          <w:sz w:val="20"/>
          <w:szCs w:val="20"/>
        </w:rPr>
        <w:t xml:space="preserve"> sa v akademickom roku 2017/2018 uchádzalo spolu </w:t>
      </w:r>
      <w:r w:rsidRPr="00EF2265">
        <w:rPr>
          <w:rFonts w:ascii="Times New Roman" w:hAnsi="Times New Roman"/>
          <w:b/>
          <w:snapToGrid w:val="0"/>
          <w:sz w:val="20"/>
          <w:szCs w:val="20"/>
        </w:rPr>
        <w:t xml:space="preserve">997 </w:t>
      </w:r>
      <w:r w:rsidRPr="00EF2265">
        <w:rPr>
          <w:rFonts w:ascii="Times New Roman" w:hAnsi="Times New Roman"/>
          <w:snapToGrid w:val="0"/>
          <w:sz w:val="20"/>
          <w:szCs w:val="20"/>
        </w:rPr>
        <w:t>prihlásených záujemcov, z toho</w:t>
      </w:r>
      <w:r w:rsidRPr="00EF2265">
        <w:rPr>
          <w:rFonts w:ascii="Times New Roman" w:hAnsi="Times New Roman"/>
          <w:b/>
          <w:snapToGrid w:val="0"/>
          <w:sz w:val="20"/>
          <w:szCs w:val="20"/>
        </w:rPr>
        <w:t xml:space="preserve"> 108 </w:t>
      </w:r>
      <w:r w:rsidRPr="00EF2265">
        <w:rPr>
          <w:rFonts w:ascii="Times New Roman" w:hAnsi="Times New Roman"/>
          <w:snapToGrid w:val="0"/>
          <w:sz w:val="20"/>
          <w:szCs w:val="20"/>
        </w:rPr>
        <w:t>vo všeobecnom ročníku,</w:t>
      </w:r>
      <w:r w:rsidRPr="00EF2265">
        <w:rPr>
          <w:rFonts w:ascii="Times New Roman" w:hAnsi="Times New Roman"/>
          <w:b/>
          <w:snapToGrid w:val="0"/>
          <w:sz w:val="20"/>
          <w:szCs w:val="20"/>
        </w:rPr>
        <w:t xml:space="preserve"> 419 </w:t>
      </w:r>
      <w:r w:rsidRPr="00EF2265">
        <w:rPr>
          <w:rFonts w:ascii="Times New Roman" w:hAnsi="Times New Roman"/>
          <w:snapToGrid w:val="0"/>
          <w:sz w:val="20"/>
          <w:szCs w:val="20"/>
        </w:rPr>
        <w:t>v 1. ročníku vzdelávacích programov,</w:t>
      </w:r>
      <w:r w:rsidRPr="00EF2265">
        <w:rPr>
          <w:rFonts w:ascii="Times New Roman" w:hAnsi="Times New Roman"/>
          <w:b/>
          <w:snapToGrid w:val="0"/>
          <w:sz w:val="20"/>
          <w:szCs w:val="20"/>
        </w:rPr>
        <w:t xml:space="preserve"> 339 </w:t>
      </w:r>
      <w:r w:rsidRPr="00EF2265">
        <w:rPr>
          <w:rFonts w:ascii="Times New Roman" w:hAnsi="Times New Roman"/>
          <w:snapToGrid w:val="0"/>
          <w:sz w:val="20"/>
          <w:szCs w:val="20"/>
        </w:rPr>
        <w:t>v 2. ročníku vzdelávacích programov a </w:t>
      </w:r>
      <w:r w:rsidRPr="00EF2265">
        <w:rPr>
          <w:rFonts w:ascii="Times New Roman" w:hAnsi="Times New Roman"/>
          <w:b/>
          <w:snapToGrid w:val="0"/>
          <w:sz w:val="20"/>
          <w:szCs w:val="20"/>
        </w:rPr>
        <w:t xml:space="preserve">131 </w:t>
      </w:r>
      <w:r w:rsidRPr="00EF2265">
        <w:rPr>
          <w:rFonts w:ascii="Times New Roman" w:hAnsi="Times New Roman"/>
          <w:snapToGrid w:val="0"/>
          <w:sz w:val="20"/>
          <w:szCs w:val="20"/>
        </w:rPr>
        <w:t xml:space="preserve">v 3. ročníku vzdelávacích programov. Možno teda konštatovať, že záujem o túto formu vzdelávania sa oproti minulému roku </w:t>
      </w:r>
      <w:r w:rsidRPr="00EF2265">
        <w:rPr>
          <w:rFonts w:ascii="Times New Roman" w:hAnsi="Times New Roman"/>
          <w:b/>
          <w:snapToGrid w:val="0"/>
          <w:sz w:val="20"/>
          <w:szCs w:val="20"/>
        </w:rPr>
        <w:t>zvýšil o 40</w:t>
      </w:r>
      <w:r w:rsidRPr="00EF2265">
        <w:rPr>
          <w:rFonts w:ascii="Times New Roman" w:hAnsi="Times New Roman"/>
          <w:snapToGrid w:val="0"/>
          <w:sz w:val="20"/>
          <w:szCs w:val="20"/>
        </w:rPr>
        <w:t xml:space="preserve"> prihlásených záujemcov.</w:t>
      </w:r>
    </w:p>
    <w:p w:rsidR="00373435" w:rsidRPr="00EF2265" w:rsidRDefault="00373435" w:rsidP="00E86605">
      <w:pPr>
        <w:jc w:val="left"/>
        <w:rPr>
          <w:rFonts w:ascii="Times New Roman" w:hAnsi="Times New Roman"/>
          <w:snapToGrid w:val="0"/>
          <w:sz w:val="20"/>
          <w:szCs w:val="20"/>
        </w:rPr>
      </w:pPr>
      <w:r w:rsidRPr="00EF2265">
        <w:rPr>
          <w:rFonts w:ascii="Times New Roman" w:hAnsi="Times New Roman"/>
          <w:snapToGrid w:val="0"/>
          <w:sz w:val="20"/>
          <w:szCs w:val="20"/>
        </w:rPr>
        <w:t xml:space="preserve">Ponuka </w:t>
      </w:r>
      <w:r w:rsidRPr="00EF2265">
        <w:rPr>
          <w:rFonts w:ascii="Times New Roman" w:hAnsi="Times New Roman"/>
          <w:sz w:val="20"/>
          <w:szCs w:val="20"/>
        </w:rPr>
        <w:t>vzdelávacích</w:t>
      </w:r>
      <w:r w:rsidRPr="00EF2265">
        <w:rPr>
          <w:rFonts w:ascii="Times New Roman" w:hAnsi="Times New Roman"/>
          <w:snapToGrid w:val="0"/>
          <w:sz w:val="20"/>
          <w:szCs w:val="20"/>
        </w:rPr>
        <w:t xml:space="preserve"> programov na UTV bola v akademickom roku 2017</w:t>
      </w:r>
      <w:r w:rsidRPr="00EF2265">
        <w:rPr>
          <w:rFonts w:ascii="Times New Roman" w:hAnsi="Times New Roman"/>
          <w:bCs/>
          <w:sz w:val="20"/>
          <w:szCs w:val="20"/>
        </w:rPr>
        <w:t>/</w:t>
      </w:r>
      <w:r w:rsidRPr="00EF2265">
        <w:rPr>
          <w:rFonts w:ascii="Times New Roman" w:hAnsi="Times New Roman"/>
          <w:snapToGrid w:val="0"/>
          <w:sz w:val="20"/>
          <w:szCs w:val="20"/>
        </w:rPr>
        <w:t>2018 rozšírená o jeden</w:t>
      </w:r>
      <w:r w:rsidRPr="00EF2265">
        <w:rPr>
          <w:rFonts w:ascii="Times New Roman" w:hAnsi="Times New Roman"/>
          <w:b/>
          <w:snapToGrid w:val="0"/>
          <w:sz w:val="20"/>
          <w:szCs w:val="20"/>
        </w:rPr>
        <w:t xml:space="preserve"> nový </w:t>
      </w:r>
      <w:r w:rsidRPr="00EF2265">
        <w:rPr>
          <w:rFonts w:ascii="Times New Roman" w:hAnsi="Times New Roman"/>
          <w:snapToGrid w:val="0"/>
          <w:sz w:val="20"/>
          <w:szCs w:val="20"/>
        </w:rPr>
        <w:t>vzdelávací program:</w:t>
      </w:r>
    </w:p>
    <w:p w:rsidR="00373435" w:rsidRPr="00EF2265" w:rsidRDefault="00373435" w:rsidP="00E86605">
      <w:pPr>
        <w:pStyle w:val="Odsekzoznamu"/>
        <w:numPr>
          <w:ilvl w:val="0"/>
          <w:numId w:val="4"/>
        </w:numPr>
        <w:spacing w:after="0" w:line="240" w:lineRule="auto"/>
        <w:ind w:left="426" w:hanging="426"/>
        <w:rPr>
          <w:rFonts w:ascii="Times New Roman" w:hAnsi="Times New Roman"/>
          <w:snapToGrid w:val="0"/>
          <w:sz w:val="20"/>
          <w:szCs w:val="20"/>
        </w:rPr>
      </w:pPr>
      <w:r w:rsidRPr="00EF2265">
        <w:rPr>
          <w:rFonts w:ascii="Times New Roman" w:hAnsi="Times New Roman"/>
          <w:snapToGrid w:val="0"/>
          <w:sz w:val="20"/>
          <w:szCs w:val="20"/>
        </w:rPr>
        <w:t>Architektúra a zeleň záhrady</w:t>
      </w:r>
    </w:p>
    <w:p w:rsidR="00373435" w:rsidRPr="00EF2265" w:rsidRDefault="00373435" w:rsidP="00E86605">
      <w:pPr>
        <w:jc w:val="left"/>
        <w:rPr>
          <w:rFonts w:ascii="Times New Roman" w:hAnsi="Times New Roman"/>
          <w:snapToGrid w:val="0"/>
          <w:sz w:val="20"/>
          <w:szCs w:val="20"/>
        </w:rPr>
      </w:pPr>
      <w:r w:rsidRPr="00EF2265">
        <w:rPr>
          <w:rFonts w:ascii="Times New Roman" w:hAnsi="Times New Roman"/>
          <w:snapToGrid w:val="0"/>
          <w:sz w:val="20"/>
          <w:szCs w:val="20"/>
        </w:rPr>
        <w:t>Okrem toho boli tri vzdelávacie programy rozšírené o druhé ročníky:</w:t>
      </w:r>
    </w:p>
    <w:p w:rsidR="00373435" w:rsidRPr="00EF2265" w:rsidRDefault="00373435" w:rsidP="00E86605">
      <w:pPr>
        <w:pStyle w:val="Odsekzoznamu"/>
        <w:numPr>
          <w:ilvl w:val="0"/>
          <w:numId w:val="4"/>
        </w:numPr>
        <w:spacing w:after="0" w:line="240" w:lineRule="auto"/>
        <w:ind w:left="426" w:hanging="426"/>
        <w:rPr>
          <w:rFonts w:ascii="Times New Roman" w:hAnsi="Times New Roman"/>
          <w:snapToGrid w:val="0"/>
          <w:sz w:val="20"/>
          <w:szCs w:val="20"/>
        </w:rPr>
      </w:pPr>
      <w:r w:rsidRPr="00EF2265">
        <w:rPr>
          <w:rFonts w:ascii="Times New Roman" w:hAnsi="Times New Roman"/>
          <w:snapToGrid w:val="0"/>
          <w:sz w:val="20"/>
          <w:szCs w:val="20"/>
        </w:rPr>
        <w:t>Podpora zdravia a vitality prírodou</w:t>
      </w:r>
    </w:p>
    <w:p w:rsidR="00373435" w:rsidRPr="00EF2265" w:rsidRDefault="00373435" w:rsidP="00E86605">
      <w:pPr>
        <w:pStyle w:val="Odsekzoznamu"/>
        <w:numPr>
          <w:ilvl w:val="0"/>
          <w:numId w:val="4"/>
        </w:numPr>
        <w:spacing w:after="0" w:line="240" w:lineRule="auto"/>
        <w:ind w:left="426" w:hanging="426"/>
        <w:rPr>
          <w:rFonts w:ascii="Times New Roman" w:hAnsi="Times New Roman"/>
          <w:snapToGrid w:val="0"/>
          <w:sz w:val="20"/>
          <w:szCs w:val="20"/>
        </w:rPr>
      </w:pPr>
      <w:r w:rsidRPr="00EF2265">
        <w:rPr>
          <w:rFonts w:ascii="Times New Roman" w:hAnsi="Times New Roman"/>
          <w:snapToGrid w:val="0"/>
          <w:sz w:val="20"/>
          <w:szCs w:val="20"/>
        </w:rPr>
        <w:t>Od koča po auto</w:t>
      </w:r>
    </w:p>
    <w:p w:rsidR="00373435" w:rsidRPr="00EF2265" w:rsidRDefault="00373435" w:rsidP="00E86605">
      <w:pPr>
        <w:pStyle w:val="Odsekzoznamu"/>
        <w:numPr>
          <w:ilvl w:val="0"/>
          <w:numId w:val="4"/>
        </w:numPr>
        <w:spacing w:after="0" w:line="240" w:lineRule="auto"/>
        <w:ind w:left="426" w:hanging="426"/>
        <w:rPr>
          <w:rFonts w:ascii="Times New Roman" w:hAnsi="Times New Roman"/>
          <w:snapToGrid w:val="0"/>
          <w:sz w:val="20"/>
          <w:szCs w:val="20"/>
        </w:rPr>
      </w:pPr>
      <w:r w:rsidRPr="00EF2265">
        <w:rPr>
          <w:rFonts w:ascii="Times New Roman" w:hAnsi="Times New Roman"/>
          <w:snapToGrid w:val="0"/>
          <w:sz w:val="20"/>
          <w:szCs w:val="20"/>
        </w:rPr>
        <w:t>Práca s OS Android</w:t>
      </w:r>
    </w:p>
    <w:p w:rsidR="00373435" w:rsidRPr="00EF2265" w:rsidRDefault="00373435" w:rsidP="00E86605">
      <w:pPr>
        <w:spacing w:after="120"/>
        <w:jc w:val="left"/>
        <w:rPr>
          <w:rFonts w:ascii="Times New Roman" w:hAnsi="Times New Roman"/>
          <w:snapToGrid w:val="0"/>
          <w:sz w:val="20"/>
          <w:szCs w:val="20"/>
        </w:rPr>
      </w:pPr>
      <w:r w:rsidRPr="00EF2265">
        <w:rPr>
          <w:rFonts w:ascii="Times New Roman" w:hAnsi="Times New Roman"/>
          <w:snapToGrid w:val="0"/>
          <w:sz w:val="20"/>
          <w:szCs w:val="20"/>
        </w:rPr>
        <w:t xml:space="preserve">Pre vzdelávací program </w:t>
      </w:r>
      <w:r w:rsidRPr="00EF2265">
        <w:rPr>
          <w:rFonts w:ascii="Times New Roman" w:hAnsi="Times New Roman"/>
          <w:b/>
          <w:snapToGrid w:val="0"/>
          <w:sz w:val="20"/>
          <w:szCs w:val="20"/>
        </w:rPr>
        <w:t xml:space="preserve">Kreslenie a maľovanie </w:t>
      </w:r>
      <w:r w:rsidRPr="00EF2265">
        <w:rPr>
          <w:rFonts w:ascii="Times New Roman" w:hAnsi="Times New Roman"/>
          <w:snapToGrid w:val="0"/>
          <w:sz w:val="20"/>
          <w:szCs w:val="20"/>
        </w:rPr>
        <w:t>bol pripravený a zrealizovaný aj tretí ročník.</w:t>
      </w:r>
    </w:p>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 xml:space="preserve">Aj v  akademickom roku 2017/2018 sa vzdelávacie programy realizovali formou prednášok spojených s diskusiou (vo všeobecnom ročníku a v sedemnástich vzdelávacích programoch) a v prípade IKT vzdelávacích programov praktickou výučbou, ktorá bola doplnená konzultáciami. </w:t>
      </w:r>
    </w:p>
    <w:p w:rsidR="00373435" w:rsidRPr="00EF2265" w:rsidRDefault="00373435" w:rsidP="00E86605">
      <w:pPr>
        <w:spacing w:after="120"/>
        <w:jc w:val="left"/>
        <w:rPr>
          <w:rFonts w:ascii="Times New Roman" w:hAnsi="Times New Roman"/>
          <w:sz w:val="20"/>
          <w:szCs w:val="20"/>
        </w:rPr>
      </w:pPr>
      <w:r w:rsidRPr="00EF2265">
        <w:rPr>
          <w:rFonts w:ascii="Times New Roman" w:hAnsi="Times New Roman"/>
          <w:sz w:val="20"/>
          <w:szCs w:val="20"/>
        </w:rPr>
        <w:t>Rozsah realizovaných vzdelávacích aktivít sa vďaka vyššie uvedeným zmenám zvýšil celkovo na </w:t>
      </w:r>
      <w:r w:rsidRPr="00EF2265">
        <w:rPr>
          <w:rFonts w:ascii="Times New Roman" w:hAnsi="Times New Roman"/>
          <w:b/>
          <w:sz w:val="20"/>
          <w:szCs w:val="20"/>
        </w:rPr>
        <w:t>1 190 hodín</w:t>
      </w:r>
      <w:r w:rsidRPr="00EF2265">
        <w:rPr>
          <w:rFonts w:ascii="Times New Roman" w:hAnsi="Times New Roman"/>
          <w:sz w:val="20"/>
          <w:szCs w:val="20"/>
        </w:rPr>
        <w:t xml:space="preserve">, pričom bolo zaangažovaných vo výučbe </w:t>
      </w:r>
      <w:r w:rsidRPr="00EF2265">
        <w:rPr>
          <w:rFonts w:ascii="Times New Roman" w:hAnsi="Times New Roman"/>
          <w:b/>
          <w:sz w:val="20"/>
          <w:szCs w:val="20"/>
        </w:rPr>
        <w:t>117 prednášajúcich a lektorov</w:t>
      </w:r>
      <w:r w:rsidRPr="00EF2265">
        <w:rPr>
          <w:rFonts w:ascii="Times New Roman" w:hAnsi="Times New Roman"/>
          <w:sz w:val="20"/>
          <w:szCs w:val="20"/>
        </w:rPr>
        <w:t xml:space="preserve">. </w:t>
      </w:r>
    </w:p>
    <w:p w:rsidR="00373435" w:rsidRPr="00EF2265" w:rsidRDefault="00373435" w:rsidP="00E86605">
      <w:pPr>
        <w:spacing w:after="120"/>
        <w:jc w:val="left"/>
        <w:rPr>
          <w:rFonts w:ascii="Times New Roman" w:hAnsi="Times New Roman"/>
          <w:sz w:val="20"/>
          <w:szCs w:val="20"/>
        </w:rPr>
      </w:pPr>
      <w:r w:rsidRPr="00EF2265">
        <w:rPr>
          <w:rFonts w:ascii="Times New Roman" w:hAnsi="Times New Roman"/>
          <w:sz w:val="20"/>
          <w:szCs w:val="20"/>
        </w:rPr>
        <w:t xml:space="preserve">Z doplnkových vzdelávacích aktivít UTV je potrebné vyzdvihnúť predovšetkým už tradičný seminár, na ktorom v závere akademického roka 2017/2018 absolventi IKT vzdelávacích programov prezentovali výsledky svojej práce. Už v poradí 13. ročník sa konal </w:t>
      </w:r>
      <w:r w:rsidRPr="00EF2265">
        <w:rPr>
          <w:rFonts w:ascii="Times New Roman" w:hAnsi="Times New Roman"/>
          <w:b/>
          <w:sz w:val="20"/>
          <w:szCs w:val="20"/>
        </w:rPr>
        <w:t>6. 6. 2018</w:t>
      </w:r>
      <w:r w:rsidRPr="00EF2265">
        <w:rPr>
          <w:rFonts w:ascii="Times New Roman" w:hAnsi="Times New Roman"/>
          <w:sz w:val="20"/>
          <w:szCs w:val="20"/>
        </w:rPr>
        <w:t>.</w:t>
      </w:r>
    </w:p>
    <w:p w:rsidR="00373435" w:rsidRPr="00EF2265" w:rsidRDefault="00373435" w:rsidP="00E86605">
      <w:pPr>
        <w:spacing w:after="120"/>
        <w:jc w:val="left"/>
        <w:rPr>
          <w:rFonts w:ascii="Times New Roman" w:hAnsi="Times New Roman"/>
          <w:sz w:val="20"/>
          <w:szCs w:val="20"/>
        </w:rPr>
      </w:pPr>
      <w:r w:rsidRPr="00EF2265">
        <w:rPr>
          <w:rFonts w:ascii="Times New Roman" w:hAnsi="Times New Roman"/>
          <w:sz w:val="20"/>
          <w:szCs w:val="20"/>
        </w:rPr>
        <w:t>V rámci podporeného projektu Podpora rozvoja vzdelávania v oblasti finančnej gramotnosti UTV v spolupráci s Národnou bankou Slovenska uskutočnila jednu prednášku a dva semináre s názvom Finančná gramotnosť pre seniorov.</w:t>
      </w:r>
    </w:p>
    <w:p w:rsidR="00373435" w:rsidRPr="00EF2265" w:rsidRDefault="00373435" w:rsidP="00E86605">
      <w:pPr>
        <w:spacing w:after="120"/>
        <w:jc w:val="left"/>
        <w:rPr>
          <w:rFonts w:ascii="Times New Roman" w:hAnsi="Times New Roman"/>
          <w:sz w:val="20"/>
          <w:szCs w:val="20"/>
        </w:rPr>
      </w:pPr>
      <w:r w:rsidRPr="00EF2265">
        <w:rPr>
          <w:rFonts w:ascii="Times New Roman" w:hAnsi="Times New Roman"/>
          <w:sz w:val="20"/>
          <w:szCs w:val="20"/>
        </w:rPr>
        <w:t>UTV v posudzovanom akademickom roku uskutočnila aj osvedčenú doplnkovú aktivitu v rámci exkurzií po historických pamiatkach Európy, tentokrát to bola exkurzia na Malte.</w:t>
      </w:r>
    </w:p>
    <w:p w:rsidR="00373435" w:rsidRPr="00EF2265" w:rsidRDefault="00373435" w:rsidP="00E86605">
      <w:pPr>
        <w:jc w:val="left"/>
        <w:rPr>
          <w:rFonts w:ascii="Times New Roman" w:hAnsi="Times New Roman"/>
          <w:sz w:val="20"/>
          <w:szCs w:val="20"/>
        </w:rPr>
      </w:pPr>
      <w:r w:rsidRPr="00EF2265">
        <w:rPr>
          <w:rFonts w:ascii="Times New Roman" w:hAnsi="Times New Roman"/>
          <w:sz w:val="20"/>
          <w:szCs w:val="20"/>
        </w:rPr>
        <w:t xml:space="preserve">V akademickom roku 2017/2018 UTV oficiálne ukončila </w:t>
      </w:r>
      <w:r w:rsidRPr="00EF2265">
        <w:rPr>
          <w:rFonts w:ascii="Times New Roman" w:hAnsi="Times New Roman"/>
          <w:b/>
          <w:sz w:val="20"/>
          <w:szCs w:val="20"/>
        </w:rPr>
        <w:t>jubilejný 20. rok svojej existencie slávnostným odovzdaním osvedčení</w:t>
      </w:r>
      <w:r w:rsidRPr="00EF2265">
        <w:rPr>
          <w:rFonts w:ascii="Times New Roman" w:hAnsi="Times New Roman"/>
          <w:sz w:val="20"/>
          <w:szCs w:val="20"/>
        </w:rPr>
        <w:t xml:space="preserve">, ktoré sa uskutočnilo dňa 15. 6. 2018 v aule Dionýza Ilkoviča na Mýtnej ulici v Bratislave. Osvedčenia si prevzalo </w:t>
      </w:r>
      <w:r w:rsidRPr="00EF2265">
        <w:rPr>
          <w:rFonts w:ascii="Times New Roman" w:hAnsi="Times New Roman"/>
          <w:b/>
          <w:sz w:val="20"/>
          <w:szCs w:val="20"/>
        </w:rPr>
        <w:t>204 absolventov</w:t>
      </w:r>
      <w:r w:rsidRPr="00EF2265">
        <w:rPr>
          <w:rFonts w:ascii="Times New Roman" w:hAnsi="Times New Roman"/>
          <w:sz w:val="20"/>
          <w:szCs w:val="20"/>
        </w:rPr>
        <w:t xml:space="preserve"> vzdelávacích programov, ktorí splnili podmienky štúdia podľa Študijného programu UTV, s výnimkou absolventov všeobecného ročníka.</w:t>
      </w:r>
    </w:p>
    <w:p w:rsidR="00373435" w:rsidRPr="00EF2265" w:rsidRDefault="00373435" w:rsidP="00E86605">
      <w:pPr>
        <w:tabs>
          <w:tab w:val="left" w:pos="-567"/>
          <w:tab w:val="left" w:pos="9356"/>
        </w:tabs>
        <w:jc w:val="left"/>
        <w:rPr>
          <w:rFonts w:ascii="Times New Roman" w:hAnsi="Times New Roman"/>
          <w:sz w:val="20"/>
          <w:szCs w:val="20"/>
        </w:rPr>
      </w:pPr>
    </w:p>
    <w:p w:rsidR="00373435" w:rsidRPr="00EF2265" w:rsidRDefault="00373435" w:rsidP="00E86605">
      <w:pPr>
        <w:tabs>
          <w:tab w:val="left" w:pos="-567"/>
          <w:tab w:val="left" w:pos="9356"/>
        </w:tabs>
        <w:jc w:val="left"/>
        <w:rPr>
          <w:rFonts w:ascii="Times New Roman" w:hAnsi="Times New Roman"/>
          <w:sz w:val="20"/>
          <w:szCs w:val="20"/>
        </w:rPr>
      </w:pPr>
    </w:p>
    <w:p w:rsidR="00F83826" w:rsidRPr="00367B40" w:rsidRDefault="00F83826" w:rsidP="00E86605">
      <w:pPr>
        <w:pStyle w:val="Nadpis2"/>
        <w:keepLines w:val="0"/>
        <w:numPr>
          <w:ilvl w:val="0"/>
          <w:numId w:val="27"/>
        </w:numPr>
        <w:tabs>
          <w:tab w:val="clear" w:pos="567"/>
        </w:tabs>
        <w:spacing w:before="240" w:after="60"/>
        <w:ind w:left="426"/>
        <w:rPr>
          <w:rFonts w:ascii="Times New Roman" w:hAnsi="Times New Roman" w:cs="Times New Roman"/>
          <w:i/>
          <w:sz w:val="24"/>
          <w:szCs w:val="24"/>
        </w:rPr>
      </w:pPr>
      <w:bookmarkStart w:id="157" w:name="_Toc4589985"/>
      <w:r w:rsidRPr="00367B40">
        <w:rPr>
          <w:rFonts w:ascii="Times New Roman" w:hAnsi="Times New Roman" w:cs="Times New Roman"/>
          <w:sz w:val="24"/>
          <w:szCs w:val="24"/>
        </w:rPr>
        <w:lastRenderedPageBreak/>
        <w:t>Informácie o výskumnej, umeleckej a ďalšej tvorivej činnosti STU</w:t>
      </w:r>
      <w:bookmarkEnd w:id="157"/>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Slovenská technická univerzita dlhoročne patrí medzi popredné výskumné univerzity na Slovensku. Potvrdzujú to aj svetové rebríčky univerzít. Iba 3 univerzity zo Slovenska sa umiestili v troch najprestížnejších rebríčkoch (</w:t>
      </w:r>
      <w:r w:rsidRPr="00EF2265">
        <w:rPr>
          <w:rFonts w:ascii="Times New Roman" w:hAnsi="Times New Roman"/>
          <w:sz w:val="20"/>
          <w:szCs w:val="20"/>
          <w:lang w:eastAsia="sk-SK"/>
        </w:rPr>
        <w:t xml:space="preserve">QS World University Rankings®, </w:t>
      </w:r>
      <w:r w:rsidRPr="00EF2265">
        <w:rPr>
          <w:rFonts w:ascii="Times New Roman" w:eastAsia="Times New Roman" w:hAnsi="Times New Roman"/>
          <w:sz w:val="20"/>
          <w:szCs w:val="20"/>
          <w:lang w:eastAsia="sk-SK"/>
        </w:rPr>
        <w:t xml:space="preserve">Times Higher Education World University Rankings a </w:t>
      </w:r>
      <w:r w:rsidRPr="00EF2265">
        <w:rPr>
          <w:rFonts w:ascii="Times New Roman" w:hAnsi="Times New Roman"/>
          <w:sz w:val="20"/>
          <w:szCs w:val="20"/>
        </w:rPr>
        <w:t>Academic Ranking of World Universities a STU je medzi nimi.</w:t>
      </w:r>
    </w:p>
    <w:p w:rsidR="00F83826" w:rsidRPr="00EF2265" w:rsidRDefault="00F83826" w:rsidP="00E86605">
      <w:pPr>
        <w:pStyle w:val="Default"/>
        <w:rPr>
          <w:rFonts w:ascii="Times New Roman" w:hAnsi="Times New Roman" w:cs="Times New Roman"/>
          <w:b/>
          <w:bCs/>
          <w:color w:val="auto"/>
          <w:sz w:val="20"/>
          <w:szCs w:val="20"/>
          <w:lang w:val="sk-SK"/>
        </w:rPr>
      </w:pPr>
    </w:p>
    <w:p w:rsidR="00F83826" w:rsidRPr="00EF2265" w:rsidRDefault="00F83826" w:rsidP="00E86605">
      <w:pPr>
        <w:pStyle w:val="Default"/>
        <w:rPr>
          <w:rFonts w:ascii="Times New Roman" w:hAnsi="Times New Roman" w:cs="Times New Roman"/>
          <w:color w:val="auto"/>
          <w:sz w:val="20"/>
          <w:szCs w:val="20"/>
          <w:lang w:val="sk-SK"/>
        </w:rPr>
      </w:pPr>
      <w:r w:rsidRPr="00EF2265">
        <w:rPr>
          <w:rFonts w:ascii="Times New Roman" w:hAnsi="Times New Roman" w:cs="Times New Roman"/>
          <w:b/>
          <w:bCs/>
          <w:color w:val="auto"/>
          <w:sz w:val="20"/>
          <w:szCs w:val="20"/>
          <w:lang w:val="sk-SK"/>
        </w:rPr>
        <w:t>Významné výsledky dosiahnuté v oblasti vedy, techniky a umenia na Slovenskej technickej univerzite v roku 2018</w:t>
      </w:r>
    </w:p>
    <w:p w:rsidR="00F83826" w:rsidRPr="00EF2265" w:rsidRDefault="00F83826" w:rsidP="00E86605">
      <w:pPr>
        <w:pStyle w:val="Default"/>
        <w:rPr>
          <w:rFonts w:ascii="Times New Roman" w:hAnsi="Times New Roman" w:cs="Times New Roman"/>
          <w:color w:val="auto"/>
          <w:sz w:val="20"/>
          <w:szCs w:val="20"/>
          <w:lang w:val="sk-SK"/>
        </w:rPr>
      </w:pPr>
    </w:p>
    <w:p w:rsidR="00F83826" w:rsidRPr="00EF2265" w:rsidRDefault="00F83826" w:rsidP="00E86605">
      <w:pPr>
        <w:numPr>
          <w:ilvl w:val="0"/>
          <w:numId w:val="21"/>
        </w:numPr>
        <w:jc w:val="left"/>
        <w:rPr>
          <w:rFonts w:ascii="Times New Roman" w:hAnsi="Times New Roman"/>
          <w:sz w:val="20"/>
          <w:szCs w:val="20"/>
        </w:rPr>
      </w:pPr>
      <w:r w:rsidRPr="00EF2265">
        <w:rPr>
          <w:rFonts w:ascii="Times New Roman" w:hAnsi="Times New Roman"/>
          <w:sz w:val="20"/>
          <w:szCs w:val="20"/>
        </w:rPr>
        <w:t xml:space="preserve">STU aj v tomto roku zaznamenala úspech v medzinárodnom výskumnom priestore. Európska komisia podporila vznik ďalšieho Európskeho inštitútu pre inovácie a technológie (EIT). Ide o EIT Manufacturing, ktorého je </w:t>
      </w:r>
      <w:r w:rsidRPr="00EF2265">
        <w:rPr>
          <w:rFonts w:ascii="Times New Roman" w:hAnsi="Times New Roman"/>
          <w:bCs/>
          <w:sz w:val="20"/>
          <w:szCs w:val="20"/>
        </w:rPr>
        <w:t>STU zakladajúcim členom</w:t>
      </w:r>
      <w:r w:rsidRPr="00EF2265">
        <w:rPr>
          <w:rFonts w:ascii="Times New Roman" w:hAnsi="Times New Roman"/>
          <w:sz w:val="20"/>
          <w:szCs w:val="20"/>
        </w:rPr>
        <w:t>. Je to už druhý EIT, kde je STU členom, v roku 2017 sa STU stalo členom EIT v oblasti surovín a materiálov (</w:t>
      </w:r>
      <w:hyperlink r:id="rId54" w:history="1">
        <w:r w:rsidRPr="00EF2265">
          <w:rPr>
            <w:rFonts w:ascii="Times New Roman" w:hAnsi="Times New Roman"/>
            <w:sz w:val="20"/>
            <w:szCs w:val="20"/>
          </w:rPr>
          <w:t>EIT Raw Materials</w:t>
        </w:r>
      </w:hyperlink>
      <w:r w:rsidRPr="00EF2265">
        <w:rPr>
          <w:rFonts w:ascii="Times New Roman" w:hAnsi="Times New Roman"/>
          <w:sz w:val="20"/>
          <w:szCs w:val="20"/>
        </w:rPr>
        <w:t>). EIT kladie dôraz na spojenie výskumu, vzdelávania a praxe. Členmi sú elitné vedecké inštitúcie, univerzity a podniky. Členstvo v EIT dáva možnosť STU k získavaniu ďalších kontaktov a grantov v Európskom výskumnom priestore.</w:t>
      </w:r>
    </w:p>
    <w:p w:rsidR="00F83826" w:rsidRPr="00EF2265" w:rsidRDefault="00F83826" w:rsidP="00E86605">
      <w:pPr>
        <w:ind w:left="720"/>
        <w:jc w:val="left"/>
        <w:rPr>
          <w:rFonts w:ascii="Times New Roman" w:hAnsi="Times New Roman"/>
          <w:sz w:val="20"/>
          <w:szCs w:val="20"/>
        </w:rPr>
      </w:pPr>
    </w:p>
    <w:p w:rsidR="00F83826" w:rsidRPr="00EF2265" w:rsidRDefault="00F83826" w:rsidP="00E86605">
      <w:pPr>
        <w:pStyle w:val="Odsekzoznamu"/>
        <w:numPr>
          <w:ilvl w:val="0"/>
          <w:numId w:val="21"/>
        </w:numPr>
        <w:spacing w:after="0" w:line="240" w:lineRule="auto"/>
        <w:rPr>
          <w:rFonts w:ascii="Times New Roman" w:hAnsi="Times New Roman"/>
          <w:sz w:val="20"/>
          <w:szCs w:val="20"/>
        </w:rPr>
      </w:pPr>
      <w:r w:rsidRPr="00EF2265">
        <w:rPr>
          <w:rFonts w:ascii="Times New Roman" w:hAnsi="Times New Roman"/>
          <w:sz w:val="20"/>
          <w:szCs w:val="20"/>
        </w:rPr>
        <w:t>Univerzita nechýba ani v jednom z najlepších troch rebríčkov na svete: v QS World University Rankings®, THE (Times Higher Education World University Rankings) a Šanghajskom rebríčku. Najlepšie sa STU umiestnila v rebríčku QS World University Rankings® 2019 na 751-800. Slovensko má v rebríčku okrem STU iba dve univerzity.</w:t>
      </w:r>
    </w:p>
    <w:p w:rsidR="00F83826" w:rsidRPr="00EF2265" w:rsidRDefault="00F83826" w:rsidP="00E86605">
      <w:pPr>
        <w:pStyle w:val="Odsekzoznamu"/>
        <w:ind w:left="714"/>
        <w:rPr>
          <w:rFonts w:ascii="Times New Roman" w:hAnsi="Times New Roman"/>
          <w:sz w:val="20"/>
          <w:szCs w:val="20"/>
        </w:rPr>
      </w:pPr>
      <w:r w:rsidRPr="00EF2265">
        <w:rPr>
          <w:rFonts w:ascii="Times New Roman" w:hAnsi="Times New Roman"/>
          <w:sz w:val="20"/>
          <w:szCs w:val="20"/>
        </w:rPr>
        <w:t>V Academic Ranking of World Universities je STU na 801-900 mieste a medzi najlepšími univerzitami figurujú okrem STU ešte dve univerzity zo Slovenska. Podobne je to aj v rebríčku  Times Higher Education World University Rankings, kde sú uvedené tri slovenské univerzity a STU je jedna z nich.</w:t>
      </w:r>
    </w:p>
    <w:p w:rsidR="00F83826" w:rsidRPr="00EF2265" w:rsidRDefault="00F83826" w:rsidP="00E86605">
      <w:pPr>
        <w:pStyle w:val="Odsekzoznamu"/>
        <w:ind w:left="714"/>
        <w:rPr>
          <w:rFonts w:ascii="Times New Roman" w:hAnsi="Times New Roman"/>
          <w:sz w:val="20"/>
          <w:szCs w:val="20"/>
        </w:rPr>
      </w:pPr>
      <w:r w:rsidRPr="00EF2265">
        <w:rPr>
          <w:rFonts w:ascii="Times New Roman" w:hAnsi="Times New Roman"/>
          <w:sz w:val="20"/>
          <w:szCs w:val="20"/>
        </w:rPr>
        <w:t>V piatom ročníku The </w:t>
      </w:r>
      <w:hyperlink r:id="rId55" w:history="1">
        <w:r w:rsidRPr="00EF2265">
          <w:rPr>
            <w:rStyle w:val="Hypertextovprepojenie"/>
            <w:rFonts w:ascii="Times New Roman" w:hAnsi="Times New Roman"/>
            <w:color w:val="auto"/>
            <w:sz w:val="20"/>
            <w:szCs w:val="20"/>
          </w:rPr>
          <w:t>Best Global Universities</w:t>
        </w:r>
      </w:hyperlink>
      <w:r w:rsidRPr="00EF2265">
        <w:rPr>
          <w:rFonts w:ascii="Times New Roman" w:hAnsi="Times New Roman"/>
          <w:sz w:val="20"/>
          <w:szCs w:val="20"/>
        </w:rPr>
        <w:t xml:space="preserve"> rankingu sa medzi 1250 univerzitami umiestnili aj 3 univerzity zo Slovenska a jednou z nich je aj Slovenská technická univerzita v Bratislave. U.S. News </w:t>
      </w:r>
      <w:hyperlink r:id="rId56" w:history="1">
        <w:r w:rsidRPr="00EF2265">
          <w:rPr>
            <w:rStyle w:val="Hypertextovprepojenie"/>
            <w:rFonts w:ascii="Times New Roman" w:hAnsi="Times New Roman"/>
            <w:color w:val="auto"/>
            <w:sz w:val="20"/>
            <w:szCs w:val="20"/>
          </w:rPr>
          <w:t>Best Global Universities</w:t>
        </w:r>
      </w:hyperlink>
      <w:r w:rsidRPr="00EF2265">
        <w:rPr>
          <w:rFonts w:ascii="Times New Roman" w:hAnsi="Times New Roman"/>
          <w:sz w:val="20"/>
          <w:szCs w:val="20"/>
        </w:rPr>
        <w:t xml:space="preserve"> už 30 rokov porovnáva americké univerzity so svetom. </w:t>
      </w:r>
    </w:p>
    <w:p w:rsidR="00F83826" w:rsidRPr="00EF2265" w:rsidRDefault="00F83826" w:rsidP="00E86605">
      <w:pPr>
        <w:ind w:left="720"/>
        <w:jc w:val="left"/>
        <w:rPr>
          <w:rFonts w:ascii="Times New Roman" w:hAnsi="Times New Roman"/>
          <w:sz w:val="20"/>
          <w:szCs w:val="20"/>
        </w:rPr>
      </w:pPr>
    </w:p>
    <w:p w:rsidR="00F83826" w:rsidRPr="00EF2265" w:rsidRDefault="00F83826" w:rsidP="00E86605">
      <w:pPr>
        <w:ind w:left="720"/>
        <w:jc w:val="left"/>
        <w:rPr>
          <w:rFonts w:ascii="Times New Roman" w:hAnsi="Times New Roman"/>
          <w:sz w:val="20"/>
          <w:szCs w:val="20"/>
        </w:rPr>
      </w:pPr>
    </w:p>
    <w:p w:rsidR="00F83826" w:rsidRPr="00EF2265" w:rsidRDefault="00F83826" w:rsidP="00E86605">
      <w:pPr>
        <w:numPr>
          <w:ilvl w:val="0"/>
          <w:numId w:val="21"/>
        </w:numPr>
        <w:jc w:val="left"/>
        <w:rPr>
          <w:rFonts w:ascii="Times New Roman" w:hAnsi="Times New Roman"/>
          <w:sz w:val="20"/>
          <w:szCs w:val="20"/>
        </w:rPr>
      </w:pPr>
      <w:r w:rsidRPr="00EF2265">
        <w:rPr>
          <w:rFonts w:ascii="Times New Roman" w:hAnsi="Times New Roman"/>
          <w:sz w:val="20"/>
          <w:szCs w:val="20"/>
        </w:rPr>
        <w:t xml:space="preserve">Európska komisia (EK) vytvorila expertnú skupinu pre umelú inteligenciu. V expertnej skupine je aj dekanka FIIT STU </w:t>
      </w:r>
      <w:r w:rsidRPr="00B125A9">
        <w:rPr>
          <w:rFonts w:ascii="Times New Roman" w:hAnsi="Times New Roman"/>
          <w:b/>
          <w:sz w:val="20"/>
          <w:szCs w:val="20"/>
        </w:rPr>
        <w:t>prof. Ing. Mária Bieliková, PhD</w:t>
      </w:r>
      <w:r w:rsidRPr="00EF2265">
        <w:rPr>
          <w:rFonts w:ascii="Times New Roman" w:hAnsi="Times New Roman"/>
          <w:sz w:val="20"/>
          <w:szCs w:val="20"/>
        </w:rPr>
        <w:t>. EK vybrala  52 členov do novej expertnej skupiny (High-Level Group on Artificial Intelligence) z viac ako 500 prihlášok. Členmi skupiny sú vedci a odborníci z akademického prostredia, z IT firiem, zástupcovia tretieho sektora a aj experti na etiku.  </w:t>
      </w:r>
    </w:p>
    <w:p w:rsidR="00F83826" w:rsidRPr="00EF2265" w:rsidRDefault="00F83826" w:rsidP="00E86605">
      <w:pPr>
        <w:ind w:left="720"/>
        <w:jc w:val="left"/>
        <w:rPr>
          <w:rFonts w:ascii="Times New Roman" w:hAnsi="Times New Roman"/>
          <w:sz w:val="20"/>
          <w:szCs w:val="20"/>
        </w:rPr>
      </w:pPr>
    </w:p>
    <w:p w:rsidR="00F83826" w:rsidRPr="00EF2265" w:rsidRDefault="00F83826" w:rsidP="00E86605">
      <w:pPr>
        <w:numPr>
          <w:ilvl w:val="0"/>
          <w:numId w:val="21"/>
        </w:numPr>
        <w:jc w:val="left"/>
        <w:rPr>
          <w:rFonts w:ascii="Times New Roman" w:hAnsi="Times New Roman"/>
          <w:sz w:val="20"/>
          <w:szCs w:val="20"/>
        </w:rPr>
      </w:pPr>
      <w:r w:rsidRPr="00EF2265">
        <w:rPr>
          <w:rFonts w:ascii="Times New Roman" w:hAnsi="Times New Roman"/>
          <w:sz w:val="20"/>
          <w:szCs w:val="20"/>
        </w:rPr>
        <w:t xml:space="preserve">Cenu NATO vedeckého programu Science for Peace and Security – SPS získal projekt so slovenskou účasťou s názvom "Secure Implementation of Post-Quantum Cryptography", ktorý bol označený aj ako projekt desaťročia v oblasti Kybernetickej obrany. STU reprezentuje v projekte </w:t>
      </w:r>
      <w:r w:rsidRPr="00B125A9">
        <w:rPr>
          <w:rFonts w:ascii="Times New Roman" w:hAnsi="Times New Roman"/>
          <w:b/>
          <w:sz w:val="20"/>
          <w:szCs w:val="20"/>
        </w:rPr>
        <w:t>prof. RNDr. Otokar Grošek, PhD.</w:t>
      </w:r>
      <w:r w:rsidRPr="00EF2265">
        <w:rPr>
          <w:rFonts w:ascii="Times New Roman" w:hAnsi="Times New Roman"/>
          <w:sz w:val="20"/>
          <w:szCs w:val="20"/>
        </w:rPr>
        <w:t>, z FEI STU.</w:t>
      </w:r>
    </w:p>
    <w:p w:rsidR="00F83826" w:rsidRPr="00EF2265" w:rsidRDefault="00F83826" w:rsidP="00E86605">
      <w:pPr>
        <w:ind w:left="720"/>
        <w:jc w:val="left"/>
        <w:rPr>
          <w:rFonts w:ascii="Times New Roman" w:hAnsi="Times New Roman"/>
          <w:sz w:val="20"/>
          <w:szCs w:val="20"/>
        </w:rPr>
      </w:pPr>
    </w:p>
    <w:p w:rsidR="00F83826" w:rsidRPr="00EF2265" w:rsidRDefault="00F83826" w:rsidP="00E86605">
      <w:pPr>
        <w:pStyle w:val="Odsekzoznamu"/>
        <w:numPr>
          <w:ilvl w:val="0"/>
          <w:numId w:val="21"/>
        </w:numPr>
        <w:spacing w:after="0" w:line="240" w:lineRule="auto"/>
        <w:rPr>
          <w:rFonts w:ascii="Times New Roman" w:hAnsi="Times New Roman"/>
          <w:sz w:val="20"/>
          <w:szCs w:val="20"/>
        </w:rPr>
      </w:pPr>
      <w:r w:rsidRPr="00EF2265">
        <w:rPr>
          <w:rFonts w:ascii="Times New Roman" w:hAnsi="Times New Roman"/>
          <w:sz w:val="20"/>
          <w:szCs w:val="20"/>
        </w:rPr>
        <w:t xml:space="preserve">V </w:t>
      </w:r>
      <w:r w:rsidRPr="00EF2265">
        <w:rPr>
          <w:rFonts w:ascii="Times New Roman" w:hAnsi="Times New Roman"/>
          <w:bCs/>
          <w:sz w:val="20"/>
          <w:szCs w:val="20"/>
        </w:rPr>
        <w:t xml:space="preserve">Šanghaji otvorili  spoločné vedeckovýskumné a plánovacie centrum Čínsko-európskej aliancie pre udržateľný rozvoj a inovácie </w:t>
      </w:r>
      <w:r w:rsidRPr="00EF2265">
        <w:rPr>
          <w:rFonts w:ascii="Times New Roman" w:hAnsi="Times New Roman"/>
          <w:sz w:val="20"/>
          <w:szCs w:val="20"/>
        </w:rPr>
        <w:t xml:space="preserve">pod vedením </w:t>
      </w:r>
      <w:r w:rsidRPr="00EF2265">
        <w:rPr>
          <w:rFonts w:ascii="Times New Roman" w:hAnsi="Times New Roman"/>
          <w:bCs/>
          <w:sz w:val="20"/>
          <w:szCs w:val="20"/>
        </w:rPr>
        <w:t>East China Normal University</w:t>
      </w:r>
      <w:r w:rsidRPr="00EF2265">
        <w:rPr>
          <w:rFonts w:ascii="Times New Roman" w:hAnsi="Times New Roman"/>
          <w:b/>
          <w:sz w:val="20"/>
          <w:szCs w:val="20"/>
        </w:rPr>
        <w:t xml:space="preserve"> a </w:t>
      </w:r>
      <w:r w:rsidRPr="00EF2265">
        <w:rPr>
          <w:rFonts w:ascii="Times New Roman" w:hAnsi="Times New Roman"/>
          <w:sz w:val="20"/>
          <w:szCs w:val="20"/>
        </w:rPr>
        <w:t>STU</w:t>
      </w:r>
      <w:r w:rsidRPr="00EF2265">
        <w:rPr>
          <w:rFonts w:ascii="Times New Roman" w:hAnsi="Times New Roman"/>
          <w:bCs/>
          <w:sz w:val="20"/>
          <w:szCs w:val="20"/>
        </w:rPr>
        <w:t xml:space="preserve">. Spoločné centrum sa bude podieľať na plánovaní novej mestskej časti Šanghaja. STU v tomto projekte reprezentujú odborníci na urbánnu ekológiu a priestorové plánovanie, ktorých vedie </w:t>
      </w:r>
      <w:r w:rsidRPr="00B125A9">
        <w:rPr>
          <w:rFonts w:ascii="Times New Roman" w:hAnsi="Times New Roman"/>
          <w:b/>
          <w:bCs/>
          <w:sz w:val="20"/>
          <w:szCs w:val="20"/>
        </w:rPr>
        <w:t>prof. Ing. arch. Maroš Finka, PhD.</w:t>
      </w:r>
    </w:p>
    <w:p w:rsidR="00F83826" w:rsidRPr="00EF2265" w:rsidRDefault="00F83826" w:rsidP="00E86605">
      <w:pPr>
        <w:pStyle w:val="Default"/>
        <w:widowControl/>
        <w:ind w:left="720"/>
        <w:rPr>
          <w:rFonts w:ascii="Times New Roman" w:hAnsi="Times New Roman" w:cs="Times New Roman"/>
          <w:color w:val="auto"/>
          <w:sz w:val="20"/>
          <w:szCs w:val="20"/>
          <w:lang w:val="sk-SK"/>
        </w:rPr>
      </w:pPr>
    </w:p>
    <w:p w:rsidR="00F83826" w:rsidRPr="00EF2265" w:rsidRDefault="00F83826" w:rsidP="00E86605">
      <w:pPr>
        <w:numPr>
          <w:ilvl w:val="0"/>
          <w:numId w:val="21"/>
        </w:numPr>
        <w:jc w:val="left"/>
        <w:rPr>
          <w:rFonts w:ascii="Times New Roman" w:hAnsi="Times New Roman"/>
          <w:sz w:val="20"/>
          <w:szCs w:val="20"/>
        </w:rPr>
      </w:pPr>
      <w:r w:rsidRPr="00EF2265">
        <w:rPr>
          <w:rFonts w:ascii="Times New Roman" w:hAnsi="Times New Roman"/>
          <w:sz w:val="20"/>
          <w:szCs w:val="20"/>
        </w:rPr>
        <w:t xml:space="preserve">Najvyššie ocenenie v rezorte Ministerstva školstva vedy, výskumu a športu SR Malú medailu sv. Gorazda získal: </w:t>
      </w:r>
      <w:r w:rsidRPr="00B125A9">
        <w:rPr>
          <w:rFonts w:ascii="Times New Roman" w:hAnsi="Times New Roman"/>
          <w:b/>
          <w:sz w:val="20"/>
          <w:szCs w:val="20"/>
        </w:rPr>
        <w:t>prof. Ing. Koloman Ulrich, PhD.,</w:t>
      </w:r>
      <w:r w:rsidRPr="00EF2265">
        <w:rPr>
          <w:rFonts w:ascii="Times New Roman" w:hAnsi="Times New Roman"/>
          <w:sz w:val="20"/>
          <w:szCs w:val="20"/>
        </w:rPr>
        <w:t xml:space="preserve"> za prácu venovanú výchove technickej inteligencie na Slovensku a rozvoju Materiálovotechnologickej fakulty STU.</w:t>
      </w:r>
    </w:p>
    <w:p w:rsidR="00F83826" w:rsidRPr="00EF2265" w:rsidRDefault="00F83826" w:rsidP="00E86605">
      <w:pPr>
        <w:ind w:left="720"/>
        <w:jc w:val="left"/>
        <w:rPr>
          <w:rFonts w:ascii="Times New Roman" w:hAnsi="Times New Roman"/>
          <w:sz w:val="20"/>
          <w:szCs w:val="20"/>
        </w:rPr>
      </w:pPr>
    </w:p>
    <w:p w:rsidR="00F83826" w:rsidRPr="00EF2265" w:rsidRDefault="00F83826" w:rsidP="00E86605">
      <w:pPr>
        <w:numPr>
          <w:ilvl w:val="0"/>
          <w:numId w:val="21"/>
        </w:numPr>
        <w:jc w:val="left"/>
        <w:rPr>
          <w:rFonts w:ascii="Times New Roman" w:eastAsia="Times New Roman" w:hAnsi="Times New Roman"/>
          <w:b/>
          <w:sz w:val="20"/>
          <w:szCs w:val="20"/>
          <w:lang w:eastAsia="sk-SK"/>
        </w:rPr>
      </w:pPr>
      <w:r w:rsidRPr="00EF2265">
        <w:rPr>
          <w:rFonts w:ascii="Times New Roman" w:hAnsi="Times New Roman"/>
          <w:sz w:val="20"/>
          <w:szCs w:val="20"/>
        </w:rPr>
        <w:t xml:space="preserve">Literárny fond ocenil dvoch vedcov z FCHPT. Prémiu za trojročný vedecký ohlas za roky 2015 – 2017 udelil doc. Ing. Ľubomírovi Švorcovi, </w:t>
      </w:r>
      <w:r w:rsidRPr="00EF2265">
        <w:rPr>
          <w:rFonts w:ascii="Times New Roman" w:eastAsia="Times New Roman" w:hAnsi="Times New Roman"/>
          <w:sz w:val="20"/>
          <w:szCs w:val="20"/>
          <w:lang w:eastAsia="sk-SK"/>
        </w:rPr>
        <w:t>PhD.</w:t>
      </w:r>
      <w:r w:rsidRPr="00EF2265">
        <w:rPr>
          <w:rFonts w:ascii="Times New Roman" w:hAnsi="Times New Roman"/>
          <w:sz w:val="20"/>
          <w:szCs w:val="20"/>
        </w:rPr>
        <w:t xml:space="preserve"> a v kategórii technické vedy a geovedy </w:t>
      </w:r>
      <w:r w:rsidRPr="00EF2265">
        <w:rPr>
          <w:rFonts w:ascii="Times New Roman" w:eastAsia="Times New Roman" w:hAnsi="Times New Roman"/>
          <w:sz w:val="20"/>
          <w:szCs w:val="20"/>
          <w:lang w:eastAsia="sk-SK"/>
        </w:rPr>
        <w:t xml:space="preserve">Prémiu za výnimočný vedecký ohlas na jedno dielo </w:t>
      </w:r>
      <w:r w:rsidRPr="00EF2265">
        <w:rPr>
          <w:rStyle w:val="Siln"/>
          <w:rFonts w:ascii="Times New Roman" w:hAnsi="Times New Roman"/>
          <w:iCs/>
          <w:sz w:val="20"/>
          <w:szCs w:val="20"/>
        </w:rPr>
        <w:t>doc.</w:t>
      </w:r>
      <w:r w:rsidRPr="00EF2265">
        <w:rPr>
          <w:rFonts w:ascii="Times New Roman" w:hAnsi="Times New Roman"/>
          <w:sz w:val="20"/>
          <w:szCs w:val="20"/>
        </w:rPr>
        <w:t> </w:t>
      </w:r>
      <w:r w:rsidRPr="00EF2265">
        <w:rPr>
          <w:rStyle w:val="Siln"/>
          <w:rFonts w:ascii="Times New Roman" w:hAnsi="Times New Roman"/>
          <w:iCs/>
          <w:sz w:val="20"/>
          <w:szCs w:val="20"/>
        </w:rPr>
        <w:t>Ing.</w:t>
      </w:r>
      <w:r w:rsidRPr="00EF2265">
        <w:rPr>
          <w:rFonts w:ascii="Times New Roman" w:hAnsi="Times New Roman"/>
          <w:sz w:val="20"/>
          <w:szCs w:val="20"/>
        </w:rPr>
        <w:t> </w:t>
      </w:r>
      <w:r w:rsidRPr="00EF2265">
        <w:rPr>
          <w:rStyle w:val="Siln"/>
          <w:rFonts w:ascii="Times New Roman" w:hAnsi="Times New Roman"/>
          <w:iCs/>
          <w:sz w:val="20"/>
          <w:szCs w:val="20"/>
        </w:rPr>
        <w:t>Michalovi</w:t>
      </w:r>
      <w:r w:rsidRPr="00EF2265">
        <w:rPr>
          <w:rFonts w:ascii="Times New Roman" w:hAnsi="Times New Roman"/>
          <w:sz w:val="20"/>
          <w:szCs w:val="20"/>
        </w:rPr>
        <w:t> </w:t>
      </w:r>
      <w:r w:rsidRPr="00EF2265">
        <w:rPr>
          <w:rStyle w:val="Siln"/>
          <w:rFonts w:ascii="Times New Roman" w:hAnsi="Times New Roman"/>
          <w:iCs/>
          <w:sz w:val="20"/>
          <w:szCs w:val="20"/>
        </w:rPr>
        <w:t>Kvasnicovi,</w:t>
      </w:r>
      <w:r w:rsidRPr="00EF2265">
        <w:rPr>
          <w:rFonts w:ascii="Times New Roman" w:hAnsi="Times New Roman"/>
          <w:sz w:val="20"/>
          <w:szCs w:val="20"/>
        </w:rPr>
        <w:t> </w:t>
      </w:r>
      <w:r w:rsidRPr="00EF2265">
        <w:rPr>
          <w:rStyle w:val="Siln"/>
          <w:rFonts w:ascii="Times New Roman" w:hAnsi="Times New Roman"/>
          <w:iCs/>
          <w:sz w:val="20"/>
          <w:szCs w:val="20"/>
        </w:rPr>
        <w:t>PhD.</w:t>
      </w:r>
    </w:p>
    <w:p w:rsidR="00F83826" w:rsidRPr="00EF2265" w:rsidRDefault="00F83826" w:rsidP="00E86605">
      <w:pPr>
        <w:pStyle w:val="Default"/>
        <w:widowControl/>
        <w:ind w:left="720"/>
        <w:rPr>
          <w:rFonts w:ascii="Times New Roman" w:hAnsi="Times New Roman" w:cs="Times New Roman"/>
          <w:color w:val="auto"/>
          <w:sz w:val="20"/>
          <w:szCs w:val="20"/>
          <w:lang w:val="sk-SK"/>
        </w:rPr>
      </w:pPr>
    </w:p>
    <w:p w:rsidR="00F83826" w:rsidRPr="00EF2265" w:rsidRDefault="00F83826" w:rsidP="00E86605">
      <w:pPr>
        <w:pStyle w:val="Default"/>
        <w:widowControl/>
        <w:numPr>
          <w:ilvl w:val="0"/>
          <w:numId w:val="21"/>
        </w:numPr>
        <w:autoSpaceDE w:val="0"/>
        <w:autoSpaceDN w:val="0"/>
        <w:adjustRightInd w:val="0"/>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 xml:space="preserve">V oboch doterajších ročníkoch získala STU ocenenie v súťaži Pre ženy vo vede pod záštitou UNESCO. V roku 2017 Ing. Zuzana Barbieriková, PhD. a v roku 2018 </w:t>
      </w:r>
      <w:r w:rsidRPr="00B125A9">
        <w:rPr>
          <w:rFonts w:ascii="Times New Roman" w:hAnsi="Times New Roman" w:cs="Times New Roman"/>
          <w:b/>
          <w:color w:val="auto"/>
          <w:sz w:val="20"/>
          <w:szCs w:val="20"/>
          <w:lang w:val="sk-SK"/>
        </w:rPr>
        <w:t>doc. Mgr. Mariana Derzsi, PhD.</w:t>
      </w:r>
      <w:r w:rsidRPr="00EF2265">
        <w:rPr>
          <w:rFonts w:ascii="Times New Roman" w:hAnsi="Times New Roman" w:cs="Times New Roman"/>
          <w:color w:val="auto"/>
          <w:sz w:val="20"/>
          <w:szCs w:val="20"/>
          <w:lang w:val="sk-SK"/>
        </w:rPr>
        <w:t xml:space="preserve">, z </w:t>
      </w:r>
      <w:r w:rsidRPr="00EF2265">
        <w:rPr>
          <w:rFonts w:ascii="Times New Roman" w:hAnsi="Times New Roman" w:cs="Times New Roman"/>
          <w:color w:val="auto"/>
          <w:sz w:val="20"/>
          <w:szCs w:val="20"/>
          <w:lang w:val="sk-SK"/>
        </w:rPr>
        <w:lastRenderedPageBreak/>
        <w:t>Ústavu výskumu progresívnych technológií MTF STU za výskum nových materiálov s výnimočnými magnetickými a elektrickými vlastnosťami na báze striebra a chlóru pomocou metód počítačom asistovaného materiálového designu na atómovej úrovni.</w:t>
      </w:r>
    </w:p>
    <w:p w:rsidR="00F83826" w:rsidRPr="00EF2265" w:rsidRDefault="00F83826" w:rsidP="00E86605">
      <w:pPr>
        <w:pStyle w:val="Default"/>
        <w:widowControl/>
        <w:ind w:left="720"/>
        <w:rPr>
          <w:rFonts w:ascii="Times New Roman" w:hAnsi="Times New Roman" w:cs="Times New Roman"/>
          <w:color w:val="auto"/>
          <w:sz w:val="20"/>
          <w:szCs w:val="20"/>
          <w:lang w:val="sk-SK"/>
        </w:rPr>
      </w:pPr>
    </w:p>
    <w:p w:rsidR="00F83826" w:rsidRPr="00EF2265" w:rsidRDefault="00F83826" w:rsidP="00E86605">
      <w:pPr>
        <w:pStyle w:val="Default"/>
        <w:widowControl/>
        <w:numPr>
          <w:ilvl w:val="0"/>
          <w:numId w:val="21"/>
        </w:numPr>
        <w:autoSpaceDE w:val="0"/>
        <w:autoSpaceDN w:val="0"/>
        <w:adjustRightInd w:val="0"/>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 xml:space="preserve">Časopisy NATURE a SCIENCE sú najprestížnejšie vedecké periodiká a prezentovať výsledky výskumu v týchto časopisoch sa slovenským vedcom podarí zriedka. Vedci z STU sa presadili aj v týchto časopisoch. V roku 2016 to bolo v časopise NATURE a v 2017 v časopise SCIENCE. V roku 2018 znovu v časopise SCIENCE, v rámci autorského kolektívu publikoval článok výskumník zo SvF </w:t>
      </w:r>
      <w:r w:rsidRPr="00B125A9">
        <w:rPr>
          <w:rFonts w:ascii="Times New Roman" w:hAnsi="Times New Roman" w:cs="Times New Roman"/>
          <w:b/>
          <w:color w:val="auto"/>
          <w:sz w:val="20"/>
          <w:szCs w:val="20"/>
          <w:lang w:val="sk-SK"/>
        </w:rPr>
        <w:t>Ing. Tibor Lieskovský, PhD.</w:t>
      </w:r>
      <w:r w:rsidRPr="00EF2265">
        <w:rPr>
          <w:rFonts w:ascii="Times New Roman" w:hAnsi="Times New Roman" w:cs="Times New Roman"/>
          <w:color w:val="auto"/>
          <w:sz w:val="20"/>
          <w:szCs w:val="20"/>
          <w:lang w:val="sk-SK"/>
        </w:rPr>
        <w:t xml:space="preserve"> Článok prezentuje výsledky prelomového výskumu mayskej civilizácie založené na výsledkoch laserového scanovania pralesa. Slovenský tím zohrával pri tomto  medzinárodnom výskume podstatnú úlohu. Z územia, ktoré samostatne spracoval (160 km</w:t>
      </w:r>
      <w:r w:rsidRPr="00EF2265">
        <w:rPr>
          <w:rFonts w:ascii="Times New Roman" w:hAnsi="Times New Roman" w:cs="Times New Roman"/>
          <w:color w:val="auto"/>
          <w:sz w:val="20"/>
          <w:szCs w:val="20"/>
          <w:vertAlign w:val="superscript"/>
          <w:lang w:val="sk-SK"/>
        </w:rPr>
        <w:t>2</w:t>
      </w:r>
      <w:r w:rsidRPr="00EF2265">
        <w:rPr>
          <w:rFonts w:ascii="Times New Roman" w:hAnsi="Times New Roman" w:cs="Times New Roman"/>
          <w:color w:val="auto"/>
          <w:sz w:val="20"/>
          <w:szCs w:val="20"/>
          <w:lang w:val="sk-SK"/>
        </w:rPr>
        <w:t xml:space="preserve">), </w:t>
      </w:r>
      <w:r w:rsidRPr="00EF2265">
        <w:rPr>
          <w:rFonts w:ascii="Times New Roman" w:hAnsi="Times New Roman" w:cs="Times New Roman"/>
          <w:bCs/>
          <w:color w:val="auto"/>
          <w:sz w:val="20"/>
          <w:szCs w:val="20"/>
          <w:lang w:val="sk-SK"/>
        </w:rPr>
        <w:t>dokázal identifikovať až 5 112 nových mayských stavieb a okrem nich až 6 080 poľnohospodárskych terás. O úspešnom výskume informovali aj viaceré slovenské médiá.</w:t>
      </w:r>
    </w:p>
    <w:p w:rsidR="00F83826" w:rsidRPr="00EF2265" w:rsidRDefault="00F83826" w:rsidP="00E86605">
      <w:pPr>
        <w:pStyle w:val="Default"/>
        <w:widowControl/>
        <w:rPr>
          <w:rFonts w:ascii="Times New Roman" w:hAnsi="Times New Roman" w:cs="Times New Roman"/>
          <w:color w:val="auto"/>
          <w:sz w:val="20"/>
          <w:szCs w:val="20"/>
          <w:lang w:val="sk-SK"/>
        </w:rPr>
      </w:pPr>
    </w:p>
    <w:p w:rsidR="00F83826" w:rsidRPr="00EF2265" w:rsidRDefault="00F83826" w:rsidP="00E86605">
      <w:pPr>
        <w:pStyle w:val="Default"/>
        <w:widowControl/>
        <w:numPr>
          <w:ilvl w:val="0"/>
          <w:numId w:val="20"/>
        </w:numPr>
        <w:autoSpaceDE w:val="0"/>
        <w:autoSpaceDN w:val="0"/>
        <w:adjustRightInd w:val="0"/>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V roku 2018 univerzita vyhlásila súťaž na ďalších 5 miest v schéme postdoktorandských pracovných pobytov. V tomto roku pôsobilo na STU spolu 14 postdoktorandov.</w:t>
      </w:r>
    </w:p>
    <w:p w:rsidR="00F83826" w:rsidRPr="00EF2265" w:rsidRDefault="00F83826" w:rsidP="00E86605">
      <w:pPr>
        <w:pStyle w:val="Odsekzoznamu"/>
        <w:rPr>
          <w:rFonts w:ascii="Times New Roman" w:hAnsi="Times New Roman"/>
          <w:sz w:val="20"/>
          <w:szCs w:val="20"/>
        </w:rPr>
      </w:pPr>
      <w:r w:rsidRPr="00EF2265">
        <w:rPr>
          <w:rFonts w:ascii="Times New Roman" w:hAnsi="Times New Roman"/>
          <w:sz w:val="20"/>
          <w:szCs w:val="20"/>
        </w:rPr>
        <w:t xml:space="preserve"> </w:t>
      </w:r>
    </w:p>
    <w:p w:rsidR="00F83826" w:rsidRPr="00EF2265" w:rsidRDefault="00F83826" w:rsidP="00E86605">
      <w:pPr>
        <w:pStyle w:val="Default"/>
        <w:widowControl/>
        <w:numPr>
          <w:ilvl w:val="0"/>
          <w:numId w:val="20"/>
        </w:numPr>
        <w:autoSpaceDE w:val="0"/>
        <w:autoSpaceDN w:val="0"/>
        <w:adjustRightInd w:val="0"/>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 xml:space="preserve">Na popredných priečkach sa v roku 2018 STU umiestnila medzi verejnými vysokými školami SR v získavaní finančných prostriedkov z domácich a zahraničných grantových agentúr. </w:t>
      </w:r>
    </w:p>
    <w:p w:rsidR="00F83826" w:rsidRPr="00EF2265" w:rsidRDefault="00F83826" w:rsidP="00E86605">
      <w:pPr>
        <w:pStyle w:val="Odsekzoznamu"/>
        <w:rPr>
          <w:rFonts w:ascii="Times New Roman" w:hAnsi="Times New Roman"/>
          <w:sz w:val="20"/>
          <w:szCs w:val="20"/>
        </w:rPr>
      </w:pPr>
    </w:p>
    <w:p w:rsidR="00F83826" w:rsidRPr="00EF2265" w:rsidRDefault="00F83826" w:rsidP="00E86605">
      <w:pPr>
        <w:pStyle w:val="Default"/>
        <w:widowControl/>
        <w:numPr>
          <w:ilvl w:val="0"/>
          <w:numId w:val="20"/>
        </w:numPr>
        <w:autoSpaceDE w:val="0"/>
        <w:autoSpaceDN w:val="0"/>
        <w:adjustRightInd w:val="0"/>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 xml:space="preserve">Výskumníci univerzity podali za rok 2018 desiatky nových žiadostí o účasť v konzorciách projektov v rámci rámcového programu Horizont 2020, pričom 5 z nich bolo bruselskou administratívou posúdených pozitívne a schválených na financovanie a ďalších 13 sa pri hodnotení dostalo nad prahové bodové hodnotenie. </w:t>
      </w:r>
    </w:p>
    <w:p w:rsidR="00F83826" w:rsidRPr="00EF2265" w:rsidRDefault="00F83826" w:rsidP="00E86605">
      <w:pPr>
        <w:pStyle w:val="Odsekzoznamu"/>
        <w:rPr>
          <w:rFonts w:ascii="Times New Roman" w:hAnsi="Times New Roman"/>
          <w:sz w:val="20"/>
          <w:szCs w:val="20"/>
        </w:rPr>
      </w:pPr>
    </w:p>
    <w:p w:rsidR="00F83826" w:rsidRPr="00EF2265" w:rsidRDefault="00F83826" w:rsidP="00E86605">
      <w:pPr>
        <w:pStyle w:val="Odsekzoznamu"/>
        <w:rPr>
          <w:rFonts w:ascii="Times New Roman" w:hAnsi="Times New Roman"/>
          <w:sz w:val="20"/>
          <w:szCs w:val="20"/>
        </w:rPr>
      </w:pPr>
    </w:p>
    <w:p w:rsidR="00F83826" w:rsidRPr="00EF2265" w:rsidRDefault="00F83826" w:rsidP="00E86605">
      <w:pPr>
        <w:pStyle w:val="Default"/>
        <w:widowControl/>
        <w:numPr>
          <w:ilvl w:val="0"/>
          <w:numId w:val="20"/>
        </w:numPr>
        <w:autoSpaceDE w:val="0"/>
        <w:autoSpaceDN w:val="0"/>
        <w:adjustRightInd w:val="0"/>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 xml:space="preserve">V máji 2018 si prevzal ocenenie Vedec roka 2017 </w:t>
      </w:r>
      <w:r w:rsidRPr="00EF2265">
        <w:rPr>
          <w:rFonts w:ascii="Times New Roman" w:hAnsi="Times New Roman" w:cs="Times New Roman"/>
          <w:bCs/>
          <w:color w:val="auto"/>
          <w:sz w:val="20"/>
          <w:szCs w:val="20"/>
          <w:lang w:val="sk-SK"/>
        </w:rPr>
        <w:t xml:space="preserve">v </w:t>
      </w:r>
      <w:r w:rsidRPr="00EF2265">
        <w:rPr>
          <w:rStyle w:val="Siln"/>
          <w:rFonts w:ascii="Times New Roman" w:hAnsi="Times New Roman" w:cs="Times New Roman"/>
          <w:color w:val="auto"/>
          <w:sz w:val="20"/>
          <w:szCs w:val="20"/>
          <w:lang w:val="sk-SK"/>
        </w:rPr>
        <w:t>kategórii Inovátor roka</w:t>
      </w:r>
      <w:r w:rsidR="00B125A9">
        <w:rPr>
          <w:rStyle w:val="Siln"/>
          <w:rFonts w:ascii="Times New Roman" w:hAnsi="Times New Roman" w:cs="Times New Roman"/>
          <w:color w:val="auto"/>
          <w:sz w:val="20"/>
          <w:szCs w:val="20"/>
          <w:lang w:val="sk-SK"/>
        </w:rPr>
        <w:t xml:space="preserve"> p</w:t>
      </w:r>
      <w:r w:rsidRPr="00EF2265">
        <w:rPr>
          <w:rStyle w:val="Siln"/>
          <w:rFonts w:ascii="Times New Roman" w:hAnsi="Times New Roman" w:cs="Times New Roman"/>
          <w:color w:val="auto"/>
          <w:sz w:val="20"/>
          <w:szCs w:val="20"/>
          <w:lang w:val="sk-SK"/>
        </w:rPr>
        <w:t>rof.</w:t>
      </w:r>
      <w:r w:rsidRPr="00EF2265">
        <w:rPr>
          <w:rFonts w:ascii="Times New Roman" w:hAnsi="Times New Roman" w:cs="Times New Roman"/>
          <w:sz w:val="20"/>
          <w:szCs w:val="20"/>
          <w:lang w:val="sk-SK"/>
        </w:rPr>
        <w:t> </w:t>
      </w:r>
      <w:r w:rsidRPr="00EF2265">
        <w:rPr>
          <w:rStyle w:val="Siln"/>
          <w:rFonts w:ascii="Times New Roman" w:hAnsi="Times New Roman" w:cs="Times New Roman"/>
          <w:color w:val="auto"/>
          <w:sz w:val="20"/>
          <w:szCs w:val="20"/>
          <w:lang w:val="sk-SK"/>
        </w:rPr>
        <w:t>Ing.</w:t>
      </w:r>
      <w:r w:rsidRPr="00EF2265">
        <w:rPr>
          <w:rFonts w:ascii="Times New Roman" w:hAnsi="Times New Roman" w:cs="Times New Roman"/>
          <w:sz w:val="20"/>
          <w:szCs w:val="20"/>
          <w:lang w:val="sk-SK"/>
        </w:rPr>
        <w:t> </w:t>
      </w:r>
      <w:r w:rsidRPr="00EF2265">
        <w:rPr>
          <w:rStyle w:val="Siln"/>
          <w:rFonts w:ascii="Times New Roman" w:hAnsi="Times New Roman" w:cs="Times New Roman"/>
          <w:color w:val="auto"/>
          <w:sz w:val="20"/>
          <w:szCs w:val="20"/>
          <w:lang w:val="sk-SK"/>
        </w:rPr>
        <w:t>Ľubomír</w:t>
      </w:r>
      <w:r w:rsidR="00B125A9">
        <w:rPr>
          <w:rStyle w:val="Siln"/>
          <w:rFonts w:ascii="Times New Roman" w:hAnsi="Times New Roman" w:cs="Times New Roman"/>
          <w:color w:val="auto"/>
          <w:sz w:val="20"/>
          <w:szCs w:val="20"/>
          <w:lang w:val="sk-SK"/>
        </w:rPr>
        <w:t xml:space="preserve"> </w:t>
      </w:r>
      <w:r w:rsidRPr="00EF2265">
        <w:rPr>
          <w:rStyle w:val="Siln"/>
          <w:rFonts w:ascii="Times New Roman" w:hAnsi="Times New Roman" w:cs="Times New Roman"/>
          <w:color w:val="auto"/>
          <w:sz w:val="20"/>
          <w:szCs w:val="20"/>
          <w:lang w:val="sk-SK"/>
        </w:rPr>
        <w:t>Šooš,</w:t>
      </w:r>
      <w:r w:rsidRPr="00EF2265">
        <w:rPr>
          <w:rFonts w:ascii="Times New Roman" w:hAnsi="Times New Roman" w:cs="Times New Roman"/>
          <w:sz w:val="20"/>
          <w:szCs w:val="20"/>
          <w:lang w:val="sk-SK"/>
        </w:rPr>
        <w:t> </w:t>
      </w:r>
      <w:r w:rsidRPr="00EF2265">
        <w:rPr>
          <w:rStyle w:val="Siln"/>
          <w:rFonts w:ascii="Times New Roman" w:hAnsi="Times New Roman" w:cs="Times New Roman"/>
          <w:color w:val="auto"/>
          <w:sz w:val="20"/>
          <w:szCs w:val="20"/>
          <w:lang w:val="sk-SK"/>
        </w:rPr>
        <w:t xml:space="preserve">PhD., </w:t>
      </w:r>
      <w:r w:rsidRPr="00B125A9">
        <w:rPr>
          <w:rStyle w:val="Siln"/>
          <w:rFonts w:ascii="Times New Roman" w:hAnsi="Times New Roman" w:cs="Times New Roman"/>
          <w:b w:val="0"/>
          <w:color w:val="auto"/>
          <w:sz w:val="20"/>
          <w:szCs w:val="20"/>
          <w:lang w:val="sk-SK"/>
        </w:rPr>
        <w:t>dekan Strojníckej fakulty</w:t>
      </w:r>
      <w:r w:rsidRPr="00B125A9">
        <w:rPr>
          <w:rFonts w:ascii="Times New Roman" w:hAnsi="Times New Roman" w:cs="Times New Roman"/>
          <w:b/>
          <w:color w:val="auto"/>
          <w:sz w:val="20"/>
          <w:szCs w:val="20"/>
          <w:lang w:val="sk-SK"/>
        </w:rPr>
        <w:t> </w:t>
      </w:r>
      <w:r w:rsidRPr="00B125A9">
        <w:rPr>
          <w:rStyle w:val="Siln"/>
          <w:rFonts w:ascii="Times New Roman" w:hAnsi="Times New Roman" w:cs="Times New Roman"/>
          <w:b w:val="0"/>
          <w:color w:val="auto"/>
          <w:sz w:val="20"/>
          <w:szCs w:val="20"/>
          <w:lang w:val="sk-SK"/>
        </w:rPr>
        <w:t>STU v Bratislave.</w:t>
      </w:r>
      <w:r w:rsidRPr="00EF2265">
        <w:rPr>
          <w:rStyle w:val="Siln"/>
          <w:rFonts w:ascii="Times New Roman" w:hAnsi="Times New Roman" w:cs="Times New Roman"/>
          <w:color w:val="auto"/>
          <w:sz w:val="20"/>
          <w:szCs w:val="20"/>
          <w:lang w:val="sk-SK"/>
        </w:rPr>
        <w:t> </w:t>
      </w:r>
      <w:r w:rsidRPr="00EF2265">
        <w:rPr>
          <w:rFonts w:ascii="Times New Roman" w:hAnsi="Times New Roman" w:cs="Times New Roman"/>
          <w:color w:val="auto"/>
          <w:sz w:val="20"/>
          <w:szCs w:val="20"/>
          <w:lang w:val="sk-SK"/>
        </w:rPr>
        <w:t>Ocenenie si prevzal  za vynikajúce výsledky a prínosy vo výskume, vývoji a návrhu nových progresívnych riešení konštrukčných uzlov, strojov, zariadení a technologických liniek vo výrobnej technike a pri zhodnocovaní odpadov.</w:t>
      </w:r>
    </w:p>
    <w:p w:rsidR="00F83826" w:rsidRPr="00EF2265" w:rsidRDefault="00F83826" w:rsidP="00E86605">
      <w:pPr>
        <w:pStyle w:val="Default"/>
        <w:widowControl/>
        <w:ind w:left="720"/>
        <w:rPr>
          <w:rFonts w:ascii="Times New Roman" w:hAnsi="Times New Roman" w:cs="Times New Roman"/>
          <w:color w:val="auto"/>
          <w:sz w:val="20"/>
          <w:szCs w:val="20"/>
          <w:lang w:val="sk-SK"/>
        </w:rPr>
      </w:pPr>
    </w:p>
    <w:p w:rsidR="00F83826" w:rsidRPr="00EF2265" w:rsidRDefault="00F83826" w:rsidP="00E86605">
      <w:pPr>
        <w:pStyle w:val="Odsekzoznamu"/>
        <w:tabs>
          <w:tab w:val="left" w:pos="1850"/>
        </w:tabs>
        <w:rPr>
          <w:rFonts w:ascii="Times New Roman" w:hAnsi="Times New Roman"/>
          <w:sz w:val="20"/>
          <w:szCs w:val="20"/>
        </w:rPr>
      </w:pPr>
    </w:p>
    <w:p w:rsidR="00F83826" w:rsidRPr="00EF2265" w:rsidRDefault="00F83826" w:rsidP="00E86605">
      <w:pPr>
        <w:pStyle w:val="Default"/>
        <w:widowControl/>
        <w:numPr>
          <w:ilvl w:val="0"/>
          <w:numId w:val="20"/>
        </w:numPr>
        <w:autoSpaceDE w:val="0"/>
        <w:autoSpaceDN w:val="0"/>
        <w:adjustRightInd w:val="0"/>
        <w:rPr>
          <w:rFonts w:ascii="Times New Roman" w:hAnsi="Times New Roman" w:cs="Times New Roman"/>
          <w:sz w:val="20"/>
          <w:szCs w:val="20"/>
          <w:lang w:val="sk-SK"/>
        </w:rPr>
      </w:pPr>
      <w:r w:rsidRPr="00EF2265">
        <w:rPr>
          <w:rFonts w:ascii="Times New Roman" w:hAnsi="Times New Roman" w:cs="Times New Roman"/>
          <w:sz w:val="20"/>
          <w:szCs w:val="20"/>
          <w:lang w:val="sk-SK"/>
        </w:rPr>
        <w:t xml:space="preserve">Cenu Aurela Stodolu za vynikajúcu dizertačnú prácu v roku 2018 získal </w:t>
      </w:r>
      <w:r w:rsidRPr="00EF2265">
        <w:rPr>
          <w:rStyle w:val="Siln"/>
          <w:rFonts w:ascii="Times New Roman" w:hAnsi="Times New Roman" w:cs="Times New Roman"/>
          <w:sz w:val="20"/>
          <w:szCs w:val="20"/>
          <w:lang w:val="sk-SK"/>
        </w:rPr>
        <w:t>Ing.</w:t>
      </w:r>
      <w:r w:rsidRPr="00EF2265">
        <w:rPr>
          <w:rFonts w:ascii="Times New Roman" w:hAnsi="Times New Roman" w:cs="Times New Roman"/>
          <w:b/>
          <w:color w:val="auto"/>
          <w:sz w:val="20"/>
          <w:szCs w:val="20"/>
          <w:lang w:val="sk-SK"/>
        </w:rPr>
        <w:t> </w:t>
      </w:r>
      <w:r w:rsidRPr="00EF2265">
        <w:rPr>
          <w:rStyle w:val="Siln"/>
          <w:rFonts w:ascii="Times New Roman" w:hAnsi="Times New Roman" w:cs="Times New Roman"/>
          <w:sz w:val="20"/>
          <w:szCs w:val="20"/>
          <w:lang w:val="sk-SK"/>
        </w:rPr>
        <w:t>Jozef</w:t>
      </w:r>
      <w:r w:rsidRPr="00EF2265">
        <w:rPr>
          <w:rFonts w:ascii="Times New Roman" w:hAnsi="Times New Roman" w:cs="Times New Roman"/>
          <w:b/>
          <w:color w:val="auto"/>
          <w:sz w:val="20"/>
          <w:szCs w:val="20"/>
          <w:lang w:val="sk-SK"/>
        </w:rPr>
        <w:t> </w:t>
      </w:r>
      <w:r w:rsidRPr="00EF2265">
        <w:rPr>
          <w:rStyle w:val="Siln"/>
          <w:rFonts w:ascii="Times New Roman" w:hAnsi="Times New Roman" w:cs="Times New Roman"/>
          <w:sz w:val="20"/>
          <w:szCs w:val="20"/>
          <w:lang w:val="sk-SK"/>
        </w:rPr>
        <w:t>Bendík,</w:t>
      </w:r>
      <w:r w:rsidRPr="00EF2265">
        <w:rPr>
          <w:rFonts w:ascii="Times New Roman" w:hAnsi="Times New Roman" w:cs="Times New Roman"/>
          <w:b/>
          <w:color w:val="auto"/>
          <w:sz w:val="20"/>
          <w:szCs w:val="20"/>
          <w:lang w:val="sk-SK"/>
        </w:rPr>
        <w:t> </w:t>
      </w:r>
      <w:r w:rsidRPr="00EF2265">
        <w:rPr>
          <w:rStyle w:val="Siln"/>
          <w:rFonts w:ascii="Times New Roman" w:hAnsi="Times New Roman" w:cs="Times New Roman"/>
          <w:sz w:val="20"/>
          <w:szCs w:val="20"/>
          <w:lang w:val="sk-SK"/>
        </w:rPr>
        <w:t>PhD.,</w:t>
      </w:r>
      <w:r w:rsidRPr="00EF2265">
        <w:rPr>
          <w:rFonts w:ascii="Times New Roman" w:hAnsi="Times New Roman" w:cs="Times New Roman"/>
          <w:sz w:val="20"/>
          <w:szCs w:val="20"/>
          <w:lang w:val="sk-SK"/>
        </w:rPr>
        <w:t xml:space="preserve"> z FEI STU za prácu Elektromagnetické polia v okolí vonkajších silových vedení. STU získalo v súťaži aj ďalšie dve ceny.</w:t>
      </w:r>
    </w:p>
    <w:p w:rsidR="00F83826" w:rsidRPr="00EF2265" w:rsidRDefault="00F83826" w:rsidP="00E86605">
      <w:pPr>
        <w:pStyle w:val="Default"/>
        <w:widowControl/>
        <w:ind w:left="720"/>
        <w:rPr>
          <w:rFonts w:ascii="Times New Roman" w:hAnsi="Times New Roman" w:cs="Times New Roman"/>
          <w:color w:val="auto"/>
          <w:sz w:val="20"/>
          <w:szCs w:val="20"/>
          <w:lang w:val="sk-SK"/>
        </w:rPr>
      </w:pPr>
    </w:p>
    <w:p w:rsidR="00F83826" w:rsidRPr="00EF2265" w:rsidRDefault="00F83826" w:rsidP="00E86605">
      <w:pPr>
        <w:pStyle w:val="Default"/>
        <w:widowControl/>
        <w:numPr>
          <w:ilvl w:val="0"/>
          <w:numId w:val="20"/>
        </w:numPr>
        <w:autoSpaceDE w:val="0"/>
        <w:autoSpaceDN w:val="0"/>
        <w:adjustRightInd w:val="0"/>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 xml:space="preserve">Úrad pre normalizáciu, metrológiu a skúšobníctvo Slovenskej republiky udelil cenu za najlepší vedecký kolektív v oblasti metrológie kolektívu </w:t>
      </w:r>
      <w:r w:rsidRPr="00B125A9">
        <w:rPr>
          <w:rFonts w:ascii="Times New Roman" w:hAnsi="Times New Roman" w:cs="Times New Roman"/>
          <w:b/>
          <w:color w:val="auto"/>
          <w:sz w:val="20"/>
          <w:szCs w:val="20"/>
          <w:lang w:val="sk-SK"/>
        </w:rPr>
        <w:t>p</w:t>
      </w:r>
      <w:r w:rsidRPr="00B125A9">
        <w:rPr>
          <w:rFonts w:ascii="Times New Roman" w:hAnsi="Times New Roman" w:cs="Times New Roman"/>
          <w:b/>
          <w:bCs/>
          <w:color w:val="auto"/>
          <w:sz w:val="20"/>
          <w:szCs w:val="20"/>
          <w:lang w:val="sk-SK"/>
        </w:rPr>
        <w:t>rof.</w:t>
      </w:r>
      <w:r w:rsidRPr="00B125A9">
        <w:rPr>
          <w:rFonts w:ascii="Times New Roman" w:hAnsi="Times New Roman" w:cs="Times New Roman"/>
          <w:b/>
          <w:sz w:val="20"/>
          <w:szCs w:val="20"/>
          <w:lang w:val="sk-SK"/>
        </w:rPr>
        <w:t> </w:t>
      </w:r>
      <w:r w:rsidRPr="00B125A9">
        <w:rPr>
          <w:rFonts w:ascii="Times New Roman" w:hAnsi="Times New Roman" w:cs="Times New Roman"/>
          <w:b/>
          <w:bCs/>
          <w:color w:val="auto"/>
          <w:sz w:val="20"/>
          <w:szCs w:val="20"/>
          <w:lang w:val="sk-SK"/>
        </w:rPr>
        <w:t>Ing. Rudolfa Palenčára, CSc.</w:t>
      </w:r>
      <w:r w:rsidRPr="00EF2265">
        <w:rPr>
          <w:rFonts w:ascii="Times New Roman" w:hAnsi="Times New Roman" w:cs="Times New Roman"/>
          <w:bCs/>
          <w:color w:val="auto"/>
          <w:sz w:val="20"/>
          <w:szCs w:val="20"/>
          <w:lang w:val="sk-SK"/>
        </w:rPr>
        <w:t>,</w:t>
      </w:r>
      <w:r w:rsidRPr="00EF2265">
        <w:rPr>
          <w:rFonts w:ascii="Times New Roman" w:hAnsi="Times New Roman" w:cs="Times New Roman"/>
          <w:color w:val="auto"/>
          <w:sz w:val="20"/>
          <w:szCs w:val="20"/>
          <w:lang w:val="sk-SK"/>
        </w:rPr>
        <w:t xml:space="preserve"> z Ústavu automatizácie, merania a aplikovanej informatiky Strojníckej fakulty STU v Bratislave.</w:t>
      </w:r>
    </w:p>
    <w:p w:rsidR="00F83826" w:rsidRPr="00EF2265" w:rsidRDefault="00F83826" w:rsidP="00E86605">
      <w:pPr>
        <w:pStyle w:val="Odsekzoznamu"/>
        <w:rPr>
          <w:rFonts w:ascii="Times New Roman" w:hAnsi="Times New Roman"/>
          <w:sz w:val="20"/>
          <w:szCs w:val="20"/>
        </w:rPr>
      </w:pPr>
    </w:p>
    <w:p w:rsidR="00F83826" w:rsidRPr="00EF2265" w:rsidRDefault="00F83826" w:rsidP="00E86605">
      <w:pPr>
        <w:pStyle w:val="Default"/>
        <w:widowControl/>
        <w:numPr>
          <w:ilvl w:val="0"/>
          <w:numId w:val="20"/>
        </w:numPr>
        <w:autoSpaceDE w:val="0"/>
        <w:autoSpaceDN w:val="0"/>
        <w:adjustRightInd w:val="0"/>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 xml:space="preserve">Na 25. medzinárodnom strojárskom veľtrhu v Nitre získal exponát "Volant 4. generácie" 1. miesto v súťaži kategória Techfórum 2018. Autorom tohto integrovaného riadiaceho systému s využitím prvkov umelej inteligencie, určeného na vyobrazovanie a nastavenie parametrov monopostu je </w:t>
      </w:r>
      <w:r w:rsidRPr="00B125A9">
        <w:rPr>
          <w:rFonts w:ascii="Times New Roman" w:hAnsi="Times New Roman" w:cs="Times New Roman"/>
          <w:b/>
          <w:color w:val="auto"/>
          <w:sz w:val="20"/>
          <w:szCs w:val="20"/>
          <w:lang w:val="sk-SK"/>
        </w:rPr>
        <w:t>Bc. Stanislav Zeman</w:t>
      </w:r>
      <w:r w:rsidR="00B125A9">
        <w:rPr>
          <w:rFonts w:ascii="Times New Roman" w:hAnsi="Times New Roman" w:cs="Times New Roman"/>
          <w:color w:val="auto"/>
          <w:sz w:val="20"/>
          <w:szCs w:val="20"/>
          <w:lang w:val="sk-SK"/>
        </w:rPr>
        <w:t xml:space="preserve"> </w:t>
      </w:r>
      <w:r w:rsidRPr="00EF2265">
        <w:rPr>
          <w:rFonts w:ascii="Times New Roman" w:hAnsi="Times New Roman" w:cs="Times New Roman"/>
          <w:color w:val="auto"/>
          <w:sz w:val="20"/>
          <w:szCs w:val="20"/>
          <w:lang w:val="sk-SK"/>
        </w:rPr>
        <w:t xml:space="preserve">z Ústavu automatizácie, merania a aplikovanej informatiky SjF STU. </w:t>
      </w:r>
    </w:p>
    <w:p w:rsidR="00F83826" w:rsidRPr="00EF2265" w:rsidRDefault="00F83826" w:rsidP="00E86605">
      <w:pPr>
        <w:pStyle w:val="Default"/>
        <w:widowControl/>
        <w:ind w:left="720"/>
        <w:rPr>
          <w:rFonts w:ascii="Times New Roman" w:hAnsi="Times New Roman" w:cs="Times New Roman"/>
          <w:color w:val="auto"/>
          <w:sz w:val="20"/>
          <w:szCs w:val="20"/>
          <w:lang w:val="sk-SK"/>
        </w:rPr>
      </w:pPr>
    </w:p>
    <w:p w:rsidR="00F83826" w:rsidRPr="00EF2265" w:rsidRDefault="00F83826" w:rsidP="00E86605">
      <w:pPr>
        <w:jc w:val="left"/>
        <w:rPr>
          <w:rFonts w:ascii="Times New Roman" w:hAnsi="Times New Roman"/>
          <w:sz w:val="20"/>
          <w:szCs w:val="20"/>
        </w:rPr>
      </w:pPr>
    </w:p>
    <w:p w:rsidR="00F83826" w:rsidRPr="00EF2265" w:rsidRDefault="00F83826" w:rsidP="00E86605">
      <w:pPr>
        <w:pStyle w:val="Nadpis2"/>
        <w:keepLines w:val="0"/>
        <w:numPr>
          <w:ilvl w:val="1"/>
          <w:numId w:val="28"/>
        </w:numPr>
        <w:tabs>
          <w:tab w:val="clear" w:pos="567"/>
        </w:tabs>
        <w:spacing w:after="0" w:line="276" w:lineRule="auto"/>
        <w:rPr>
          <w:rFonts w:ascii="Times New Roman" w:hAnsi="Times New Roman" w:cs="Times New Roman"/>
          <w:i/>
          <w:sz w:val="20"/>
          <w:szCs w:val="20"/>
        </w:rPr>
      </w:pPr>
      <w:bookmarkStart w:id="158" w:name="_Toc450247169"/>
      <w:r w:rsidRPr="00EF2265">
        <w:rPr>
          <w:rFonts w:ascii="Times New Roman" w:hAnsi="Times New Roman" w:cs="Times New Roman"/>
          <w:sz w:val="20"/>
          <w:szCs w:val="20"/>
        </w:rPr>
        <w:t xml:space="preserve"> </w:t>
      </w:r>
      <w:bookmarkStart w:id="159" w:name="_Toc4589986"/>
      <w:r w:rsidRPr="00EF2265">
        <w:rPr>
          <w:rFonts w:ascii="Times New Roman" w:hAnsi="Times New Roman" w:cs="Times New Roman"/>
          <w:sz w:val="20"/>
          <w:szCs w:val="20"/>
        </w:rPr>
        <w:t>Východiská a vedecko-výskumná výkonnosť STU</w:t>
      </w:r>
      <w:bookmarkEnd w:id="158"/>
      <w:bookmarkEnd w:id="159"/>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Základnými východiskami pre uskutočňovanie vedecko-výskumnej činnosti univerzity sú získané finančné prostriedky z rozpočtu odvíjajúce sa od externých faktorov daných hodnotením univerzity, či už v rámci komplexnej akreditácie, alebo podiel univerzity na ukazovateľoch, ktorými vstupuje do rozdelenia dotácie na bežný kalendárny rok. Rovnako tiež interné faktory, reprezentované predovšetkým existujúcou výskumnou kapacitou a jej štruktúrou a v neposlednom rade prístrojová a informačná infraštruktúra pracovísk.</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Graf č. 5.1 dokumentuje podiel STU a vybraných verejných vysokých škôl na Slovensku pri získavaní domácich výskumných grantov, zahraničných výskumných grantov, finančných prostriedkov na výskumných projektoch </w:t>
      </w:r>
      <w:r w:rsidRPr="00EF2265">
        <w:rPr>
          <w:rFonts w:ascii="Times New Roman" w:hAnsi="Times New Roman"/>
          <w:sz w:val="20"/>
          <w:szCs w:val="20"/>
        </w:rPr>
        <w:lastRenderedPageBreak/>
        <w:t>od iných subjektov (ZoD) a ostatných zahraničných grantoch podľa informácií MŠVVaŠ SR, ktoré boli použité ako podklad pri určení dotácie na rok 2019 (v súlade s metodikou delenia dotácie teda ide o údaje z rokov 2016 a 2017). STU v hodnotení patrí medzi najlepšie univerzity. V úspešnosti získavania grantov dominuje na Slovensku 4 až 5 univerzít.</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V domácich výskumných grantoch spolu 7 vysokých škôl získalo 80 % podiel na získaných finančných prostriedkoch a STU získalo 19 % z celkového počtu.</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V zahraničných výskumných grantoch 7 vysokých škôl získalo spolu 90 % z objemu získaných finančných prostriedkov a STU má 16 % podiel z celkového objemu.</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Vo výskumných grantoch od iných subjektov 6 univerzít získalo spolu 95 % z objemu získaných finančných prostriedkov a STU z toho 25 %, čo predstavuje 4-percentný nárast oproti predchádzajúcemu sledovanému roku.</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V ostatných zahraničných grantoch STU figuruje na druhom mieste s 11 % z objemu získaných finančných prostriedkov. </w:t>
      </w: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Graf 5.1: Podiel vybraných slovenských verejných vysokých škôl na finančných prostriedkoch získaných z domácich a zahraničných grantov, ako aj výskumných projektov od iných subjektov pri delení dotácie na rok 2019</w:t>
      </w:r>
    </w:p>
    <w:p w:rsidR="00F83826" w:rsidRPr="00EF2265" w:rsidRDefault="00F83826" w:rsidP="00E86605">
      <w:pPr>
        <w:jc w:val="left"/>
        <w:rPr>
          <w:rFonts w:ascii="Times New Roman" w:hAnsi="Times New Roman"/>
          <w:sz w:val="20"/>
          <w:szCs w:val="20"/>
          <w:highlight w:val="red"/>
        </w:rPr>
      </w:pPr>
      <w:r w:rsidRPr="00EF2265">
        <w:rPr>
          <w:rFonts w:ascii="Times New Roman" w:hAnsi="Times New Roman"/>
          <w:noProof/>
          <w:sz w:val="20"/>
          <w:szCs w:val="20"/>
          <w:lang w:eastAsia="sk-SK"/>
        </w:rPr>
        <w:drawing>
          <wp:inline distT="0" distB="0" distL="0" distR="0" wp14:anchorId="79A0E30B" wp14:editId="2C331B8D">
            <wp:extent cx="3971499" cy="2442949"/>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83826" w:rsidRPr="00EF2265" w:rsidRDefault="00F83826" w:rsidP="00E86605">
      <w:pPr>
        <w:jc w:val="left"/>
        <w:rPr>
          <w:rFonts w:ascii="Times New Roman" w:hAnsi="Times New Roman"/>
          <w:sz w:val="20"/>
          <w:szCs w:val="20"/>
          <w:highlight w:val="red"/>
        </w:rPr>
      </w:pPr>
      <w:r w:rsidRPr="00EF2265">
        <w:rPr>
          <w:rFonts w:ascii="Times New Roman" w:hAnsi="Times New Roman"/>
          <w:noProof/>
          <w:sz w:val="20"/>
          <w:szCs w:val="20"/>
          <w:lang w:eastAsia="sk-SK"/>
        </w:rPr>
        <w:drawing>
          <wp:inline distT="0" distB="0" distL="0" distR="0" wp14:anchorId="3FB4C21F" wp14:editId="1487E732">
            <wp:extent cx="4299045" cy="2463421"/>
            <wp:effectExtent l="0" t="0" r="635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83826" w:rsidRPr="00EF2265" w:rsidRDefault="00F83826" w:rsidP="00E86605">
      <w:pPr>
        <w:jc w:val="left"/>
        <w:rPr>
          <w:rFonts w:ascii="Times New Roman" w:hAnsi="Times New Roman"/>
          <w:sz w:val="20"/>
          <w:szCs w:val="20"/>
          <w:highlight w:val="red"/>
        </w:rPr>
      </w:pPr>
      <w:r w:rsidRPr="00EF2265">
        <w:rPr>
          <w:rFonts w:ascii="Times New Roman" w:hAnsi="Times New Roman"/>
          <w:noProof/>
          <w:sz w:val="20"/>
          <w:szCs w:val="20"/>
          <w:lang w:eastAsia="sk-SK"/>
        </w:rPr>
        <w:lastRenderedPageBreak/>
        <w:drawing>
          <wp:inline distT="0" distB="0" distL="0" distR="0" wp14:anchorId="3CBD2B07" wp14:editId="4028786B">
            <wp:extent cx="4292221" cy="2565779"/>
            <wp:effectExtent l="0" t="0" r="0" b="635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83826" w:rsidRPr="00EF2265" w:rsidRDefault="00F83826" w:rsidP="00E86605">
      <w:pPr>
        <w:jc w:val="left"/>
        <w:rPr>
          <w:rFonts w:ascii="Times New Roman" w:hAnsi="Times New Roman"/>
          <w:noProof/>
          <w:sz w:val="20"/>
          <w:szCs w:val="20"/>
          <w:lang w:eastAsia="sk-SK"/>
        </w:rPr>
      </w:pPr>
      <w:r w:rsidRPr="00EF2265">
        <w:rPr>
          <w:rFonts w:ascii="Times New Roman" w:hAnsi="Times New Roman"/>
          <w:noProof/>
          <w:sz w:val="20"/>
          <w:szCs w:val="20"/>
          <w:lang w:eastAsia="sk-SK"/>
        </w:rPr>
        <w:drawing>
          <wp:inline distT="0" distB="0" distL="0" distR="0" wp14:anchorId="6BA088A5" wp14:editId="08A711BD">
            <wp:extent cx="4271750" cy="2415654"/>
            <wp:effectExtent l="0" t="0" r="0" b="381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STU aj v publikačnej činnosti patrí medzi najlepšie verejné vysoké školy. Dokumentuje to graf č. 5.2, ktorý vychádza z údajov MŠVVaŠ SR za rok 2017. 6 verejných vysokých škôl spolu produkuje 74 % všetkých publikácií.</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noProof/>
          <w:sz w:val="20"/>
          <w:szCs w:val="20"/>
          <w:lang w:eastAsia="sk-SK"/>
        </w:rPr>
      </w:pPr>
      <w:r w:rsidRPr="00EF2265">
        <w:rPr>
          <w:rFonts w:ascii="Times New Roman" w:hAnsi="Times New Roman"/>
          <w:b/>
          <w:sz w:val="20"/>
          <w:szCs w:val="20"/>
        </w:rPr>
        <w:t>Graf č. 5.2: Podiel verejných VŠ na celkovej publikačnej činnosti pri delení dotácie na rok 2019</w:t>
      </w:r>
    </w:p>
    <w:p w:rsidR="00F83826" w:rsidRPr="00EF2265" w:rsidRDefault="00F83826" w:rsidP="00E86605">
      <w:pPr>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0C603370" wp14:editId="61A216DE">
            <wp:extent cx="3493827" cy="2026693"/>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Porovnanie najúspešnejších vysokých škôl v získavaní finančných prostriedkov z výskumných domácich a zahraničných grantových agentúr dokumentuje graf č. 5.3. Krivka s označením ostatné zahŕňa sumár údajov 13/14 zvyšných vysokých škôl (domáce/zahraničné granty). Uvedené sú údaje podľa MŠVVaŠ SR použité pri delení dotácie na príslušný rok. STU zaznamenáva v posledných rokoch nárast objemu prostriedkov v domácich výskumných grantoch. V domácich výskumných grantoch nárast v roku 2017 v porovnaní s predchádzajúcim </w:t>
      </w:r>
      <w:r w:rsidRPr="00EF2265">
        <w:rPr>
          <w:rFonts w:ascii="Times New Roman" w:hAnsi="Times New Roman"/>
          <w:sz w:val="20"/>
          <w:szCs w:val="20"/>
        </w:rPr>
        <w:lastRenderedPageBreak/>
        <w:t>obdobím predstavuje 12,9 percent. Počty publikácií vybraných verejných vysokých škôl za obdobie rokov 2013 – 2018, podľa databázy SCOPUS, sú dokumentované na grafe č. 5.4.</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 xml:space="preserve">Graf č. 5.3: Postavenie vybraných slovenských verejných vysokých škôl pri získavaní financií z domácich aj zahraničných grantových agentúr. Spracované podľa verejne dostupných informácií MŠVVaŠ SR pri delení dotácie na príslušný rok v súlade s metodikou MŠVVaŠ SR, údaje sú z rokov 2009 až 2017. </w:t>
      </w:r>
    </w:p>
    <w:p w:rsidR="00F83826" w:rsidRPr="00EF2265" w:rsidRDefault="00F83826" w:rsidP="00E86605">
      <w:pPr>
        <w:jc w:val="left"/>
        <w:rPr>
          <w:rFonts w:ascii="Times New Roman" w:hAnsi="Times New Roman"/>
          <w:b/>
          <w:sz w:val="20"/>
          <w:szCs w:val="20"/>
        </w:rPr>
      </w:pPr>
      <w:r w:rsidRPr="00EF2265">
        <w:rPr>
          <w:rFonts w:ascii="Times New Roman" w:hAnsi="Times New Roman"/>
          <w:noProof/>
          <w:sz w:val="20"/>
          <w:szCs w:val="20"/>
          <w:lang w:eastAsia="sk-SK"/>
        </w:rPr>
        <w:drawing>
          <wp:inline distT="0" distB="0" distL="0" distR="0" wp14:anchorId="225431EB" wp14:editId="130BD419">
            <wp:extent cx="5353277" cy="3429226"/>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83826" w:rsidRPr="00EF2265" w:rsidRDefault="00F83826" w:rsidP="00E86605">
      <w:pPr>
        <w:jc w:val="left"/>
        <w:rPr>
          <w:rFonts w:ascii="Times New Roman" w:hAnsi="Times New Roman"/>
          <w:noProof/>
          <w:sz w:val="20"/>
          <w:szCs w:val="20"/>
          <w:lang w:eastAsia="sk-SK"/>
        </w:rPr>
      </w:pPr>
      <w:r w:rsidRPr="00EF2265">
        <w:rPr>
          <w:rFonts w:ascii="Times New Roman" w:hAnsi="Times New Roman"/>
          <w:noProof/>
          <w:sz w:val="20"/>
          <w:szCs w:val="20"/>
          <w:lang w:eastAsia="sk-SK"/>
        </w:rPr>
        <w:drawing>
          <wp:inline distT="0" distB="0" distL="0" distR="0" wp14:anchorId="47D480BF" wp14:editId="3E5C0C08">
            <wp:extent cx="5756910" cy="4284938"/>
            <wp:effectExtent l="0" t="0" r="0" b="190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lastRenderedPageBreak/>
        <w:t>Graf č. 5.4: Počty publikácií vybraných verejných vysokých škôl za obdobie rokov 2013 - 2018 podľa databázy SCOPUS</w:t>
      </w:r>
    </w:p>
    <w:p w:rsidR="00F83826" w:rsidRPr="00EF2265" w:rsidRDefault="00F83826" w:rsidP="00E86605">
      <w:pPr>
        <w:jc w:val="left"/>
        <w:rPr>
          <w:rFonts w:ascii="Times New Roman" w:hAnsi="Times New Roman"/>
          <w:sz w:val="20"/>
          <w:szCs w:val="20"/>
          <w:highlight w:val="yellow"/>
        </w:rPr>
      </w:pPr>
    </w:p>
    <w:p w:rsidR="00F83826" w:rsidRPr="00EF2265" w:rsidRDefault="00F83826" w:rsidP="00E86605">
      <w:pPr>
        <w:jc w:val="left"/>
        <w:rPr>
          <w:rFonts w:ascii="Times New Roman" w:hAnsi="Times New Roman"/>
          <w:b/>
          <w:sz w:val="20"/>
          <w:szCs w:val="20"/>
        </w:rPr>
      </w:pPr>
      <w:r w:rsidRPr="00EF2265">
        <w:rPr>
          <w:rFonts w:ascii="Times New Roman" w:hAnsi="Times New Roman"/>
          <w:noProof/>
          <w:sz w:val="20"/>
          <w:szCs w:val="20"/>
          <w:lang w:eastAsia="sk-SK"/>
        </w:rPr>
        <w:drawing>
          <wp:inline distT="0" distB="0" distL="0" distR="0" wp14:anchorId="6C467747" wp14:editId="665ADFF8">
            <wp:extent cx="5756910" cy="3748785"/>
            <wp:effectExtent l="0" t="0" r="0" b="4445"/>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Tab. č. 5.1 uvádza prepočítané počty tvorivých výskumných a umeleckých pracovníkov (učiteľov a výskumných a umeleckých pracovníkov s vysokoškolským vzdelaním) 1-12/2018. STU medziročne zaznamenáva pokles tvorivých pracovníkov už niekoľko rokov. Za minuloročné sledované obdobie je pokles výskumnej kapacity v porovnaní s rokom 2017 minimálny, a to 0,16 %. Zmeny oproti predošlému roku sú uvedené v poslednom stĺpci. Pokles medzi rokmi 2016 a 2015 bol 2,5 %. Podiel súčastí STU na celkovej výskumnej kapacite v roku 2018 je ilustrovaný v grafe č. 5.5.</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Tab. č. 5.1: Prepočítané počty tvorivých pracovníkov súčastí STU za obdobie 1-12/2018</w:t>
      </w:r>
    </w:p>
    <w:tbl>
      <w:tblPr>
        <w:tblW w:w="9840" w:type="dxa"/>
        <w:tblInd w:w="55" w:type="dxa"/>
        <w:tblCellMar>
          <w:left w:w="70" w:type="dxa"/>
          <w:right w:w="70" w:type="dxa"/>
        </w:tblCellMar>
        <w:tblLook w:val="04A0" w:firstRow="1" w:lastRow="0" w:firstColumn="1" w:lastColumn="0" w:noHBand="0" w:noVBand="1"/>
      </w:tblPr>
      <w:tblGrid>
        <w:gridCol w:w="1820"/>
        <w:gridCol w:w="1212"/>
        <w:gridCol w:w="1007"/>
        <w:gridCol w:w="1355"/>
        <w:gridCol w:w="906"/>
        <w:gridCol w:w="1300"/>
        <w:gridCol w:w="1120"/>
        <w:gridCol w:w="1120"/>
      </w:tblGrid>
      <w:tr w:rsidR="00F83826" w:rsidRPr="00EF2265" w:rsidTr="00B15B10">
        <w:trPr>
          <w:trHeight w:val="255"/>
        </w:trPr>
        <w:tc>
          <w:tcPr>
            <w:tcW w:w="1820" w:type="dxa"/>
            <w:tcBorders>
              <w:top w:val="nil"/>
              <w:left w:val="nil"/>
              <w:bottom w:val="nil"/>
              <w:right w:val="nil"/>
            </w:tcBorders>
            <w:shd w:val="clear" w:color="auto" w:fill="auto"/>
            <w:noWrap/>
            <w:vAlign w:val="bottom"/>
            <w:hideMark/>
          </w:tcPr>
          <w:p w:rsidR="00F83826" w:rsidRPr="00EF2265" w:rsidRDefault="00F83826" w:rsidP="00E86605">
            <w:pPr>
              <w:jc w:val="left"/>
              <w:rPr>
                <w:rFonts w:ascii="Times New Roman" w:eastAsia="Times New Roman" w:hAnsi="Times New Roman"/>
                <w:sz w:val="20"/>
                <w:szCs w:val="20"/>
                <w:lang w:eastAsia="sk-SK"/>
              </w:rPr>
            </w:pPr>
          </w:p>
        </w:tc>
        <w:tc>
          <w:tcPr>
            <w:tcW w:w="4480" w:type="dxa"/>
            <w:gridSpan w:val="4"/>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VŠ učitelia</w:t>
            </w:r>
          </w:p>
        </w:tc>
        <w:tc>
          <w:tcPr>
            <w:tcW w:w="1300" w:type="dxa"/>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Výsk. prac. s VŠ vzdel.</w:t>
            </w:r>
          </w:p>
        </w:tc>
        <w:tc>
          <w:tcPr>
            <w:tcW w:w="1120" w:type="dxa"/>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Výskumná kapacita</w:t>
            </w:r>
          </w:p>
        </w:tc>
        <w:tc>
          <w:tcPr>
            <w:tcW w:w="1120" w:type="dxa"/>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Rozdiel VK oproti 2017</w:t>
            </w:r>
          </w:p>
        </w:tc>
      </w:tr>
      <w:tr w:rsidR="00F83826" w:rsidRPr="00EF2265" w:rsidTr="00B15B10">
        <w:trPr>
          <w:trHeight w:val="270"/>
        </w:trPr>
        <w:tc>
          <w:tcPr>
            <w:tcW w:w="1820" w:type="dxa"/>
            <w:tcBorders>
              <w:top w:val="nil"/>
              <w:left w:val="nil"/>
              <w:bottom w:val="nil"/>
              <w:right w:val="nil"/>
            </w:tcBorders>
            <w:shd w:val="clear" w:color="auto" w:fill="auto"/>
            <w:noWrap/>
            <w:vAlign w:val="bottom"/>
            <w:hideMark/>
          </w:tcPr>
          <w:p w:rsidR="00F83826" w:rsidRPr="00EF2265" w:rsidRDefault="00F83826" w:rsidP="00E86605">
            <w:pPr>
              <w:jc w:val="left"/>
              <w:rPr>
                <w:rFonts w:ascii="Times New Roman" w:eastAsia="Times New Roman" w:hAnsi="Times New Roman"/>
                <w:sz w:val="20"/>
                <w:szCs w:val="20"/>
                <w:lang w:eastAsia="sk-SK"/>
              </w:rPr>
            </w:pPr>
          </w:p>
        </w:tc>
        <w:tc>
          <w:tcPr>
            <w:tcW w:w="1212" w:type="dxa"/>
            <w:tcBorders>
              <w:top w:val="nil"/>
              <w:left w:val="single" w:sz="8" w:space="0" w:color="auto"/>
              <w:bottom w:val="single" w:sz="8" w:space="0" w:color="auto"/>
              <w:right w:val="single" w:sz="8" w:space="0" w:color="auto"/>
            </w:tcBorders>
            <w:shd w:val="clear" w:color="000000" w:fill="92D05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profesori</w:t>
            </w:r>
          </w:p>
        </w:tc>
        <w:tc>
          <w:tcPr>
            <w:tcW w:w="1007" w:type="dxa"/>
            <w:tcBorders>
              <w:top w:val="nil"/>
              <w:left w:val="nil"/>
              <w:bottom w:val="single" w:sz="8" w:space="0" w:color="auto"/>
              <w:right w:val="single" w:sz="8" w:space="0" w:color="auto"/>
            </w:tcBorders>
            <w:shd w:val="clear" w:color="000000" w:fill="92D05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docenti</w:t>
            </w:r>
          </w:p>
        </w:tc>
        <w:tc>
          <w:tcPr>
            <w:tcW w:w="1355" w:type="dxa"/>
            <w:tcBorders>
              <w:top w:val="nil"/>
              <w:left w:val="nil"/>
              <w:bottom w:val="single" w:sz="8" w:space="0" w:color="auto"/>
              <w:right w:val="single" w:sz="8" w:space="0" w:color="auto"/>
            </w:tcBorders>
            <w:shd w:val="clear" w:color="000000" w:fill="92D05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odb. asist.</w:t>
            </w:r>
          </w:p>
        </w:tc>
        <w:tc>
          <w:tcPr>
            <w:tcW w:w="906" w:type="dxa"/>
            <w:tcBorders>
              <w:top w:val="nil"/>
              <w:left w:val="nil"/>
              <w:bottom w:val="single" w:sz="8" w:space="0" w:color="auto"/>
              <w:right w:val="single" w:sz="8" w:space="0" w:color="auto"/>
            </w:tcBorders>
            <w:shd w:val="clear" w:color="000000" w:fill="92D05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1300" w:type="dxa"/>
            <w:vMerge/>
            <w:tcBorders>
              <w:top w:val="single" w:sz="8" w:space="0" w:color="auto"/>
              <w:left w:val="single" w:sz="8" w:space="0" w:color="auto"/>
              <w:bottom w:val="single" w:sz="8" w:space="0" w:color="auto"/>
              <w:right w:val="single" w:sz="8" w:space="0" w:color="auto"/>
            </w:tcBorders>
            <w:vAlign w:val="center"/>
            <w:hideMark/>
          </w:tcPr>
          <w:p w:rsidR="00F83826" w:rsidRPr="00EF2265" w:rsidRDefault="00F83826" w:rsidP="00E86605">
            <w:pPr>
              <w:jc w:val="left"/>
              <w:rPr>
                <w:rFonts w:ascii="Times New Roman" w:eastAsia="Times New Roman" w:hAnsi="Times New Roman"/>
                <w:b/>
                <w:bCs/>
                <w:sz w:val="20"/>
                <w:szCs w:val="20"/>
                <w:lang w:eastAsia="sk-SK"/>
              </w:rPr>
            </w:pPr>
          </w:p>
        </w:tc>
        <w:tc>
          <w:tcPr>
            <w:tcW w:w="1120" w:type="dxa"/>
            <w:vMerge/>
            <w:tcBorders>
              <w:top w:val="single" w:sz="8" w:space="0" w:color="auto"/>
              <w:left w:val="single" w:sz="8" w:space="0" w:color="auto"/>
              <w:bottom w:val="single" w:sz="8" w:space="0" w:color="auto"/>
              <w:right w:val="single" w:sz="8" w:space="0" w:color="auto"/>
            </w:tcBorders>
            <w:vAlign w:val="center"/>
            <w:hideMark/>
          </w:tcPr>
          <w:p w:rsidR="00F83826" w:rsidRPr="00EF2265" w:rsidRDefault="00F83826" w:rsidP="00E86605">
            <w:pPr>
              <w:jc w:val="left"/>
              <w:rPr>
                <w:rFonts w:ascii="Times New Roman" w:eastAsia="Times New Roman" w:hAnsi="Times New Roman"/>
                <w:b/>
                <w:bCs/>
                <w:sz w:val="20"/>
                <w:szCs w:val="20"/>
                <w:lang w:eastAsia="sk-SK"/>
              </w:rPr>
            </w:pPr>
          </w:p>
        </w:tc>
        <w:tc>
          <w:tcPr>
            <w:tcW w:w="1120" w:type="dxa"/>
            <w:vMerge/>
            <w:tcBorders>
              <w:top w:val="single" w:sz="8" w:space="0" w:color="auto"/>
              <w:left w:val="single" w:sz="8" w:space="0" w:color="auto"/>
              <w:bottom w:val="single" w:sz="8" w:space="0" w:color="auto"/>
              <w:right w:val="single" w:sz="8" w:space="0" w:color="auto"/>
            </w:tcBorders>
            <w:vAlign w:val="center"/>
            <w:hideMark/>
          </w:tcPr>
          <w:p w:rsidR="00F83826" w:rsidRPr="00EF2265" w:rsidRDefault="00F83826" w:rsidP="00E86605">
            <w:pPr>
              <w:jc w:val="left"/>
              <w:rPr>
                <w:rFonts w:ascii="Times New Roman" w:eastAsia="Times New Roman" w:hAnsi="Times New Roman"/>
                <w:b/>
                <w:bCs/>
                <w:sz w:val="20"/>
                <w:szCs w:val="20"/>
                <w:lang w:eastAsia="sk-SK"/>
              </w:rPr>
            </w:pPr>
          </w:p>
        </w:tc>
      </w:tr>
      <w:tr w:rsidR="00F83826" w:rsidRPr="00EF2265" w:rsidTr="00B15B10">
        <w:trPr>
          <w:trHeight w:val="270"/>
        </w:trPr>
        <w:tc>
          <w:tcPr>
            <w:tcW w:w="1820" w:type="dxa"/>
            <w:tcBorders>
              <w:top w:val="single" w:sz="8" w:space="0" w:color="auto"/>
              <w:left w:val="single" w:sz="8" w:space="0" w:color="auto"/>
              <w:bottom w:val="single" w:sz="8" w:space="0" w:color="auto"/>
              <w:right w:val="single" w:sz="8" w:space="0" w:color="auto"/>
            </w:tcBorders>
            <w:shd w:val="clear" w:color="000000" w:fill="C4D79B"/>
            <w:noWrap/>
            <w:vAlign w:val="bottom"/>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1212"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36,32</w:t>
            </w:r>
          </w:p>
        </w:tc>
        <w:tc>
          <w:tcPr>
            <w:tcW w:w="1007"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58,94</w:t>
            </w:r>
          </w:p>
        </w:tc>
        <w:tc>
          <w:tcPr>
            <w:tcW w:w="1355"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111,43</w:t>
            </w:r>
          </w:p>
        </w:tc>
        <w:tc>
          <w:tcPr>
            <w:tcW w:w="906"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206,69</w:t>
            </w:r>
          </w:p>
        </w:tc>
        <w:tc>
          <w:tcPr>
            <w:tcW w:w="13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42,61</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249,3</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-0,65</w:t>
            </w:r>
          </w:p>
        </w:tc>
      </w:tr>
      <w:tr w:rsidR="00F83826" w:rsidRPr="00EF2265" w:rsidTr="00B15B10">
        <w:trPr>
          <w:trHeight w:val="270"/>
        </w:trPr>
        <w:tc>
          <w:tcPr>
            <w:tcW w:w="1820" w:type="dxa"/>
            <w:tcBorders>
              <w:top w:val="nil"/>
              <w:left w:val="single" w:sz="8" w:space="0" w:color="auto"/>
              <w:bottom w:val="single" w:sz="8" w:space="0" w:color="auto"/>
              <w:right w:val="single" w:sz="8" w:space="0" w:color="auto"/>
            </w:tcBorders>
            <w:shd w:val="clear" w:color="000000" w:fill="C4D79B"/>
            <w:noWrap/>
            <w:vAlign w:val="bottom"/>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1212"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15,33</w:t>
            </w:r>
          </w:p>
        </w:tc>
        <w:tc>
          <w:tcPr>
            <w:tcW w:w="1007"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27,5</w:t>
            </w:r>
          </w:p>
        </w:tc>
        <w:tc>
          <w:tcPr>
            <w:tcW w:w="1355"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56</w:t>
            </w:r>
          </w:p>
        </w:tc>
        <w:tc>
          <w:tcPr>
            <w:tcW w:w="906"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98,83</w:t>
            </w:r>
          </w:p>
        </w:tc>
        <w:tc>
          <w:tcPr>
            <w:tcW w:w="13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20,47</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119,3</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-5,92</w:t>
            </w:r>
          </w:p>
        </w:tc>
      </w:tr>
      <w:tr w:rsidR="00F83826" w:rsidRPr="00EF2265" w:rsidTr="00B15B10">
        <w:trPr>
          <w:trHeight w:val="270"/>
        </w:trPr>
        <w:tc>
          <w:tcPr>
            <w:tcW w:w="1820" w:type="dxa"/>
            <w:tcBorders>
              <w:top w:val="nil"/>
              <w:left w:val="single" w:sz="8" w:space="0" w:color="auto"/>
              <w:bottom w:val="single" w:sz="8" w:space="0" w:color="auto"/>
              <w:right w:val="single" w:sz="8" w:space="0" w:color="auto"/>
            </w:tcBorders>
            <w:shd w:val="clear" w:color="000000" w:fill="C4D79B"/>
            <w:noWrap/>
            <w:vAlign w:val="bottom"/>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1212"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31,53</w:t>
            </w:r>
          </w:p>
        </w:tc>
        <w:tc>
          <w:tcPr>
            <w:tcW w:w="1007"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44,15</w:t>
            </w:r>
          </w:p>
        </w:tc>
        <w:tc>
          <w:tcPr>
            <w:tcW w:w="1355"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86</w:t>
            </w:r>
          </w:p>
        </w:tc>
        <w:tc>
          <w:tcPr>
            <w:tcW w:w="906"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161,68</w:t>
            </w:r>
          </w:p>
        </w:tc>
        <w:tc>
          <w:tcPr>
            <w:tcW w:w="13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70,96</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232,64</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-6,79</w:t>
            </w:r>
          </w:p>
        </w:tc>
      </w:tr>
      <w:tr w:rsidR="00F83826" w:rsidRPr="00EF2265" w:rsidTr="00B15B10">
        <w:trPr>
          <w:trHeight w:val="270"/>
        </w:trPr>
        <w:tc>
          <w:tcPr>
            <w:tcW w:w="1820" w:type="dxa"/>
            <w:tcBorders>
              <w:top w:val="nil"/>
              <w:left w:val="single" w:sz="8" w:space="0" w:color="auto"/>
              <w:bottom w:val="single" w:sz="8" w:space="0" w:color="auto"/>
              <w:right w:val="single" w:sz="8" w:space="0" w:color="auto"/>
            </w:tcBorders>
            <w:shd w:val="clear" w:color="000000" w:fill="C4D79B"/>
            <w:noWrap/>
            <w:vAlign w:val="bottom"/>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1212"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36,33</w:t>
            </w:r>
          </w:p>
        </w:tc>
        <w:tc>
          <w:tcPr>
            <w:tcW w:w="1007"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70,99</w:t>
            </w:r>
          </w:p>
        </w:tc>
        <w:tc>
          <w:tcPr>
            <w:tcW w:w="1355"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86,22</w:t>
            </w:r>
          </w:p>
        </w:tc>
        <w:tc>
          <w:tcPr>
            <w:tcW w:w="906"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193,54</w:t>
            </w:r>
          </w:p>
        </w:tc>
        <w:tc>
          <w:tcPr>
            <w:tcW w:w="13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90,15</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283,69</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6,04</w:t>
            </w:r>
          </w:p>
        </w:tc>
      </w:tr>
      <w:tr w:rsidR="00F83826" w:rsidRPr="00EF2265" w:rsidTr="00B15B10">
        <w:trPr>
          <w:trHeight w:val="270"/>
        </w:trPr>
        <w:tc>
          <w:tcPr>
            <w:tcW w:w="1820" w:type="dxa"/>
            <w:tcBorders>
              <w:top w:val="nil"/>
              <w:left w:val="single" w:sz="8" w:space="0" w:color="auto"/>
              <w:bottom w:val="single" w:sz="8" w:space="0" w:color="auto"/>
              <w:right w:val="single" w:sz="8" w:space="0" w:color="auto"/>
            </w:tcBorders>
            <w:shd w:val="clear" w:color="000000" w:fill="C4D79B"/>
            <w:noWrap/>
            <w:vAlign w:val="bottom"/>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1212"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13,17</w:t>
            </w:r>
          </w:p>
        </w:tc>
        <w:tc>
          <w:tcPr>
            <w:tcW w:w="1007"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29,8</w:t>
            </w:r>
          </w:p>
        </w:tc>
        <w:tc>
          <w:tcPr>
            <w:tcW w:w="1355"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41,43</w:t>
            </w:r>
          </w:p>
        </w:tc>
        <w:tc>
          <w:tcPr>
            <w:tcW w:w="906"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84,4</w:t>
            </w:r>
          </w:p>
        </w:tc>
        <w:tc>
          <w:tcPr>
            <w:tcW w:w="13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16,57</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100,97</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-3,1</w:t>
            </w:r>
          </w:p>
        </w:tc>
      </w:tr>
      <w:tr w:rsidR="00F83826" w:rsidRPr="00EF2265" w:rsidTr="00B15B10">
        <w:trPr>
          <w:trHeight w:val="270"/>
        </w:trPr>
        <w:tc>
          <w:tcPr>
            <w:tcW w:w="1820" w:type="dxa"/>
            <w:tcBorders>
              <w:top w:val="nil"/>
              <w:left w:val="single" w:sz="8" w:space="0" w:color="auto"/>
              <w:bottom w:val="single" w:sz="8" w:space="0" w:color="auto"/>
              <w:right w:val="single" w:sz="8" w:space="0" w:color="auto"/>
            </w:tcBorders>
            <w:shd w:val="clear" w:color="000000" w:fill="C4D79B"/>
            <w:noWrap/>
            <w:vAlign w:val="bottom"/>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1212"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22,94</w:t>
            </w:r>
          </w:p>
        </w:tc>
        <w:tc>
          <w:tcPr>
            <w:tcW w:w="1007"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39,81</w:t>
            </w:r>
          </w:p>
        </w:tc>
        <w:tc>
          <w:tcPr>
            <w:tcW w:w="1355"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85,67</w:t>
            </w:r>
          </w:p>
        </w:tc>
        <w:tc>
          <w:tcPr>
            <w:tcW w:w="906"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148,42</w:t>
            </w:r>
          </w:p>
        </w:tc>
        <w:tc>
          <w:tcPr>
            <w:tcW w:w="13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55,52</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203,94</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7,61</w:t>
            </w:r>
          </w:p>
        </w:tc>
      </w:tr>
      <w:tr w:rsidR="00F83826" w:rsidRPr="00EF2265" w:rsidTr="00B15B10">
        <w:trPr>
          <w:trHeight w:val="270"/>
        </w:trPr>
        <w:tc>
          <w:tcPr>
            <w:tcW w:w="1820" w:type="dxa"/>
            <w:tcBorders>
              <w:top w:val="nil"/>
              <w:left w:val="single" w:sz="8" w:space="0" w:color="auto"/>
              <w:bottom w:val="single" w:sz="8" w:space="0" w:color="auto"/>
              <w:right w:val="single" w:sz="8" w:space="0" w:color="auto"/>
            </w:tcBorders>
            <w:shd w:val="clear" w:color="000000" w:fill="C4D79B"/>
            <w:noWrap/>
            <w:vAlign w:val="bottom"/>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1212"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3,4</w:t>
            </w:r>
          </w:p>
        </w:tc>
        <w:tc>
          <w:tcPr>
            <w:tcW w:w="1007"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10,94</w:t>
            </w:r>
          </w:p>
        </w:tc>
        <w:tc>
          <w:tcPr>
            <w:tcW w:w="1355"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22,75</w:t>
            </w:r>
          </w:p>
        </w:tc>
        <w:tc>
          <w:tcPr>
            <w:tcW w:w="906"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37,09</w:t>
            </w:r>
          </w:p>
        </w:tc>
        <w:tc>
          <w:tcPr>
            <w:tcW w:w="13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7,59</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44,68</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2,88</w:t>
            </w:r>
          </w:p>
        </w:tc>
      </w:tr>
      <w:tr w:rsidR="00F83826" w:rsidRPr="00EF2265" w:rsidTr="00B15B10">
        <w:trPr>
          <w:trHeight w:val="270"/>
        </w:trPr>
        <w:tc>
          <w:tcPr>
            <w:tcW w:w="1820" w:type="dxa"/>
            <w:tcBorders>
              <w:top w:val="nil"/>
              <w:left w:val="single" w:sz="8" w:space="0" w:color="auto"/>
              <w:bottom w:val="single" w:sz="8" w:space="0" w:color="auto"/>
              <w:right w:val="single" w:sz="8" w:space="0" w:color="auto"/>
            </w:tcBorders>
            <w:shd w:val="clear" w:color="000000" w:fill="C4D79B"/>
            <w:noWrap/>
            <w:vAlign w:val="bottom"/>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Rektorát bez ÚM</w:t>
            </w:r>
          </w:p>
        </w:tc>
        <w:tc>
          <w:tcPr>
            <w:tcW w:w="1212"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1007"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1355"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0</w:t>
            </w:r>
          </w:p>
        </w:tc>
        <w:tc>
          <w:tcPr>
            <w:tcW w:w="906"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0</w:t>
            </w:r>
          </w:p>
        </w:tc>
        <w:tc>
          <w:tcPr>
            <w:tcW w:w="13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8,44</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8,44</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0,01</w:t>
            </w:r>
          </w:p>
        </w:tc>
      </w:tr>
      <w:tr w:rsidR="00F83826" w:rsidRPr="00EF2265" w:rsidTr="00B15B10">
        <w:trPr>
          <w:trHeight w:val="270"/>
        </w:trPr>
        <w:tc>
          <w:tcPr>
            <w:tcW w:w="1820" w:type="dxa"/>
            <w:tcBorders>
              <w:top w:val="nil"/>
              <w:left w:val="single" w:sz="8" w:space="0" w:color="auto"/>
              <w:bottom w:val="single" w:sz="8" w:space="0" w:color="auto"/>
              <w:right w:val="single" w:sz="8" w:space="0" w:color="auto"/>
            </w:tcBorders>
            <w:shd w:val="clear" w:color="000000" w:fill="C4D79B"/>
            <w:noWrap/>
            <w:vAlign w:val="bottom"/>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1212"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3,7</w:t>
            </w:r>
          </w:p>
        </w:tc>
        <w:tc>
          <w:tcPr>
            <w:tcW w:w="1007"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10,66</w:t>
            </w:r>
          </w:p>
        </w:tc>
        <w:tc>
          <w:tcPr>
            <w:tcW w:w="1355"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15,82</w:t>
            </w:r>
          </w:p>
        </w:tc>
        <w:tc>
          <w:tcPr>
            <w:tcW w:w="906"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30,18</w:t>
            </w:r>
          </w:p>
        </w:tc>
        <w:tc>
          <w:tcPr>
            <w:tcW w:w="13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3,91</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34,09</w:t>
            </w:r>
          </w:p>
        </w:tc>
        <w:tc>
          <w:tcPr>
            <w:tcW w:w="112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-2,14</w:t>
            </w:r>
          </w:p>
        </w:tc>
      </w:tr>
      <w:tr w:rsidR="00F83826" w:rsidRPr="00EF2265" w:rsidTr="00B15B10">
        <w:trPr>
          <w:trHeight w:val="270"/>
        </w:trPr>
        <w:tc>
          <w:tcPr>
            <w:tcW w:w="1820" w:type="dxa"/>
            <w:tcBorders>
              <w:top w:val="nil"/>
              <w:left w:val="single" w:sz="8" w:space="0" w:color="auto"/>
              <w:bottom w:val="single" w:sz="8" w:space="0" w:color="auto"/>
              <w:right w:val="single" w:sz="8" w:space="0" w:color="auto"/>
            </w:tcBorders>
            <w:shd w:val="clear" w:color="000000" w:fill="C00000"/>
            <w:noWrap/>
            <w:vAlign w:val="bottom"/>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 spolu</w:t>
            </w:r>
          </w:p>
        </w:tc>
        <w:tc>
          <w:tcPr>
            <w:tcW w:w="1212" w:type="dxa"/>
            <w:tcBorders>
              <w:top w:val="nil"/>
              <w:left w:val="nil"/>
              <w:bottom w:val="single" w:sz="8" w:space="0" w:color="auto"/>
              <w:right w:val="single" w:sz="8" w:space="0" w:color="auto"/>
            </w:tcBorders>
            <w:shd w:val="clear" w:color="000000" w:fill="C0000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162,72</w:t>
            </w:r>
          </w:p>
        </w:tc>
        <w:tc>
          <w:tcPr>
            <w:tcW w:w="1007" w:type="dxa"/>
            <w:tcBorders>
              <w:top w:val="nil"/>
              <w:left w:val="nil"/>
              <w:bottom w:val="single" w:sz="8" w:space="0" w:color="auto"/>
              <w:right w:val="single" w:sz="8" w:space="0" w:color="auto"/>
            </w:tcBorders>
            <w:shd w:val="clear" w:color="000000" w:fill="C0000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292,79</w:t>
            </w:r>
          </w:p>
        </w:tc>
        <w:tc>
          <w:tcPr>
            <w:tcW w:w="1355" w:type="dxa"/>
            <w:tcBorders>
              <w:top w:val="nil"/>
              <w:left w:val="nil"/>
              <w:bottom w:val="single" w:sz="8" w:space="0" w:color="auto"/>
              <w:right w:val="single" w:sz="8" w:space="0" w:color="auto"/>
            </w:tcBorders>
            <w:shd w:val="clear" w:color="000000" w:fill="C0000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505,32</w:t>
            </w:r>
          </w:p>
        </w:tc>
        <w:tc>
          <w:tcPr>
            <w:tcW w:w="906" w:type="dxa"/>
            <w:tcBorders>
              <w:top w:val="nil"/>
              <w:left w:val="nil"/>
              <w:bottom w:val="single" w:sz="8" w:space="0" w:color="auto"/>
              <w:right w:val="single" w:sz="8" w:space="0" w:color="auto"/>
            </w:tcBorders>
            <w:shd w:val="clear" w:color="000000" w:fill="C0000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960,83</w:t>
            </w:r>
          </w:p>
        </w:tc>
        <w:tc>
          <w:tcPr>
            <w:tcW w:w="1300" w:type="dxa"/>
            <w:tcBorders>
              <w:top w:val="nil"/>
              <w:left w:val="nil"/>
              <w:bottom w:val="single" w:sz="8" w:space="0" w:color="auto"/>
              <w:right w:val="single" w:sz="8" w:space="0" w:color="auto"/>
            </w:tcBorders>
            <w:shd w:val="clear" w:color="000000" w:fill="C0000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316,22</w:t>
            </w:r>
          </w:p>
        </w:tc>
        <w:tc>
          <w:tcPr>
            <w:tcW w:w="1120" w:type="dxa"/>
            <w:tcBorders>
              <w:top w:val="nil"/>
              <w:left w:val="nil"/>
              <w:bottom w:val="single" w:sz="8" w:space="0" w:color="auto"/>
              <w:right w:val="single" w:sz="8" w:space="0" w:color="auto"/>
            </w:tcBorders>
            <w:shd w:val="clear" w:color="000000" w:fill="C0000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1277,05</w:t>
            </w:r>
          </w:p>
        </w:tc>
        <w:tc>
          <w:tcPr>
            <w:tcW w:w="1120" w:type="dxa"/>
            <w:tcBorders>
              <w:top w:val="nil"/>
              <w:left w:val="nil"/>
              <w:bottom w:val="single" w:sz="8" w:space="0" w:color="auto"/>
              <w:right w:val="single" w:sz="8" w:space="0" w:color="auto"/>
            </w:tcBorders>
            <w:shd w:val="clear" w:color="000000" w:fill="C0000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-2,06</w:t>
            </w:r>
          </w:p>
        </w:tc>
      </w:tr>
    </w:tbl>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Graf č. 5.5: Podiel jednotlivých súčastí STU na celkovej výskumnej kapacite za obdobie 1-12/2018</w:t>
      </w: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noProof/>
          <w:sz w:val="20"/>
          <w:szCs w:val="20"/>
          <w:lang w:eastAsia="sk-SK"/>
        </w:rPr>
        <w:lastRenderedPageBreak/>
        <w:drawing>
          <wp:inline distT="0" distB="0" distL="0" distR="0" wp14:anchorId="474F0CA1" wp14:editId="3EA446AB">
            <wp:extent cx="5756910" cy="3175298"/>
            <wp:effectExtent l="0" t="0" r="0" b="635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83826" w:rsidRPr="00EF2265" w:rsidRDefault="00F83826" w:rsidP="00E86605">
      <w:pPr>
        <w:jc w:val="left"/>
        <w:rPr>
          <w:rFonts w:ascii="Times New Roman" w:hAnsi="Times New Roman"/>
          <w:sz w:val="20"/>
          <w:szCs w:val="20"/>
        </w:rPr>
      </w:pPr>
    </w:p>
    <w:p w:rsidR="00F83826" w:rsidRPr="00EF2265" w:rsidRDefault="00F83826" w:rsidP="00E86605">
      <w:pPr>
        <w:pStyle w:val="Odsekzoznamu"/>
        <w:keepNext/>
        <w:numPr>
          <w:ilvl w:val="0"/>
          <w:numId w:val="13"/>
        </w:numPr>
        <w:spacing w:before="240" w:after="240" w:line="240" w:lineRule="auto"/>
        <w:ind w:left="2559"/>
        <w:contextualSpacing w:val="0"/>
        <w:outlineLvl w:val="1"/>
        <w:rPr>
          <w:rFonts w:ascii="Times New Roman" w:hAnsi="Times New Roman"/>
          <w:b/>
          <w:bCs/>
          <w:i/>
          <w:iCs/>
          <w:vanish/>
          <w:sz w:val="20"/>
          <w:szCs w:val="20"/>
        </w:rPr>
      </w:pPr>
      <w:bookmarkStart w:id="160" w:name="_Toc534892114"/>
      <w:bookmarkStart w:id="161" w:name="_Toc534892562"/>
      <w:bookmarkStart w:id="162" w:name="_Toc534892688"/>
      <w:bookmarkStart w:id="163" w:name="_Toc534892806"/>
      <w:bookmarkStart w:id="164" w:name="_Toc534893055"/>
      <w:bookmarkStart w:id="165" w:name="_Toc534893678"/>
      <w:bookmarkStart w:id="166" w:name="_Toc534893754"/>
      <w:bookmarkStart w:id="167" w:name="_Toc534894213"/>
      <w:bookmarkStart w:id="168" w:name="_Toc534894930"/>
      <w:bookmarkStart w:id="169" w:name="_Toc534895822"/>
      <w:bookmarkStart w:id="170" w:name="_Toc535505590"/>
      <w:bookmarkStart w:id="171" w:name="_Toc535505757"/>
      <w:bookmarkStart w:id="172" w:name="_Toc4133341"/>
      <w:bookmarkStart w:id="173" w:name="_Toc4134474"/>
      <w:bookmarkStart w:id="174" w:name="_Toc4151300"/>
      <w:bookmarkStart w:id="175" w:name="_Toc4575590"/>
      <w:bookmarkStart w:id="176" w:name="_Toc4589927"/>
      <w:bookmarkStart w:id="177" w:name="_Toc4589987"/>
      <w:bookmarkStart w:id="178" w:name="_Toc477769456"/>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F83826" w:rsidRPr="00EF2265" w:rsidRDefault="00F83826" w:rsidP="00E86605">
      <w:pPr>
        <w:pStyle w:val="Nadpis2"/>
        <w:keepLines w:val="0"/>
        <w:numPr>
          <w:ilvl w:val="1"/>
          <w:numId w:val="13"/>
        </w:numPr>
        <w:tabs>
          <w:tab w:val="clear" w:pos="567"/>
        </w:tabs>
        <w:spacing w:after="0"/>
        <w:rPr>
          <w:rFonts w:ascii="Times New Roman" w:hAnsi="Times New Roman" w:cs="Times New Roman"/>
          <w:i/>
          <w:sz w:val="20"/>
          <w:szCs w:val="20"/>
        </w:rPr>
      </w:pPr>
      <w:bookmarkStart w:id="179" w:name="_Toc4589988"/>
      <w:r w:rsidRPr="00EF2265">
        <w:rPr>
          <w:rFonts w:ascii="Times New Roman" w:hAnsi="Times New Roman" w:cs="Times New Roman"/>
          <w:sz w:val="20"/>
          <w:szCs w:val="20"/>
        </w:rPr>
        <w:t>Financovanie výskumných aktivít na STU</w:t>
      </w:r>
      <w:bookmarkEnd w:id="178"/>
      <w:bookmarkEnd w:id="179"/>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Financovanie výskumných aktivít na univerzitách je viaczdrojové. Čoraz väčší dôraz sa kladie na súťažný zdroj financovania. Pred rokom 2016 dominovali vo finančných zdrojoch STU štrukturálne fondy. V programovom období 2014-2020 má Bratislavský kraj kvôli vysokému HDP minimálny prístup k štrukturálnym fondom. Rozpis príjmov STU (dotácia, údaje k 30.11.2018) podľa súčastí uvádza tab. č. 5.2. </w:t>
      </w:r>
    </w:p>
    <w:p w:rsidR="00F83826" w:rsidRPr="00EF2265" w:rsidRDefault="00F83826" w:rsidP="00E86605">
      <w:pPr>
        <w:jc w:val="left"/>
        <w:rPr>
          <w:rFonts w:ascii="Times New Roman" w:hAnsi="Times New Roman"/>
          <w:sz w:val="20"/>
          <w:szCs w:val="20"/>
        </w:rPr>
        <w:sectPr w:rsidR="00F83826" w:rsidRPr="00EF2265" w:rsidSect="00B2255C">
          <w:headerReference w:type="default" r:id="rId66"/>
          <w:footerReference w:type="even" r:id="rId67"/>
          <w:footerReference w:type="default" r:id="rId68"/>
          <w:headerReference w:type="first" r:id="rId69"/>
          <w:pgSz w:w="11900" w:h="16840"/>
          <w:pgMar w:top="1417" w:right="1417" w:bottom="1417" w:left="1417" w:header="709" w:footer="709" w:gutter="0"/>
          <w:pgNumType w:start="36"/>
          <w:cols w:space="708"/>
          <w:docGrid w:linePitch="360"/>
        </w:sectPr>
      </w:pPr>
    </w:p>
    <w:p w:rsidR="00F83826" w:rsidRPr="00EF2265" w:rsidRDefault="00F83826" w:rsidP="00E86605">
      <w:pPr>
        <w:jc w:val="left"/>
        <w:rPr>
          <w:rFonts w:ascii="Times New Roman" w:hAnsi="Times New Roman"/>
          <w:sz w:val="20"/>
          <w:szCs w:val="20"/>
        </w:rPr>
      </w:pPr>
    </w:p>
    <w:p w:rsidR="00F83826" w:rsidRPr="009768F8" w:rsidRDefault="00F83826" w:rsidP="00E86605">
      <w:pPr>
        <w:jc w:val="left"/>
        <w:rPr>
          <w:rFonts w:ascii="Times New Roman" w:hAnsi="Times New Roman"/>
          <w:b/>
          <w:bCs/>
          <w:sz w:val="16"/>
          <w:szCs w:val="16"/>
        </w:rPr>
      </w:pPr>
      <w:r w:rsidRPr="009768F8">
        <w:rPr>
          <w:rFonts w:ascii="Times New Roman" w:hAnsi="Times New Roman"/>
          <w:b/>
          <w:bCs/>
          <w:sz w:val="16"/>
          <w:szCs w:val="16"/>
        </w:rPr>
        <w:t>Tab. č. 5.2: Objem pridelenej dotácie v roku 2018</w:t>
      </w:r>
    </w:p>
    <w:p w:rsidR="00F83826" w:rsidRPr="009768F8" w:rsidRDefault="00F83826" w:rsidP="00E86605">
      <w:pPr>
        <w:jc w:val="left"/>
        <w:rPr>
          <w:rFonts w:ascii="Times New Roman" w:hAnsi="Times New Roman"/>
          <w:b/>
          <w:sz w:val="16"/>
          <w:szCs w:val="16"/>
        </w:rPr>
      </w:pPr>
    </w:p>
    <w:tbl>
      <w:tblPr>
        <w:tblW w:w="15031" w:type="dxa"/>
        <w:tblInd w:w="65" w:type="dxa"/>
        <w:tblCellMar>
          <w:left w:w="70" w:type="dxa"/>
          <w:right w:w="70" w:type="dxa"/>
        </w:tblCellMar>
        <w:tblLook w:val="04A0" w:firstRow="1" w:lastRow="0" w:firstColumn="1" w:lastColumn="0" w:noHBand="0" w:noVBand="1"/>
      </w:tblPr>
      <w:tblGrid>
        <w:gridCol w:w="2415"/>
        <w:gridCol w:w="851"/>
        <w:gridCol w:w="760"/>
        <w:gridCol w:w="941"/>
        <w:gridCol w:w="850"/>
        <w:gridCol w:w="760"/>
        <w:gridCol w:w="760"/>
        <w:gridCol w:w="760"/>
        <w:gridCol w:w="760"/>
        <w:gridCol w:w="760"/>
        <w:gridCol w:w="760"/>
        <w:gridCol w:w="760"/>
        <w:gridCol w:w="760"/>
        <w:gridCol w:w="760"/>
        <w:gridCol w:w="760"/>
        <w:gridCol w:w="954"/>
        <w:gridCol w:w="854"/>
      </w:tblGrid>
      <w:tr w:rsidR="00F83826" w:rsidRPr="009768F8" w:rsidTr="00B15B10">
        <w:trPr>
          <w:trHeight w:val="345"/>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PRÍJMY</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SvF</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SjF</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FEI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FCHPT</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FA</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MtF</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FIIT</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UM</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UVP</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 xml:space="preserve">UZ ŠDaJ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UZ Technik</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R+CUP bez účelSTU</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účel STU*/</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Fond obnovy</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Nerozd.účel MŠ</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b/>
                <w:bCs/>
                <w:color w:val="000000"/>
                <w:sz w:val="16"/>
                <w:szCs w:val="16"/>
                <w:lang w:eastAsia="sk-SK"/>
              </w:rPr>
            </w:pPr>
            <w:r w:rsidRPr="009768F8">
              <w:rPr>
                <w:rFonts w:ascii="Times New Roman" w:eastAsia="Times New Roman" w:hAnsi="Times New Roman"/>
                <w:b/>
                <w:bCs/>
                <w:color w:val="000000"/>
                <w:sz w:val="16"/>
                <w:szCs w:val="16"/>
                <w:lang w:eastAsia="sk-SK"/>
              </w:rPr>
              <w:t>S T U</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000000" w:fill="FFFFFF"/>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xml:space="preserve">077 11 - VŠ vzdelávanie </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7 819 506,00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4 010 480,00</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7 318 074,00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7 350 876,00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2 488 598,00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5 521 948,00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1 942 214,00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713 985,00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40 000,00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3 647 671,00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1 157 776,00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75 000,00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852 697,00</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42 938 825,00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0771201 - inštitucionálna veda spolu</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2 237 229,00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526 442,00</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1 602 896,00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3 098 129,00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1 044 469,00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2 046 855,00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640 048,00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180 647,00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64 310,00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398 645,00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780 933,00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75 000,00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32 097,00</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12 727 700,00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v tom: 077 02 02 - VEGA</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351 061,00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118 598,00</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479 256,00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432 506,00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21 049,00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204 358,00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56 370,00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14 342,00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11 497,00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1 689 037,00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077 12 03 - aplikovaný výskum</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077 12 04 - MTVS</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077 12 05 - KEGA</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26 411,00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105 492,00</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67 240,00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8 013,00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33 404,00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55 947,00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19 376,00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11 049,00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326 932,00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077 13 - rozvoj VŠ</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448 849,00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448 849,00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077 15 - sociálne služby</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441 521,00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227 773,00</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640 147,00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422 626,00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124 807,00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1 091 992,00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302 967,00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18 942,00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3 441 537,00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34 966,00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15 096,00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17 132,00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6 779 506,00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z toho: 0771501 - sociálne štipendiá</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200 640,00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31 413,00</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171 326,00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101 943,00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76 115,00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48 343,00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59 355,00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10 776,00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699 911,00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xml:space="preserve">motivačné štipendiá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240 881,00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190 363,00</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464 945,00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320 683,00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48 692,00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410 996,00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243 612,00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8 166,00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17 132,00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1 945 470,00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077 15 03 - kultúra,šport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5 997,00</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3 876,00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9 981,00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34 966,00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15 096,00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69 916,00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xml:space="preserve">Program  077 </w:t>
            </w:r>
          </w:p>
        </w:tc>
        <w:tc>
          <w:tcPr>
            <w:tcW w:w="851" w:type="dxa"/>
            <w:tcBorders>
              <w:top w:val="single" w:sz="4" w:space="0" w:color="auto"/>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10 875 728,00</w:t>
            </w:r>
          </w:p>
        </w:tc>
        <w:tc>
          <w:tcPr>
            <w:tcW w:w="760" w:type="dxa"/>
            <w:tcBorders>
              <w:top w:val="nil"/>
              <w:left w:val="single" w:sz="4" w:space="0" w:color="auto"/>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4 988 785,00</w:t>
            </w:r>
          </w:p>
        </w:tc>
        <w:tc>
          <w:tcPr>
            <w:tcW w:w="941"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10 107 613,00</w:t>
            </w:r>
          </w:p>
        </w:tc>
        <w:tc>
          <w:tcPr>
            <w:tcW w:w="85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11 312 150,00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3 712 327,00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8 921 100,00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2 960 975,00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938 965,00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64 310,00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3 441 537,00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74 966,00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4 401 770,00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1 968 841,00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150 000,00</w:t>
            </w:r>
          </w:p>
        </w:tc>
        <w:tc>
          <w:tcPr>
            <w:tcW w:w="760"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884 794,00</w:t>
            </w:r>
          </w:p>
        </w:tc>
        <w:tc>
          <w:tcPr>
            <w:tcW w:w="854" w:type="dxa"/>
            <w:tcBorders>
              <w:top w:val="nil"/>
              <w:left w:val="nil"/>
              <w:bottom w:val="single" w:sz="4" w:space="0" w:color="auto"/>
              <w:right w:val="single" w:sz="4" w:space="0" w:color="auto"/>
            </w:tcBorders>
            <w:shd w:val="clear" w:color="000000" w:fill="FFFF00"/>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64 803 861,00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06K 11 - úlohy výskumu a vývoja APVV</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510 960,00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472 189,00</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1 096 172,00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1 781 438,50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61 573,00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369 497,00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117 957,00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2 000,00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103 810,00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4 515 596,50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06K12- koordinácia aktivít št. vednej  tech. politiky</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264 011,00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264 011,00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Podprogram 06K0A02-štátne programy</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0,00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Podprogram 05T08 - zahr. štipendisti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54 390,00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21 765,00</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160 400,00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55 595,00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42 555,00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47 630,00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382 335,00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Podprogram 0210203 - proj. DAAD</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315,00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4 271,90</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2 676,00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280,00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2 652,00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10 194,90</w:t>
            </w:r>
          </w:p>
        </w:tc>
      </w:tr>
      <w:tr w:rsidR="00F83826" w:rsidRPr="009768F8" w:rsidTr="00B15B10">
        <w:trPr>
          <w:trHeight w:val="25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Kapitálové výdavky celkom</w:t>
            </w:r>
          </w:p>
        </w:tc>
        <w:tc>
          <w:tcPr>
            <w:tcW w:w="85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941"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3 163 793,00</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 </w:t>
            </w:r>
          </w:p>
        </w:tc>
        <w:tc>
          <w:tcPr>
            <w:tcW w:w="854" w:type="dxa"/>
            <w:tcBorders>
              <w:top w:val="nil"/>
              <w:left w:val="nil"/>
              <w:bottom w:val="single" w:sz="4" w:space="0" w:color="auto"/>
              <w:right w:val="single" w:sz="4" w:space="0" w:color="auto"/>
            </w:tcBorders>
            <w:shd w:val="clear" w:color="auto" w:fill="auto"/>
            <w:noWrap/>
            <w:vAlign w:val="center"/>
            <w:hideMark/>
          </w:tcPr>
          <w:p w:rsidR="00F83826" w:rsidRPr="009768F8" w:rsidRDefault="00F83826" w:rsidP="00E86605">
            <w:pPr>
              <w:jc w:val="left"/>
              <w:rPr>
                <w:rFonts w:ascii="Times New Roman" w:eastAsia="Times New Roman" w:hAnsi="Times New Roman"/>
                <w:color w:val="000000"/>
                <w:sz w:val="16"/>
                <w:szCs w:val="16"/>
                <w:lang w:eastAsia="sk-SK"/>
              </w:rPr>
            </w:pPr>
            <w:r w:rsidRPr="009768F8">
              <w:rPr>
                <w:rFonts w:ascii="Times New Roman" w:eastAsia="Times New Roman" w:hAnsi="Times New Roman"/>
                <w:color w:val="000000"/>
                <w:sz w:val="16"/>
                <w:szCs w:val="16"/>
                <w:lang w:eastAsia="sk-SK"/>
              </w:rPr>
              <w:t>3 163 793,00</w:t>
            </w:r>
          </w:p>
        </w:tc>
      </w:tr>
    </w:tbl>
    <w:p w:rsidR="00F83826" w:rsidRPr="00EF2265" w:rsidRDefault="00F83826" w:rsidP="00E86605">
      <w:pPr>
        <w:jc w:val="left"/>
        <w:rPr>
          <w:rFonts w:ascii="Times New Roman" w:hAnsi="Times New Roman"/>
          <w:b/>
          <w:sz w:val="20"/>
          <w:szCs w:val="20"/>
        </w:rPr>
        <w:sectPr w:rsidR="00F83826" w:rsidRPr="00EF2265" w:rsidSect="00946DE8">
          <w:headerReference w:type="default" r:id="rId70"/>
          <w:pgSz w:w="16840" w:h="11900" w:orient="landscape"/>
          <w:pgMar w:top="1531" w:right="2126" w:bottom="1797" w:left="1276" w:header="227" w:footer="624" w:gutter="0"/>
          <w:pgNumType w:start="60"/>
          <w:cols w:space="708"/>
          <w:docGrid w:linePitch="360"/>
        </w:sectPr>
      </w:pPr>
    </w:p>
    <w:p w:rsidR="00F83826" w:rsidRPr="000F29D6" w:rsidRDefault="00F83826" w:rsidP="00E86605">
      <w:pPr>
        <w:pStyle w:val="Nadpis3"/>
        <w:keepLines w:val="0"/>
        <w:numPr>
          <w:ilvl w:val="2"/>
          <w:numId w:val="12"/>
        </w:numPr>
        <w:spacing w:before="120" w:after="120" w:line="240" w:lineRule="auto"/>
        <w:ind w:left="0" w:firstLine="0"/>
        <w:rPr>
          <w:rFonts w:ascii="Times New Roman" w:hAnsi="Times New Roman" w:cs="Times New Roman"/>
          <w:color w:val="auto"/>
          <w:sz w:val="20"/>
          <w:szCs w:val="20"/>
        </w:rPr>
      </w:pPr>
      <w:bookmarkStart w:id="180" w:name="_Toc477769457"/>
      <w:bookmarkStart w:id="181" w:name="_Toc4589989"/>
      <w:r w:rsidRPr="000F29D6">
        <w:rPr>
          <w:rFonts w:ascii="Times New Roman" w:hAnsi="Times New Roman" w:cs="Times New Roman"/>
          <w:color w:val="auto"/>
          <w:sz w:val="20"/>
          <w:szCs w:val="20"/>
        </w:rPr>
        <w:lastRenderedPageBreak/>
        <w:t>Domáce a zahraničné granty</w:t>
      </w:r>
      <w:bookmarkEnd w:id="180"/>
      <w:bookmarkEnd w:id="181"/>
      <w:r w:rsidRPr="000F29D6">
        <w:rPr>
          <w:rFonts w:ascii="Times New Roman" w:hAnsi="Times New Roman" w:cs="Times New Roman"/>
          <w:color w:val="auto"/>
          <w:sz w:val="20"/>
          <w:szCs w:val="20"/>
        </w:rPr>
        <w:t xml:space="preserve"> </w:t>
      </w:r>
    </w:p>
    <w:p w:rsidR="00F83826" w:rsidRPr="00EF2265" w:rsidRDefault="00F83826" w:rsidP="00E86605">
      <w:pPr>
        <w:jc w:val="left"/>
        <w:rPr>
          <w:rFonts w:ascii="Times New Roman" w:hAnsi="Times New Roman"/>
          <w:sz w:val="20"/>
          <w:szCs w:val="20"/>
          <w:lang w:eastAsia="cs-CZ"/>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Nasledujúce tabuľky a grafy ukazujú úspešnosť STU v získavaní prostriedkov na výskumné aktivity z domácich a zahraničných grantových agentúr. Tab. č. 5.3 a graf č. 5.6 ukazujú vývoj v získavaní finančných prostriedkov súčastí STU od roku 2012 z domácich grantových agentúr (VEGA, KEGA a APVV a iné). STU zaznamenáva nárast od roku 2015. V roku 2016, v porovnaní s rokom 2017, STU zvýšila objem získaných prostriedkov z domácich agentúr o 10,8 percenta a nárast v roku 2018 oproti roku 2017 je o 12 percent.</w:t>
      </w: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Tab. č. 5.3: Finančné prostriedky získané súčasťami STU v rokoch 2012 - 2018 z domácich grantových agentúr (v eurách)</w:t>
      </w:r>
    </w:p>
    <w:tbl>
      <w:tblPr>
        <w:tblW w:w="9316" w:type="dxa"/>
        <w:tblInd w:w="70" w:type="dxa"/>
        <w:tblCellMar>
          <w:left w:w="70" w:type="dxa"/>
          <w:right w:w="70" w:type="dxa"/>
        </w:tblCellMar>
        <w:tblLook w:val="04A0" w:firstRow="1" w:lastRow="0" w:firstColumn="1" w:lastColumn="0" w:noHBand="0" w:noVBand="1"/>
      </w:tblPr>
      <w:tblGrid>
        <w:gridCol w:w="1276"/>
        <w:gridCol w:w="1180"/>
        <w:gridCol w:w="1180"/>
        <w:gridCol w:w="1180"/>
        <w:gridCol w:w="1200"/>
        <w:gridCol w:w="1060"/>
        <w:gridCol w:w="1180"/>
        <w:gridCol w:w="1060"/>
      </w:tblGrid>
      <w:tr w:rsidR="00F83826" w:rsidRPr="00EF2265" w:rsidTr="00B15B10">
        <w:trPr>
          <w:trHeight w:val="300"/>
        </w:trPr>
        <w:tc>
          <w:tcPr>
            <w:tcW w:w="1276" w:type="dxa"/>
            <w:tcBorders>
              <w:top w:val="nil"/>
              <w:left w:val="nil"/>
              <w:bottom w:val="nil"/>
              <w:right w:val="nil"/>
            </w:tcBorders>
            <w:shd w:val="clear" w:color="auto" w:fill="auto"/>
            <w:noWrap/>
            <w:hideMark/>
          </w:tcPr>
          <w:p w:rsidR="00F83826" w:rsidRPr="00EF2265" w:rsidRDefault="00F83826" w:rsidP="00E86605">
            <w:pPr>
              <w:jc w:val="left"/>
              <w:rPr>
                <w:rFonts w:ascii="Times New Roman" w:eastAsia="Times New Roman" w:hAnsi="Times New Roman"/>
                <w:color w:val="000000"/>
                <w:sz w:val="20"/>
                <w:szCs w:val="20"/>
                <w:lang w:eastAsia="sk-SK"/>
              </w:rPr>
            </w:pPr>
          </w:p>
        </w:tc>
        <w:tc>
          <w:tcPr>
            <w:tcW w:w="1180"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2012</w:t>
            </w:r>
          </w:p>
        </w:tc>
        <w:tc>
          <w:tcPr>
            <w:tcW w:w="1180"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2013</w:t>
            </w:r>
          </w:p>
        </w:tc>
        <w:tc>
          <w:tcPr>
            <w:tcW w:w="1180"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2014</w:t>
            </w:r>
          </w:p>
        </w:tc>
        <w:tc>
          <w:tcPr>
            <w:tcW w:w="1200"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2015</w:t>
            </w:r>
          </w:p>
        </w:tc>
        <w:tc>
          <w:tcPr>
            <w:tcW w:w="1060"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2016</w:t>
            </w:r>
          </w:p>
        </w:tc>
        <w:tc>
          <w:tcPr>
            <w:tcW w:w="1180"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2017</w:t>
            </w:r>
          </w:p>
        </w:tc>
        <w:tc>
          <w:tcPr>
            <w:tcW w:w="1060"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2018</w:t>
            </w:r>
          </w:p>
        </w:tc>
      </w:tr>
      <w:tr w:rsidR="00F83826" w:rsidRPr="00EF2265" w:rsidTr="00B15B10">
        <w:trPr>
          <w:trHeight w:val="255"/>
        </w:trPr>
        <w:tc>
          <w:tcPr>
            <w:tcW w:w="127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SvF</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915 624</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1 043 969</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1 039 452</w:t>
            </w:r>
          </w:p>
        </w:tc>
        <w:tc>
          <w:tcPr>
            <w:tcW w:w="12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808 032</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803 346</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957 733</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888 432</w:t>
            </w:r>
          </w:p>
        </w:tc>
      </w:tr>
      <w:tr w:rsidR="00F83826" w:rsidRPr="00EF2265" w:rsidTr="00B15B10">
        <w:trPr>
          <w:trHeight w:val="255"/>
        </w:trPr>
        <w:tc>
          <w:tcPr>
            <w:tcW w:w="127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SjF</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334 647</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330 684</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453 498</w:t>
            </w:r>
          </w:p>
        </w:tc>
        <w:tc>
          <w:tcPr>
            <w:tcW w:w="12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431 869</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623 513</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697 368</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696 279</w:t>
            </w:r>
          </w:p>
        </w:tc>
      </w:tr>
      <w:tr w:rsidR="00F83826" w:rsidRPr="00EF2265" w:rsidTr="00B15B10">
        <w:trPr>
          <w:trHeight w:val="255"/>
        </w:trPr>
        <w:tc>
          <w:tcPr>
            <w:tcW w:w="127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FEI</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1 347 872</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1 704 448</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1 879 933</w:t>
            </w:r>
          </w:p>
        </w:tc>
        <w:tc>
          <w:tcPr>
            <w:tcW w:w="12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1 861 484</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1 932 213</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1 664 679</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1 906 679</w:t>
            </w:r>
          </w:p>
        </w:tc>
      </w:tr>
      <w:tr w:rsidR="00F83826" w:rsidRPr="00EF2265" w:rsidTr="00B15B10">
        <w:trPr>
          <w:trHeight w:val="255"/>
        </w:trPr>
        <w:tc>
          <w:tcPr>
            <w:tcW w:w="127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FCHPT</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1 146 634</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1 419 833</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1 525 810</w:t>
            </w:r>
          </w:p>
        </w:tc>
        <w:tc>
          <w:tcPr>
            <w:tcW w:w="12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1 565 576</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1 365 626</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1 847 051</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2 221 958</w:t>
            </w:r>
          </w:p>
        </w:tc>
      </w:tr>
      <w:tr w:rsidR="00F83826" w:rsidRPr="00EF2265" w:rsidTr="00B15B10">
        <w:trPr>
          <w:trHeight w:val="255"/>
        </w:trPr>
        <w:tc>
          <w:tcPr>
            <w:tcW w:w="127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FA</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52 182</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109 708</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160 844</w:t>
            </w:r>
          </w:p>
        </w:tc>
        <w:tc>
          <w:tcPr>
            <w:tcW w:w="12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164 139</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124 552</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100 992</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116 026</w:t>
            </w:r>
          </w:p>
        </w:tc>
      </w:tr>
      <w:tr w:rsidR="00F83826" w:rsidRPr="00EF2265" w:rsidTr="00B15B10">
        <w:trPr>
          <w:trHeight w:val="255"/>
        </w:trPr>
        <w:tc>
          <w:tcPr>
            <w:tcW w:w="127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MTF</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288 171</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313 340</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457 504</w:t>
            </w:r>
          </w:p>
        </w:tc>
        <w:tc>
          <w:tcPr>
            <w:tcW w:w="12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491 002</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467 161</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556 349</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629 802</w:t>
            </w:r>
          </w:p>
        </w:tc>
      </w:tr>
      <w:tr w:rsidR="00F83826" w:rsidRPr="00EF2265" w:rsidTr="00B15B10">
        <w:trPr>
          <w:trHeight w:val="255"/>
        </w:trPr>
        <w:tc>
          <w:tcPr>
            <w:tcW w:w="127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FIIT</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128 980</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128 237</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152 743</w:t>
            </w:r>
          </w:p>
        </w:tc>
        <w:tc>
          <w:tcPr>
            <w:tcW w:w="12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84 311</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97 596</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128 952</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193 703</w:t>
            </w:r>
          </w:p>
        </w:tc>
      </w:tr>
      <w:tr w:rsidR="00F83826" w:rsidRPr="00EF2265" w:rsidTr="00B15B10">
        <w:trPr>
          <w:trHeight w:val="255"/>
        </w:trPr>
        <w:tc>
          <w:tcPr>
            <w:tcW w:w="127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UM</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19 279</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22 245</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24 399</w:t>
            </w:r>
          </w:p>
        </w:tc>
        <w:tc>
          <w:tcPr>
            <w:tcW w:w="12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5 322</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2 234</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8 793</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27 391</w:t>
            </w:r>
          </w:p>
        </w:tc>
      </w:tr>
      <w:tr w:rsidR="00F83826" w:rsidRPr="00EF2265" w:rsidTr="00B15B10">
        <w:trPr>
          <w:trHeight w:val="255"/>
        </w:trPr>
        <w:tc>
          <w:tcPr>
            <w:tcW w:w="127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R-STU</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85 500</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229 500</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8 968</w:t>
            </w:r>
          </w:p>
        </w:tc>
        <w:tc>
          <w:tcPr>
            <w:tcW w:w="12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8 968</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57 564</w:t>
            </w:r>
          </w:p>
        </w:tc>
        <w:tc>
          <w:tcPr>
            <w:tcW w:w="118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102 876</w:t>
            </w:r>
          </w:p>
        </w:tc>
        <w:tc>
          <w:tcPr>
            <w:tcW w:w="106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115 307</w:t>
            </w:r>
          </w:p>
        </w:tc>
      </w:tr>
      <w:tr w:rsidR="00F83826" w:rsidRPr="00EF2265" w:rsidTr="00B15B10">
        <w:trPr>
          <w:trHeight w:val="255"/>
        </w:trPr>
        <w:tc>
          <w:tcPr>
            <w:tcW w:w="127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STU</w:t>
            </w:r>
          </w:p>
        </w:tc>
        <w:tc>
          <w:tcPr>
            <w:tcW w:w="1180"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4 318 889</w:t>
            </w:r>
          </w:p>
        </w:tc>
        <w:tc>
          <w:tcPr>
            <w:tcW w:w="1180"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5 301 964</w:t>
            </w:r>
          </w:p>
        </w:tc>
        <w:tc>
          <w:tcPr>
            <w:tcW w:w="1180"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5 703 150</w:t>
            </w:r>
          </w:p>
        </w:tc>
        <w:tc>
          <w:tcPr>
            <w:tcW w:w="1200"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5 420 702</w:t>
            </w:r>
          </w:p>
        </w:tc>
        <w:tc>
          <w:tcPr>
            <w:tcW w:w="1060"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5 473 805</w:t>
            </w:r>
          </w:p>
        </w:tc>
        <w:tc>
          <w:tcPr>
            <w:tcW w:w="1180"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6 064 793</w:t>
            </w:r>
          </w:p>
        </w:tc>
        <w:tc>
          <w:tcPr>
            <w:tcW w:w="1060"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6 795 577</w:t>
            </w:r>
          </w:p>
        </w:tc>
      </w:tr>
    </w:tbl>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Graf č. 5.6: Vývoj v získavaní finančných prostriedkov STU v rokoch 2012 - 2018 z domácich grantových agentúr (VEGA, KEGA a APVV a iné), (a) za celú univerzitu v rokoch 2012 - 2018, (b) podľa jednotlivých súčastí za rok 2018</w:t>
      </w: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a)</w:t>
      </w:r>
    </w:p>
    <w:p w:rsidR="00F83826" w:rsidRPr="00EF2265" w:rsidRDefault="00F83826" w:rsidP="00E86605">
      <w:pPr>
        <w:jc w:val="left"/>
        <w:rPr>
          <w:rFonts w:ascii="Times New Roman" w:hAnsi="Times New Roman"/>
          <w:noProof/>
          <w:sz w:val="20"/>
          <w:szCs w:val="20"/>
          <w:lang w:eastAsia="sk-SK"/>
        </w:rPr>
      </w:pPr>
      <w:r w:rsidRPr="00EF2265">
        <w:rPr>
          <w:rFonts w:ascii="Times New Roman" w:hAnsi="Times New Roman"/>
          <w:noProof/>
          <w:sz w:val="20"/>
          <w:szCs w:val="20"/>
          <w:lang w:eastAsia="sk-SK"/>
        </w:rPr>
        <w:drawing>
          <wp:inline distT="0" distB="0" distL="0" distR="0" wp14:anchorId="60D3001B" wp14:editId="19B7F0AA">
            <wp:extent cx="5042848" cy="3179928"/>
            <wp:effectExtent l="0" t="0" r="5715" b="1905"/>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83826" w:rsidRPr="00EF2265" w:rsidRDefault="00F83826" w:rsidP="00E86605">
      <w:pPr>
        <w:jc w:val="left"/>
        <w:rPr>
          <w:rFonts w:ascii="Times New Roman" w:hAnsi="Times New Roman"/>
          <w:noProof/>
          <w:sz w:val="20"/>
          <w:szCs w:val="20"/>
          <w:lang w:eastAsia="sk-SK"/>
        </w:rPr>
      </w:pPr>
    </w:p>
    <w:p w:rsidR="00F83826" w:rsidRPr="00EF2265" w:rsidRDefault="00F83826" w:rsidP="00E86605">
      <w:pPr>
        <w:jc w:val="left"/>
        <w:rPr>
          <w:rFonts w:ascii="Times New Roman" w:hAnsi="Times New Roman"/>
          <w:noProof/>
          <w:sz w:val="20"/>
          <w:szCs w:val="20"/>
          <w:lang w:eastAsia="sk-SK"/>
        </w:rPr>
      </w:pPr>
    </w:p>
    <w:p w:rsidR="00F83826" w:rsidRPr="00EF2265" w:rsidRDefault="00F83826" w:rsidP="00E86605">
      <w:pPr>
        <w:jc w:val="left"/>
        <w:rPr>
          <w:rFonts w:ascii="Times New Roman" w:hAnsi="Times New Roman"/>
          <w:b/>
          <w:bCs/>
          <w:sz w:val="20"/>
          <w:szCs w:val="20"/>
        </w:rPr>
      </w:pPr>
      <w:r w:rsidRPr="00EF2265">
        <w:rPr>
          <w:rFonts w:ascii="Times New Roman" w:hAnsi="Times New Roman"/>
          <w:b/>
          <w:noProof/>
          <w:sz w:val="20"/>
          <w:szCs w:val="20"/>
          <w:lang w:eastAsia="sk-SK"/>
        </w:rPr>
        <w:t>b)</w:t>
      </w: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 xml:space="preserve"> </w:t>
      </w:r>
    </w:p>
    <w:p w:rsidR="00F83826" w:rsidRPr="00EF2265" w:rsidRDefault="00F83826" w:rsidP="00E86605">
      <w:pPr>
        <w:jc w:val="left"/>
        <w:rPr>
          <w:rFonts w:ascii="Times New Roman" w:hAnsi="Times New Roman"/>
          <w:noProof/>
          <w:sz w:val="20"/>
          <w:szCs w:val="20"/>
          <w:lang w:eastAsia="sk-SK"/>
        </w:rPr>
      </w:pPr>
      <w:r w:rsidRPr="00EF2265">
        <w:rPr>
          <w:rFonts w:ascii="Times New Roman" w:hAnsi="Times New Roman"/>
          <w:noProof/>
          <w:sz w:val="20"/>
          <w:szCs w:val="20"/>
          <w:lang w:eastAsia="sk-SK"/>
        </w:rPr>
        <w:lastRenderedPageBreak/>
        <w:drawing>
          <wp:inline distT="0" distB="0" distL="0" distR="0" wp14:anchorId="40986FF7" wp14:editId="330C3823">
            <wp:extent cx="5683250" cy="3111500"/>
            <wp:effectExtent l="0" t="0" r="0" b="0"/>
            <wp:docPr id="14"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83826" w:rsidRPr="00EF2265" w:rsidRDefault="00F83826" w:rsidP="00E86605">
      <w:pPr>
        <w:jc w:val="left"/>
        <w:rPr>
          <w:rFonts w:ascii="Times New Roman" w:hAnsi="Times New Roman"/>
          <w:sz w:val="20"/>
          <w:szCs w:val="20"/>
          <w:highlight w:val="yellow"/>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Podrobné informácie o úspešnosti v získavaní finančných prostriedkov súčastí STU v rokoch 2012-2018 zo zahraničných výskumných agentúr sú v tab. č. 5.4 a na úrovni celej univerzity v grafe č. 5.7.  Úspešnosť jednotlivých súčastí STU v získavaní zdrojov z grantových agentúr je v grafoch č. 5.8. a 5.9. Finančný prínos pripadajúci na tvorivého pracovníka dokumentuje graf. č. 10.</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Tab. č. 5.4: Finančné prostriedky získané súčasťami STU v rokoch 2012 - 2018 zo zahraničných výskumných grantových agentúr (v eurách)</w:t>
      </w:r>
    </w:p>
    <w:tbl>
      <w:tblPr>
        <w:tblW w:w="8364" w:type="dxa"/>
        <w:tblInd w:w="70" w:type="dxa"/>
        <w:tblCellMar>
          <w:left w:w="70" w:type="dxa"/>
          <w:right w:w="70" w:type="dxa"/>
        </w:tblCellMar>
        <w:tblLook w:val="04A0" w:firstRow="1" w:lastRow="0" w:firstColumn="1" w:lastColumn="0" w:noHBand="0" w:noVBand="1"/>
      </w:tblPr>
      <w:tblGrid>
        <w:gridCol w:w="1128"/>
        <w:gridCol w:w="948"/>
        <w:gridCol w:w="948"/>
        <w:gridCol w:w="948"/>
        <w:gridCol w:w="948"/>
        <w:gridCol w:w="1188"/>
        <w:gridCol w:w="1053"/>
        <w:gridCol w:w="1203"/>
      </w:tblGrid>
      <w:tr w:rsidR="00F83826" w:rsidRPr="00EF2265" w:rsidTr="00B15B10">
        <w:trPr>
          <w:trHeight w:val="330"/>
        </w:trPr>
        <w:tc>
          <w:tcPr>
            <w:tcW w:w="1128" w:type="dxa"/>
            <w:tcBorders>
              <w:top w:val="nil"/>
              <w:left w:val="nil"/>
              <w:bottom w:val="single" w:sz="8" w:space="0" w:color="auto"/>
              <w:right w:val="single" w:sz="8" w:space="0" w:color="auto"/>
            </w:tcBorders>
            <w:shd w:val="clear" w:color="auto" w:fill="auto"/>
            <w:noWrap/>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 </w:t>
            </w:r>
          </w:p>
        </w:tc>
        <w:tc>
          <w:tcPr>
            <w:tcW w:w="948" w:type="dxa"/>
            <w:tcBorders>
              <w:top w:val="single" w:sz="8" w:space="0" w:color="auto"/>
              <w:left w:val="nil"/>
              <w:bottom w:val="single" w:sz="8" w:space="0" w:color="auto"/>
              <w:right w:val="single" w:sz="8"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2012</w:t>
            </w:r>
          </w:p>
        </w:tc>
        <w:tc>
          <w:tcPr>
            <w:tcW w:w="948" w:type="dxa"/>
            <w:tcBorders>
              <w:top w:val="single" w:sz="8" w:space="0" w:color="auto"/>
              <w:left w:val="nil"/>
              <w:bottom w:val="single" w:sz="8" w:space="0" w:color="auto"/>
              <w:right w:val="single" w:sz="8"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2013</w:t>
            </w:r>
          </w:p>
        </w:tc>
        <w:tc>
          <w:tcPr>
            <w:tcW w:w="948" w:type="dxa"/>
            <w:tcBorders>
              <w:top w:val="single" w:sz="8" w:space="0" w:color="auto"/>
              <w:left w:val="nil"/>
              <w:bottom w:val="single" w:sz="8" w:space="0" w:color="auto"/>
              <w:right w:val="single" w:sz="8"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2014</w:t>
            </w:r>
          </w:p>
        </w:tc>
        <w:tc>
          <w:tcPr>
            <w:tcW w:w="948" w:type="dxa"/>
            <w:tcBorders>
              <w:top w:val="single" w:sz="8" w:space="0" w:color="auto"/>
              <w:left w:val="nil"/>
              <w:bottom w:val="single" w:sz="8" w:space="0" w:color="auto"/>
              <w:right w:val="single" w:sz="8"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2015</w:t>
            </w:r>
          </w:p>
        </w:tc>
        <w:tc>
          <w:tcPr>
            <w:tcW w:w="1188" w:type="dxa"/>
            <w:tcBorders>
              <w:top w:val="single" w:sz="8" w:space="0" w:color="auto"/>
              <w:left w:val="nil"/>
              <w:bottom w:val="single" w:sz="8" w:space="0" w:color="auto"/>
              <w:right w:val="single" w:sz="8" w:space="0" w:color="auto"/>
            </w:tcBorders>
            <w:shd w:val="clear" w:color="000000" w:fill="B6DDE8"/>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2016</w:t>
            </w:r>
          </w:p>
        </w:tc>
        <w:tc>
          <w:tcPr>
            <w:tcW w:w="1053" w:type="dxa"/>
            <w:tcBorders>
              <w:top w:val="single" w:sz="8" w:space="0" w:color="auto"/>
              <w:left w:val="nil"/>
              <w:bottom w:val="single" w:sz="8" w:space="0" w:color="auto"/>
              <w:right w:val="single" w:sz="8" w:space="0" w:color="auto"/>
            </w:tcBorders>
            <w:shd w:val="clear" w:color="000000" w:fill="B6DDE8"/>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2017</w:t>
            </w:r>
          </w:p>
        </w:tc>
        <w:tc>
          <w:tcPr>
            <w:tcW w:w="1203" w:type="dxa"/>
            <w:tcBorders>
              <w:top w:val="single" w:sz="8" w:space="0" w:color="auto"/>
              <w:left w:val="nil"/>
              <w:bottom w:val="single" w:sz="8" w:space="0" w:color="auto"/>
              <w:right w:val="single" w:sz="8" w:space="0" w:color="auto"/>
            </w:tcBorders>
            <w:shd w:val="clear" w:color="000000" w:fill="B6DDE8"/>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2018</w:t>
            </w:r>
          </w:p>
        </w:tc>
      </w:tr>
      <w:tr w:rsidR="00F83826" w:rsidRPr="00EF2265" w:rsidTr="00B15B10">
        <w:trPr>
          <w:trHeight w:val="330"/>
        </w:trPr>
        <w:tc>
          <w:tcPr>
            <w:tcW w:w="1128"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SvF</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60 925</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142 462</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126 180</w:t>
            </w:r>
          </w:p>
        </w:tc>
        <w:tc>
          <w:tcPr>
            <w:tcW w:w="118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91 679</w:t>
            </w:r>
          </w:p>
        </w:tc>
        <w:tc>
          <w:tcPr>
            <w:tcW w:w="105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361 142</w:t>
            </w:r>
          </w:p>
        </w:tc>
        <w:tc>
          <w:tcPr>
            <w:tcW w:w="120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65 475</w:t>
            </w:r>
          </w:p>
        </w:tc>
      </w:tr>
      <w:tr w:rsidR="00F83826" w:rsidRPr="00EF2265" w:rsidTr="00B15B10">
        <w:trPr>
          <w:trHeight w:val="330"/>
        </w:trPr>
        <w:tc>
          <w:tcPr>
            <w:tcW w:w="1128"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SjF</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172 375</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22 825</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9 886</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7 155</w:t>
            </w:r>
          </w:p>
        </w:tc>
        <w:tc>
          <w:tcPr>
            <w:tcW w:w="118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56 140</w:t>
            </w:r>
          </w:p>
        </w:tc>
        <w:tc>
          <w:tcPr>
            <w:tcW w:w="105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16 391</w:t>
            </w:r>
          </w:p>
        </w:tc>
        <w:tc>
          <w:tcPr>
            <w:tcW w:w="120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r>
      <w:tr w:rsidR="00F83826" w:rsidRPr="00EF2265" w:rsidTr="00B15B10">
        <w:trPr>
          <w:trHeight w:val="330"/>
        </w:trPr>
        <w:tc>
          <w:tcPr>
            <w:tcW w:w="1128"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FEI</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161 982</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449 097</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227 671</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407 165</w:t>
            </w:r>
          </w:p>
        </w:tc>
        <w:tc>
          <w:tcPr>
            <w:tcW w:w="118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1 282 842</w:t>
            </w:r>
          </w:p>
        </w:tc>
        <w:tc>
          <w:tcPr>
            <w:tcW w:w="105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611 936</w:t>
            </w:r>
          </w:p>
        </w:tc>
        <w:tc>
          <w:tcPr>
            <w:tcW w:w="120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904 013</w:t>
            </w:r>
          </w:p>
        </w:tc>
      </w:tr>
      <w:tr w:rsidR="00F83826" w:rsidRPr="00EF2265" w:rsidTr="00B15B10">
        <w:trPr>
          <w:trHeight w:val="330"/>
        </w:trPr>
        <w:tc>
          <w:tcPr>
            <w:tcW w:w="1128"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FCHPT</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108 570</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139 335</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463 711</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86 980</w:t>
            </w:r>
          </w:p>
        </w:tc>
        <w:tc>
          <w:tcPr>
            <w:tcW w:w="118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482 664</w:t>
            </w:r>
          </w:p>
        </w:tc>
        <w:tc>
          <w:tcPr>
            <w:tcW w:w="105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181 513</w:t>
            </w:r>
          </w:p>
        </w:tc>
        <w:tc>
          <w:tcPr>
            <w:tcW w:w="120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373 055</w:t>
            </w:r>
          </w:p>
        </w:tc>
      </w:tr>
      <w:tr w:rsidR="00F83826" w:rsidRPr="00EF2265" w:rsidTr="00B15B10">
        <w:trPr>
          <w:trHeight w:val="330"/>
        </w:trPr>
        <w:tc>
          <w:tcPr>
            <w:tcW w:w="1128"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FA</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54 244</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13 601</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43 596</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79 847</w:t>
            </w:r>
          </w:p>
        </w:tc>
        <w:tc>
          <w:tcPr>
            <w:tcW w:w="118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51 049</w:t>
            </w:r>
          </w:p>
        </w:tc>
        <w:tc>
          <w:tcPr>
            <w:tcW w:w="105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40 000</w:t>
            </w:r>
          </w:p>
        </w:tc>
        <w:tc>
          <w:tcPr>
            <w:tcW w:w="120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144 617</w:t>
            </w:r>
          </w:p>
        </w:tc>
      </w:tr>
      <w:tr w:rsidR="00F83826" w:rsidRPr="00EF2265" w:rsidTr="00B15B10">
        <w:trPr>
          <w:trHeight w:val="330"/>
        </w:trPr>
        <w:tc>
          <w:tcPr>
            <w:tcW w:w="1128"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MTF</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10 124</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4 027</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22 695</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22 779</w:t>
            </w:r>
          </w:p>
        </w:tc>
        <w:tc>
          <w:tcPr>
            <w:tcW w:w="118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1 726</w:t>
            </w:r>
          </w:p>
        </w:tc>
        <w:tc>
          <w:tcPr>
            <w:tcW w:w="105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48 333</w:t>
            </w:r>
          </w:p>
        </w:tc>
        <w:tc>
          <w:tcPr>
            <w:tcW w:w="120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21 903</w:t>
            </w:r>
          </w:p>
        </w:tc>
      </w:tr>
      <w:tr w:rsidR="00F83826" w:rsidRPr="00EF2265" w:rsidTr="00B15B10">
        <w:trPr>
          <w:trHeight w:val="315"/>
        </w:trPr>
        <w:tc>
          <w:tcPr>
            <w:tcW w:w="1128"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FIIT</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1 500</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4 251</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470</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5 735</w:t>
            </w:r>
          </w:p>
        </w:tc>
        <w:tc>
          <w:tcPr>
            <w:tcW w:w="118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27 546</w:t>
            </w:r>
          </w:p>
        </w:tc>
        <w:tc>
          <w:tcPr>
            <w:tcW w:w="105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18 471</w:t>
            </w:r>
          </w:p>
        </w:tc>
        <w:tc>
          <w:tcPr>
            <w:tcW w:w="120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24 575</w:t>
            </w:r>
          </w:p>
        </w:tc>
      </w:tr>
      <w:tr w:rsidR="00F83826" w:rsidRPr="00EF2265" w:rsidTr="00B15B10">
        <w:trPr>
          <w:trHeight w:val="315"/>
        </w:trPr>
        <w:tc>
          <w:tcPr>
            <w:tcW w:w="1128"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UM</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108 071</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121 246</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39 127</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39 279</w:t>
            </w:r>
          </w:p>
        </w:tc>
        <w:tc>
          <w:tcPr>
            <w:tcW w:w="118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14 618</w:t>
            </w:r>
          </w:p>
        </w:tc>
        <w:tc>
          <w:tcPr>
            <w:tcW w:w="105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26 856</w:t>
            </w:r>
          </w:p>
        </w:tc>
        <w:tc>
          <w:tcPr>
            <w:tcW w:w="120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164 962</w:t>
            </w:r>
          </w:p>
        </w:tc>
      </w:tr>
      <w:tr w:rsidR="00F83826" w:rsidRPr="00EF2265" w:rsidTr="00B15B10">
        <w:trPr>
          <w:trHeight w:val="315"/>
        </w:trPr>
        <w:tc>
          <w:tcPr>
            <w:tcW w:w="1128"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R-STU</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24 588</w:t>
            </w:r>
          </w:p>
        </w:tc>
        <w:tc>
          <w:tcPr>
            <w:tcW w:w="94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374 180</w:t>
            </w:r>
          </w:p>
        </w:tc>
        <w:tc>
          <w:tcPr>
            <w:tcW w:w="1188"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111 143</w:t>
            </w:r>
          </w:p>
        </w:tc>
        <w:tc>
          <w:tcPr>
            <w:tcW w:w="105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1203" w:type="dxa"/>
            <w:tcBorders>
              <w:top w:val="nil"/>
              <w:left w:val="nil"/>
              <w:bottom w:val="single" w:sz="8" w:space="0" w:color="auto"/>
              <w:right w:val="single" w:sz="8" w:space="0" w:color="auto"/>
            </w:tcBorders>
            <w:shd w:val="clear" w:color="000000" w:fill="DAEEF3"/>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r>
      <w:tr w:rsidR="00F83826" w:rsidRPr="00EF2265" w:rsidTr="00B15B10">
        <w:trPr>
          <w:trHeight w:val="315"/>
        </w:trPr>
        <w:tc>
          <w:tcPr>
            <w:tcW w:w="1128" w:type="dxa"/>
            <w:tcBorders>
              <w:top w:val="nil"/>
              <w:left w:val="single" w:sz="8" w:space="0" w:color="auto"/>
              <w:bottom w:val="single" w:sz="8" w:space="0" w:color="auto"/>
              <w:right w:val="single" w:sz="8"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STU</w:t>
            </w:r>
          </w:p>
        </w:tc>
        <w:tc>
          <w:tcPr>
            <w:tcW w:w="948" w:type="dxa"/>
            <w:tcBorders>
              <w:top w:val="nil"/>
              <w:left w:val="nil"/>
              <w:bottom w:val="single" w:sz="8" w:space="0" w:color="auto"/>
              <w:right w:val="single" w:sz="8"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616 865</w:t>
            </w:r>
          </w:p>
        </w:tc>
        <w:tc>
          <w:tcPr>
            <w:tcW w:w="948" w:type="dxa"/>
            <w:tcBorders>
              <w:top w:val="nil"/>
              <w:left w:val="nil"/>
              <w:bottom w:val="single" w:sz="8" w:space="0" w:color="auto"/>
              <w:right w:val="single" w:sz="8"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815 307</w:t>
            </w:r>
          </w:p>
        </w:tc>
        <w:tc>
          <w:tcPr>
            <w:tcW w:w="948" w:type="dxa"/>
            <w:tcBorders>
              <w:top w:val="nil"/>
              <w:left w:val="nil"/>
              <w:bottom w:val="single" w:sz="8" w:space="0" w:color="auto"/>
              <w:right w:val="single" w:sz="8"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974 206</w:t>
            </w:r>
          </w:p>
        </w:tc>
        <w:tc>
          <w:tcPr>
            <w:tcW w:w="948" w:type="dxa"/>
            <w:tcBorders>
              <w:top w:val="nil"/>
              <w:left w:val="nil"/>
              <w:bottom w:val="single" w:sz="8" w:space="0" w:color="auto"/>
              <w:right w:val="single" w:sz="8"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1 149 300</w:t>
            </w:r>
          </w:p>
        </w:tc>
        <w:tc>
          <w:tcPr>
            <w:tcW w:w="1188" w:type="dxa"/>
            <w:tcBorders>
              <w:top w:val="nil"/>
              <w:left w:val="nil"/>
              <w:bottom w:val="single" w:sz="8" w:space="0" w:color="auto"/>
              <w:right w:val="single" w:sz="8" w:space="0" w:color="auto"/>
            </w:tcBorders>
            <w:shd w:val="clear" w:color="000000" w:fill="FBD4B4"/>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2 119 406</w:t>
            </w:r>
          </w:p>
        </w:tc>
        <w:tc>
          <w:tcPr>
            <w:tcW w:w="1053" w:type="dxa"/>
            <w:tcBorders>
              <w:top w:val="nil"/>
              <w:left w:val="nil"/>
              <w:bottom w:val="single" w:sz="8" w:space="0" w:color="auto"/>
              <w:right w:val="single" w:sz="8" w:space="0" w:color="auto"/>
            </w:tcBorders>
            <w:shd w:val="clear" w:color="000000" w:fill="FBD4B4"/>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1 304 642</w:t>
            </w:r>
          </w:p>
        </w:tc>
        <w:tc>
          <w:tcPr>
            <w:tcW w:w="1203" w:type="dxa"/>
            <w:tcBorders>
              <w:top w:val="nil"/>
              <w:left w:val="nil"/>
              <w:bottom w:val="single" w:sz="8" w:space="0" w:color="auto"/>
              <w:right w:val="single" w:sz="8" w:space="0" w:color="auto"/>
            </w:tcBorders>
            <w:shd w:val="clear" w:color="000000" w:fill="FBD4B4"/>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1 698 600</w:t>
            </w:r>
          </w:p>
        </w:tc>
      </w:tr>
    </w:tbl>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br w:type="page"/>
      </w: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lastRenderedPageBreak/>
        <w:t>Graf č. 5.7: Vývoj v získavaní finančných prostriedkov STU v rokoch 2012 - 2018 zo zahraničných výskumných grantových agentúr v eurách</w:t>
      </w:r>
    </w:p>
    <w:p w:rsidR="00F83826" w:rsidRPr="00EF2265" w:rsidRDefault="00F83826" w:rsidP="00E86605">
      <w:pPr>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62EDA6C5" wp14:editId="5223CBC0">
            <wp:extent cx="4762500" cy="2909887"/>
            <wp:effectExtent l="0" t="0" r="0" b="508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Graf č. 5.8.: Podiel súčastí STU na získavaní finančných prostriedkov z domácich aj zahraničných výskumných grantových agentúr v roku 2018</w:t>
      </w:r>
    </w:p>
    <w:p w:rsidR="00F83826" w:rsidRPr="00EF2265" w:rsidRDefault="00F83826" w:rsidP="00E86605">
      <w:pPr>
        <w:ind w:left="284"/>
        <w:jc w:val="left"/>
        <w:rPr>
          <w:rFonts w:ascii="Times New Roman" w:hAnsi="Times New Roman"/>
          <w:b/>
          <w:sz w:val="20"/>
          <w:szCs w:val="20"/>
        </w:rPr>
      </w:pPr>
    </w:p>
    <w:p w:rsidR="00F83826" w:rsidRPr="00EF2265" w:rsidRDefault="00F83826" w:rsidP="00E86605">
      <w:pPr>
        <w:numPr>
          <w:ilvl w:val="0"/>
          <w:numId w:val="18"/>
        </w:numPr>
        <w:ind w:left="284" w:hanging="284"/>
        <w:jc w:val="left"/>
        <w:rPr>
          <w:rFonts w:ascii="Times New Roman" w:hAnsi="Times New Roman"/>
          <w:b/>
          <w:sz w:val="20"/>
          <w:szCs w:val="20"/>
        </w:rPr>
      </w:pPr>
      <w:r w:rsidRPr="00EF2265">
        <w:rPr>
          <w:rFonts w:ascii="Times New Roman" w:hAnsi="Times New Roman"/>
          <w:b/>
          <w:sz w:val="20"/>
          <w:szCs w:val="20"/>
        </w:rPr>
        <w:t>Podiel súčastí STU na grantoch VEGA</w:t>
      </w:r>
    </w:p>
    <w:p w:rsidR="00F83826" w:rsidRPr="00EF2265" w:rsidRDefault="00F83826" w:rsidP="00E86605">
      <w:pPr>
        <w:ind w:left="720"/>
        <w:jc w:val="left"/>
        <w:rPr>
          <w:rFonts w:ascii="Times New Roman" w:hAnsi="Times New Roman"/>
          <w:b/>
          <w:sz w:val="20"/>
          <w:szCs w:val="20"/>
          <w:highlight w:val="yellow"/>
        </w:rPr>
      </w:pPr>
    </w:p>
    <w:p w:rsidR="00F83826" w:rsidRPr="00EF2265" w:rsidRDefault="00F83826" w:rsidP="00E86605">
      <w:pPr>
        <w:jc w:val="left"/>
        <w:rPr>
          <w:rFonts w:ascii="Times New Roman" w:hAnsi="Times New Roman"/>
          <w:noProof/>
          <w:sz w:val="20"/>
          <w:szCs w:val="20"/>
          <w:highlight w:val="yellow"/>
          <w:lang w:eastAsia="sk-SK"/>
        </w:rPr>
      </w:pPr>
      <w:r w:rsidRPr="00EF2265">
        <w:rPr>
          <w:rFonts w:ascii="Times New Roman" w:hAnsi="Times New Roman"/>
          <w:noProof/>
          <w:sz w:val="20"/>
          <w:szCs w:val="20"/>
          <w:lang w:eastAsia="sk-SK"/>
        </w:rPr>
        <w:drawing>
          <wp:inline distT="0" distB="0" distL="0" distR="0" wp14:anchorId="424C6C14" wp14:editId="08DB0141">
            <wp:extent cx="5975985" cy="2320290"/>
            <wp:effectExtent l="0" t="0" r="5715" b="3810"/>
            <wp:docPr id="57" name="Graf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83826" w:rsidRPr="00EF2265" w:rsidRDefault="00F83826" w:rsidP="00E86605">
      <w:pPr>
        <w:jc w:val="left"/>
        <w:rPr>
          <w:rFonts w:ascii="Times New Roman" w:hAnsi="Times New Roman"/>
          <w:noProof/>
          <w:sz w:val="20"/>
          <w:szCs w:val="20"/>
          <w:highlight w:val="yellow"/>
          <w:lang w:eastAsia="sk-SK"/>
        </w:rPr>
      </w:pPr>
    </w:p>
    <w:p w:rsidR="00F83826" w:rsidRPr="00EF2265" w:rsidRDefault="00F83826" w:rsidP="00E86605">
      <w:pPr>
        <w:jc w:val="left"/>
        <w:rPr>
          <w:rFonts w:ascii="Times New Roman" w:hAnsi="Times New Roman"/>
          <w:noProof/>
          <w:sz w:val="20"/>
          <w:szCs w:val="20"/>
          <w:highlight w:val="yellow"/>
          <w:lang w:eastAsia="sk-SK"/>
        </w:rPr>
      </w:pPr>
      <w:r w:rsidRPr="00EF2265">
        <w:rPr>
          <w:rFonts w:ascii="Times New Roman" w:hAnsi="Times New Roman"/>
          <w:b/>
          <w:sz w:val="20"/>
          <w:szCs w:val="20"/>
          <w:highlight w:val="yellow"/>
        </w:rPr>
        <w:br w:type="page"/>
      </w:r>
      <w:r w:rsidRPr="00EF2265">
        <w:rPr>
          <w:rFonts w:ascii="Times New Roman" w:hAnsi="Times New Roman"/>
          <w:b/>
          <w:sz w:val="20"/>
          <w:szCs w:val="20"/>
        </w:rPr>
        <w:lastRenderedPageBreak/>
        <w:t>a1) Podľa jednotlivých súčastí na grantoch VEGA na jedného tvorivého pracovníka</w:t>
      </w:r>
    </w:p>
    <w:p w:rsidR="00F83826" w:rsidRPr="00EF2265" w:rsidRDefault="00F83826" w:rsidP="00E86605">
      <w:pPr>
        <w:jc w:val="left"/>
        <w:rPr>
          <w:rFonts w:ascii="Times New Roman" w:hAnsi="Times New Roman"/>
          <w:noProof/>
          <w:sz w:val="20"/>
          <w:szCs w:val="20"/>
          <w:highlight w:val="yellow"/>
          <w:lang w:eastAsia="sk-SK"/>
        </w:rPr>
      </w:pPr>
      <w:r w:rsidRPr="00EF2265">
        <w:rPr>
          <w:rFonts w:ascii="Times New Roman" w:hAnsi="Times New Roman"/>
          <w:noProof/>
          <w:sz w:val="20"/>
          <w:szCs w:val="20"/>
          <w:lang w:eastAsia="sk-SK"/>
        </w:rPr>
        <w:drawing>
          <wp:inline distT="0" distB="0" distL="0" distR="0" wp14:anchorId="54CBC0C0" wp14:editId="27AE710D">
            <wp:extent cx="5684520" cy="2495363"/>
            <wp:effectExtent l="0" t="0" r="0" b="635"/>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83826" w:rsidRPr="00EF2265" w:rsidRDefault="00F83826" w:rsidP="00E86605">
      <w:pPr>
        <w:jc w:val="left"/>
        <w:rPr>
          <w:rFonts w:ascii="Times New Roman" w:hAnsi="Times New Roman"/>
          <w:b/>
          <w:sz w:val="20"/>
          <w:szCs w:val="20"/>
          <w:highlight w:val="yellow"/>
        </w:rPr>
      </w:pPr>
    </w:p>
    <w:p w:rsidR="00F83826" w:rsidRPr="00EF2265" w:rsidRDefault="00F83826" w:rsidP="00E86605">
      <w:pPr>
        <w:numPr>
          <w:ilvl w:val="0"/>
          <w:numId w:val="18"/>
        </w:numPr>
        <w:ind w:left="284" w:hanging="284"/>
        <w:jc w:val="left"/>
        <w:rPr>
          <w:rFonts w:ascii="Times New Roman" w:hAnsi="Times New Roman"/>
          <w:b/>
          <w:sz w:val="20"/>
          <w:szCs w:val="20"/>
        </w:rPr>
      </w:pPr>
      <w:r w:rsidRPr="00EF2265">
        <w:rPr>
          <w:rFonts w:ascii="Times New Roman" w:hAnsi="Times New Roman"/>
          <w:b/>
          <w:sz w:val="20"/>
          <w:szCs w:val="20"/>
        </w:rPr>
        <w:t>Podiel súčastí STU na grantoch APVV</w:t>
      </w:r>
    </w:p>
    <w:p w:rsidR="00F83826" w:rsidRPr="00EF2265" w:rsidRDefault="00F83826" w:rsidP="00E86605">
      <w:pPr>
        <w:ind w:left="720"/>
        <w:jc w:val="left"/>
        <w:rPr>
          <w:rFonts w:ascii="Times New Roman" w:hAnsi="Times New Roman"/>
          <w:b/>
          <w:sz w:val="20"/>
          <w:szCs w:val="20"/>
          <w:highlight w:val="yellow"/>
        </w:rPr>
      </w:pPr>
    </w:p>
    <w:p w:rsidR="00F83826" w:rsidRPr="00EF2265" w:rsidRDefault="00F83826" w:rsidP="00E86605">
      <w:pPr>
        <w:ind w:left="284"/>
        <w:jc w:val="left"/>
        <w:rPr>
          <w:rFonts w:ascii="Times New Roman" w:hAnsi="Times New Roman"/>
          <w:noProof/>
          <w:sz w:val="20"/>
          <w:szCs w:val="20"/>
          <w:highlight w:val="yellow"/>
          <w:lang w:eastAsia="sk-SK"/>
        </w:rPr>
      </w:pPr>
      <w:r w:rsidRPr="00EF2265">
        <w:rPr>
          <w:rFonts w:ascii="Times New Roman" w:hAnsi="Times New Roman"/>
          <w:noProof/>
          <w:sz w:val="20"/>
          <w:szCs w:val="20"/>
          <w:lang w:eastAsia="sk-SK"/>
        </w:rPr>
        <w:drawing>
          <wp:inline distT="0" distB="0" distL="0" distR="0" wp14:anchorId="6A33B764" wp14:editId="5D0F75F5">
            <wp:extent cx="5459105" cy="2429301"/>
            <wp:effectExtent l="0" t="0" r="8255" b="0"/>
            <wp:docPr id="59" name="Graf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83826" w:rsidRPr="00EF2265" w:rsidRDefault="00F83826" w:rsidP="00E86605">
      <w:pPr>
        <w:ind w:left="284"/>
        <w:jc w:val="left"/>
        <w:rPr>
          <w:rFonts w:ascii="Times New Roman" w:hAnsi="Times New Roman"/>
          <w:noProof/>
          <w:sz w:val="20"/>
          <w:szCs w:val="20"/>
          <w:highlight w:val="yellow"/>
          <w:lang w:eastAsia="sk-SK"/>
        </w:rPr>
      </w:pPr>
    </w:p>
    <w:p w:rsidR="00F83826" w:rsidRPr="00EF2265" w:rsidRDefault="00F83826" w:rsidP="00E86605">
      <w:pPr>
        <w:jc w:val="left"/>
        <w:rPr>
          <w:rFonts w:ascii="Times New Roman" w:hAnsi="Times New Roman"/>
          <w:noProof/>
          <w:sz w:val="20"/>
          <w:szCs w:val="20"/>
          <w:lang w:eastAsia="sk-SK"/>
        </w:rPr>
      </w:pPr>
      <w:r w:rsidRPr="00EF2265">
        <w:rPr>
          <w:rFonts w:ascii="Times New Roman" w:hAnsi="Times New Roman"/>
          <w:b/>
          <w:sz w:val="20"/>
          <w:szCs w:val="20"/>
        </w:rPr>
        <w:t>b1) Podľa jednotlivých súčastí na grantoch APVV na jedného tvorivého pracovníka</w:t>
      </w:r>
    </w:p>
    <w:p w:rsidR="00F83826" w:rsidRPr="00EF2265" w:rsidRDefault="00F83826" w:rsidP="00E86605">
      <w:pPr>
        <w:ind w:left="284"/>
        <w:jc w:val="left"/>
        <w:rPr>
          <w:rFonts w:ascii="Times New Roman" w:hAnsi="Times New Roman"/>
          <w:b/>
          <w:sz w:val="20"/>
          <w:szCs w:val="20"/>
        </w:rPr>
      </w:pPr>
      <w:r w:rsidRPr="00EF2265">
        <w:rPr>
          <w:rFonts w:ascii="Times New Roman" w:hAnsi="Times New Roman"/>
          <w:noProof/>
          <w:sz w:val="20"/>
          <w:szCs w:val="20"/>
          <w:lang w:eastAsia="sk-SK"/>
        </w:rPr>
        <w:drawing>
          <wp:inline distT="0" distB="0" distL="0" distR="0" wp14:anchorId="352D10CB" wp14:editId="1CEA1EF4">
            <wp:extent cx="5684520" cy="2448828"/>
            <wp:effectExtent l="0" t="0" r="0" b="889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EF2265">
        <w:rPr>
          <w:rFonts w:ascii="Times New Roman" w:hAnsi="Times New Roman"/>
          <w:noProof/>
          <w:sz w:val="20"/>
          <w:szCs w:val="20"/>
          <w:lang w:eastAsia="sk-SK"/>
        </w:rPr>
        <w:br w:type="page"/>
      </w:r>
    </w:p>
    <w:p w:rsidR="00F83826" w:rsidRPr="00EF2265" w:rsidRDefault="00F83826" w:rsidP="00E86605">
      <w:pPr>
        <w:numPr>
          <w:ilvl w:val="0"/>
          <w:numId w:val="18"/>
        </w:numPr>
        <w:ind w:left="426"/>
        <w:jc w:val="left"/>
        <w:rPr>
          <w:rFonts w:ascii="Times New Roman" w:hAnsi="Times New Roman"/>
          <w:b/>
          <w:sz w:val="20"/>
          <w:szCs w:val="20"/>
        </w:rPr>
      </w:pPr>
      <w:r w:rsidRPr="00EF2265">
        <w:rPr>
          <w:rFonts w:ascii="Times New Roman" w:hAnsi="Times New Roman"/>
          <w:b/>
          <w:sz w:val="20"/>
          <w:szCs w:val="20"/>
        </w:rPr>
        <w:lastRenderedPageBreak/>
        <w:t>Podiel súčastí STU na zahraničných výskumných grantoch rok 2018</w:t>
      </w:r>
    </w:p>
    <w:p w:rsidR="00F83826" w:rsidRPr="00EF2265" w:rsidRDefault="00F83826" w:rsidP="00E86605">
      <w:pPr>
        <w:jc w:val="left"/>
        <w:rPr>
          <w:rFonts w:ascii="Times New Roman" w:hAnsi="Times New Roman"/>
          <w:b/>
          <w:sz w:val="20"/>
          <w:szCs w:val="20"/>
        </w:rPr>
      </w:pPr>
      <w:r w:rsidRPr="00EF2265">
        <w:rPr>
          <w:rFonts w:ascii="Times New Roman" w:hAnsi="Times New Roman"/>
          <w:noProof/>
          <w:sz w:val="20"/>
          <w:szCs w:val="20"/>
          <w:lang w:eastAsia="sk-SK"/>
        </w:rPr>
        <w:drawing>
          <wp:inline distT="0" distB="0" distL="0" distR="0" wp14:anchorId="5CB23CFF" wp14:editId="3CDAF1FB">
            <wp:extent cx="5286375" cy="3281362"/>
            <wp:effectExtent l="0" t="0" r="0" b="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Graf č. 5.9: Prínos finančných prostriedkov jednotlivými súčasťami STU v roku z výskumných domácich grantov, zahraničných grantov a zmlúv o dielo (celá STU 9 433 888 EUR):</w:t>
      </w:r>
    </w:p>
    <w:p w:rsidR="00F83826" w:rsidRPr="00EF2265" w:rsidRDefault="00F83826" w:rsidP="00E86605">
      <w:pPr>
        <w:numPr>
          <w:ilvl w:val="0"/>
          <w:numId w:val="19"/>
        </w:numPr>
        <w:ind w:left="426"/>
        <w:jc w:val="left"/>
        <w:rPr>
          <w:rFonts w:ascii="Times New Roman" w:hAnsi="Times New Roman"/>
          <w:b/>
          <w:sz w:val="20"/>
          <w:szCs w:val="20"/>
        </w:rPr>
      </w:pPr>
      <w:r w:rsidRPr="00EF2265">
        <w:rPr>
          <w:rFonts w:ascii="Times New Roman" w:hAnsi="Times New Roman"/>
          <w:b/>
          <w:sz w:val="20"/>
          <w:szCs w:val="20"/>
        </w:rPr>
        <w:t>Podiel jednotlivých súčastí STU</w:t>
      </w:r>
    </w:p>
    <w:p w:rsidR="00F83826" w:rsidRPr="00EF2265" w:rsidRDefault="00F83826" w:rsidP="00E86605">
      <w:pPr>
        <w:jc w:val="left"/>
        <w:rPr>
          <w:rFonts w:ascii="Times New Roman" w:hAnsi="Times New Roman"/>
          <w:noProof/>
          <w:sz w:val="20"/>
          <w:szCs w:val="20"/>
          <w:lang w:eastAsia="sk-SK"/>
        </w:rPr>
      </w:pPr>
      <w:r w:rsidRPr="00EF2265">
        <w:rPr>
          <w:rFonts w:ascii="Times New Roman" w:hAnsi="Times New Roman"/>
          <w:noProof/>
          <w:sz w:val="20"/>
          <w:szCs w:val="20"/>
          <w:lang w:eastAsia="sk-SK"/>
        </w:rPr>
        <w:drawing>
          <wp:inline distT="0" distB="0" distL="0" distR="0" wp14:anchorId="368200E0" wp14:editId="34687149">
            <wp:extent cx="5684520" cy="3373484"/>
            <wp:effectExtent l="0" t="0" r="0"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83826" w:rsidRPr="00EF2265" w:rsidRDefault="00F83826" w:rsidP="00E86605">
      <w:pPr>
        <w:jc w:val="left"/>
        <w:rPr>
          <w:rFonts w:ascii="Times New Roman" w:hAnsi="Times New Roman"/>
          <w:sz w:val="20"/>
          <w:szCs w:val="20"/>
        </w:rPr>
      </w:pPr>
      <w:r w:rsidRPr="00EF2265">
        <w:rPr>
          <w:rFonts w:ascii="Times New Roman" w:hAnsi="Times New Roman"/>
          <w:noProof/>
          <w:sz w:val="20"/>
          <w:szCs w:val="20"/>
          <w:lang w:eastAsia="sk-SK"/>
        </w:rPr>
        <w:br w:type="page"/>
      </w:r>
    </w:p>
    <w:p w:rsidR="00F83826" w:rsidRPr="00EF2265" w:rsidRDefault="00F83826" w:rsidP="00E86605">
      <w:pPr>
        <w:numPr>
          <w:ilvl w:val="0"/>
          <w:numId w:val="19"/>
        </w:numPr>
        <w:ind w:left="426"/>
        <w:jc w:val="left"/>
        <w:rPr>
          <w:rFonts w:ascii="Times New Roman" w:hAnsi="Times New Roman"/>
          <w:b/>
          <w:bCs/>
          <w:sz w:val="20"/>
          <w:szCs w:val="20"/>
        </w:rPr>
      </w:pPr>
      <w:r w:rsidRPr="00EF2265">
        <w:rPr>
          <w:rFonts w:ascii="Times New Roman" w:hAnsi="Times New Roman"/>
          <w:b/>
          <w:sz w:val="20"/>
          <w:szCs w:val="20"/>
        </w:rPr>
        <w:lastRenderedPageBreak/>
        <w:t>Podľa jednotlivých súčastí na jedného tvorivého pracovníka</w:t>
      </w:r>
    </w:p>
    <w:p w:rsidR="00F83826" w:rsidRPr="00EF2265" w:rsidRDefault="00F83826" w:rsidP="00E86605">
      <w:pPr>
        <w:ind w:left="66"/>
        <w:jc w:val="left"/>
        <w:rPr>
          <w:rFonts w:ascii="Times New Roman" w:hAnsi="Times New Roman"/>
          <w:b/>
          <w:bCs/>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noProof/>
          <w:sz w:val="20"/>
          <w:szCs w:val="20"/>
          <w:lang w:eastAsia="sk-SK"/>
        </w:rPr>
        <w:drawing>
          <wp:inline distT="0" distB="0" distL="0" distR="0" wp14:anchorId="25CEC42E" wp14:editId="0848D734">
            <wp:extent cx="5684520" cy="2498763"/>
            <wp:effectExtent l="0" t="0" r="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Graf č. 5.10: Porovnanie efektívnosti v získavaní financií súčasťami STU na jedného tvorivého pracovníka v roku 2018 z domácich a zahraničných grantových agentúr</w:t>
      </w:r>
    </w:p>
    <w:p w:rsidR="00F83826" w:rsidRPr="00EF2265" w:rsidRDefault="00F83826" w:rsidP="00E86605">
      <w:pPr>
        <w:numPr>
          <w:ilvl w:val="0"/>
          <w:numId w:val="26"/>
        </w:numPr>
        <w:ind w:left="3261"/>
        <w:jc w:val="left"/>
        <w:rPr>
          <w:rFonts w:ascii="Times New Roman" w:hAnsi="Times New Roman"/>
          <w:b/>
          <w:sz w:val="20"/>
          <w:szCs w:val="20"/>
        </w:rPr>
      </w:pPr>
      <w:r w:rsidRPr="00EF2265">
        <w:rPr>
          <w:rFonts w:ascii="Times New Roman" w:hAnsi="Times New Roman"/>
          <w:b/>
          <w:sz w:val="20"/>
          <w:szCs w:val="20"/>
        </w:rPr>
        <w:t>Domáce výskumné granty</w:t>
      </w:r>
    </w:p>
    <w:p w:rsidR="00F83826" w:rsidRPr="00EF2265" w:rsidRDefault="00F83826" w:rsidP="00E86605">
      <w:pPr>
        <w:jc w:val="left"/>
        <w:rPr>
          <w:rFonts w:ascii="Times New Roman" w:hAnsi="Times New Roman"/>
          <w:noProof/>
          <w:sz w:val="20"/>
          <w:szCs w:val="20"/>
          <w:lang w:eastAsia="sk-SK"/>
        </w:rPr>
      </w:pPr>
      <w:r w:rsidRPr="00EF2265">
        <w:rPr>
          <w:rFonts w:ascii="Times New Roman" w:hAnsi="Times New Roman"/>
          <w:noProof/>
          <w:sz w:val="20"/>
          <w:szCs w:val="20"/>
          <w:lang w:eastAsia="sk-SK"/>
        </w:rPr>
        <w:drawing>
          <wp:inline distT="0" distB="0" distL="0" distR="0" wp14:anchorId="6D74AC19" wp14:editId="2FFB1C7D">
            <wp:extent cx="5684520" cy="2237910"/>
            <wp:effectExtent l="0" t="0" r="0"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83826" w:rsidRPr="00EF2265" w:rsidRDefault="00F83826" w:rsidP="00E86605">
      <w:pPr>
        <w:jc w:val="left"/>
        <w:rPr>
          <w:rFonts w:ascii="Times New Roman" w:hAnsi="Times New Roman"/>
          <w:noProof/>
          <w:sz w:val="20"/>
          <w:szCs w:val="20"/>
          <w:lang w:eastAsia="sk-SK"/>
        </w:rPr>
      </w:pPr>
    </w:p>
    <w:p w:rsidR="00F83826" w:rsidRPr="00EF2265" w:rsidRDefault="00F83826" w:rsidP="00E86605">
      <w:pPr>
        <w:jc w:val="left"/>
        <w:rPr>
          <w:rFonts w:ascii="Times New Roman" w:hAnsi="Times New Roman"/>
          <w:noProof/>
          <w:sz w:val="20"/>
          <w:szCs w:val="20"/>
          <w:lang w:eastAsia="sk-SK"/>
        </w:rPr>
      </w:pPr>
      <w:r w:rsidRPr="00EF2265">
        <w:rPr>
          <w:rFonts w:ascii="Times New Roman" w:hAnsi="Times New Roman"/>
          <w:noProof/>
          <w:sz w:val="20"/>
          <w:szCs w:val="20"/>
          <w:lang w:eastAsia="sk-SK"/>
        </w:rPr>
        <w:drawing>
          <wp:inline distT="0" distB="0" distL="0" distR="0" wp14:anchorId="4F80C658" wp14:editId="1A45FD21">
            <wp:extent cx="5684520" cy="2486298"/>
            <wp:effectExtent l="0" t="0" r="0" b="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eastAsia="Times New Roman" w:hAnsi="Times New Roman"/>
          <w:strike/>
          <w:sz w:val="20"/>
          <w:szCs w:val="20"/>
          <w:lang w:eastAsia="sk-SK"/>
        </w:rPr>
      </w:pPr>
      <w:r w:rsidRPr="00EF2265">
        <w:rPr>
          <w:rFonts w:ascii="Times New Roman" w:hAnsi="Times New Roman"/>
          <w:sz w:val="20"/>
          <w:szCs w:val="20"/>
        </w:rPr>
        <w:t xml:space="preserve">STU sa dlhoročne zapája do medzinárodných programov a od začiatku roku 2014 sa začala aktívne zapájať do výziev v rámci európskeho rámcového programu pre výskum a inovácie HORIZONT 2020. </w:t>
      </w:r>
      <w:r w:rsidRPr="00EF2265">
        <w:rPr>
          <w:rFonts w:ascii="Times New Roman" w:hAnsi="Times New Roman"/>
          <w:b/>
          <w:sz w:val="20"/>
          <w:szCs w:val="20"/>
        </w:rPr>
        <w:t>Pracovníci STU podali k 31. 12. 2018 spolu 215 žiadostí v rámci výziev tohto programu, z toho 24 návrhov bolo schválených a určených na financovanie a 67 projektov sa po procese hodnotenia dostalo nad bodový prah</w:t>
      </w:r>
      <w:r w:rsidRPr="00EF2265">
        <w:rPr>
          <w:rFonts w:ascii="Times New Roman" w:hAnsi="Times New Roman"/>
          <w:sz w:val="20"/>
          <w:szCs w:val="20"/>
        </w:rPr>
        <w:t xml:space="preserve"> </w:t>
      </w:r>
      <w:r w:rsidRPr="00EF2265">
        <w:rPr>
          <w:rFonts w:ascii="Times New Roman" w:hAnsi="Times New Roman"/>
          <w:sz w:val="20"/>
          <w:szCs w:val="20"/>
        </w:rPr>
        <w:lastRenderedPageBreak/>
        <w:t>(tab. č. 5.5). Hodnoty v tabuľke sú uvedené za dané obdobie, ale niektoré projekty v danom roku neskončili proces hodnotenia. (Pozn.: nie je možné jednoducho sčítavať riadky alebo stĺpce, lebo projekty prechádzajú cez rôzne roky).</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STU nezaostáva v percentuálnej úspešnosti podávaných projektov za priemerom úspešnosti celej EÚ. Stále je čo zlepšovať a vedecký potenciál a možnosti STU naznačujú určité rezervy v počte podaných projektov. Brzdou pri uchádzaní sa o grantové financovanie výskumu je veľká administratívna záťaž spojená s podávaním a riešením projektov. Výskumné tímy tiež odrádza nižšia úspešnosť návrhov projektov na financovanie. </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Na Slovensku patrí </w:t>
      </w:r>
      <w:r w:rsidRPr="00EF2265">
        <w:rPr>
          <w:rFonts w:ascii="Times New Roman" w:eastAsia="Times New Roman" w:hAnsi="Times New Roman"/>
          <w:b/>
          <w:sz w:val="20"/>
          <w:szCs w:val="20"/>
          <w:lang w:eastAsia="sk-SK"/>
        </w:rPr>
        <w:t>STU</w:t>
      </w:r>
      <w:r w:rsidRPr="00EF2265">
        <w:rPr>
          <w:rFonts w:ascii="Times New Roman" w:eastAsia="Times New Roman" w:hAnsi="Times New Roman"/>
          <w:sz w:val="20"/>
          <w:szCs w:val="20"/>
          <w:lang w:eastAsia="sk-SK"/>
        </w:rPr>
        <w:t xml:space="preserve"> medzi </w:t>
      </w:r>
      <w:r w:rsidRPr="00EF2265">
        <w:rPr>
          <w:rFonts w:ascii="Times New Roman" w:eastAsia="Times New Roman" w:hAnsi="Times New Roman"/>
          <w:b/>
          <w:sz w:val="20"/>
          <w:szCs w:val="20"/>
          <w:lang w:eastAsia="sk-SK"/>
        </w:rPr>
        <w:t>najlepšie univerzity</w:t>
      </w:r>
      <w:r w:rsidRPr="00EF2265">
        <w:rPr>
          <w:rFonts w:ascii="Times New Roman" w:eastAsia="Times New Roman" w:hAnsi="Times New Roman"/>
          <w:sz w:val="20"/>
          <w:szCs w:val="20"/>
          <w:lang w:eastAsia="sk-SK"/>
        </w:rPr>
        <w:t xml:space="preserve"> </w:t>
      </w:r>
      <w:r w:rsidRPr="00EF2265">
        <w:rPr>
          <w:rFonts w:ascii="Times New Roman" w:eastAsia="Times New Roman" w:hAnsi="Times New Roman"/>
          <w:b/>
          <w:sz w:val="20"/>
          <w:szCs w:val="20"/>
          <w:lang w:eastAsia="sk-SK"/>
        </w:rPr>
        <w:t>v počte financovaných projektov a aj v objeme získaného príspevku z EK</w:t>
      </w:r>
      <w:r w:rsidRPr="00EF2265">
        <w:rPr>
          <w:rFonts w:ascii="Times New Roman" w:eastAsia="Times New Roman" w:hAnsi="Times New Roman"/>
          <w:sz w:val="20"/>
          <w:szCs w:val="20"/>
          <w:lang w:eastAsia="sk-SK"/>
        </w:rPr>
        <w:t xml:space="preserve">. </w:t>
      </w:r>
    </w:p>
    <w:p w:rsidR="00F83826" w:rsidRPr="00EF2265" w:rsidRDefault="00F83826" w:rsidP="00E86605">
      <w:pPr>
        <w:jc w:val="left"/>
        <w:rPr>
          <w:rFonts w:ascii="Times New Roman" w:eastAsia="Times New Roman" w:hAnsi="Times New Roman"/>
          <w:sz w:val="20"/>
          <w:szCs w:val="20"/>
          <w:lang w:eastAsia="sk-SK"/>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Tab. č. 5.5 a): Projekty H2020 podané 2014 - 2018</w:t>
      </w:r>
    </w:p>
    <w:tbl>
      <w:tblPr>
        <w:tblW w:w="8940" w:type="dxa"/>
        <w:tblInd w:w="60" w:type="dxa"/>
        <w:tblCellMar>
          <w:left w:w="70" w:type="dxa"/>
          <w:right w:w="70" w:type="dxa"/>
        </w:tblCellMar>
        <w:tblLook w:val="04A0" w:firstRow="1" w:lastRow="0" w:firstColumn="1" w:lastColumn="0" w:noHBand="0" w:noVBand="1"/>
      </w:tblPr>
      <w:tblGrid>
        <w:gridCol w:w="2295"/>
        <w:gridCol w:w="471"/>
        <w:gridCol w:w="471"/>
        <w:gridCol w:w="471"/>
        <w:gridCol w:w="764"/>
        <w:gridCol w:w="471"/>
        <w:gridCol w:w="550"/>
        <w:gridCol w:w="519"/>
        <w:gridCol w:w="471"/>
        <w:gridCol w:w="1224"/>
        <w:gridCol w:w="882"/>
        <w:gridCol w:w="563"/>
      </w:tblGrid>
      <w:tr w:rsidR="00F83826" w:rsidRPr="00EF2265" w:rsidTr="00B15B10">
        <w:trPr>
          <w:trHeight w:val="465"/>
        </w:trPr>
        <w:tc>
          <w:tcPr>
            <w:tcW w:w="2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 </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UM</w:t>
            </w:r>
          </w:p>
        </w:tc>
        <w:tc>
          <w:tcPr>
            <w:tcW w:w="1060" w:type="dxa"/>
            <w:tcBorders>
              <w:top w:val="single" w:sz="8" w:space="0" w:color="auto"/>
              <w:left w:val="nil"/>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Rektorát, Nanocentrum</w:t>
            </w:r>
          </w:p>
        </w:tc>
        <w:tc>
          <w:tcPr>
            <w:tcW w:w="8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neidentif.</w:t>
            </w:r>
          </w:p>
        </w:tc>
        <w:tc>
          <w:tcPr>
            <w:tcW w:w="6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r>
      <w:tr w:rsidR="00F83826" w:rsidRPr="00EF2265" w:rsidTr="00B15B10">
        <w:trPr>
          <w:trHeight w:val="315"/>
        </w:trPr>
        <w:tc>
          <w:tcPr>
            <w:tcW w:w="2480"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podaných projektov</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27</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12</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61</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37</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39</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11</w:t>
            </w:r>
          </w:p>
        </w:tc>
        <w:tc>
          <w:tcPr>
            <w:tcW w:w="106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8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w:t>
            </w:r>
          </w:p>
        </w:tc>
        <w:tc>
          <w:tcPr>
            <w:tcW w:w="600" w:type="dxa"/>
            <w:tcBorders>
              <w:top w:val="nil"/>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215</w:t>
            </w:r>
          </w:p>
        </w:tc>
      </w:tr>
      <w:tr w:rsidR="00F83826" w:rsidRPr="00EF2265" w:rsidTr="00B15B10">
        <w:trPr>
          <w:trHeight w:val="315"/>
        </w:trPr>
        <w:tc>
          <w:tcPr>
            <w:tcW w:w="2480"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Financované</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14</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106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8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600" w:type="dxa"/>
            <w:tcBorders>
              <w:top w:val="nil"/>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24</w:t>
            </w:r>
          </w:p>
        </w:tc>
      </w:tr>
      <w:tr w:rsidR="00F83826" w:rsidRPr="00EF2265" w:rsidTr="00B15B10">
        <w:trPr>
          <w:trHeight w:val="315"/>
        </w:trPr>
        <w:tc>
          <w:tcPr>
            <w:tcW w:w="2480" w:type="dxa"/>
            <w:tcBorders>
              <w:top w:val="nil"/>
              <w:left w:val="single" w:sz="8" w:space="0" w:color="auto"/>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Nad prahom, ale nefinancované</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22</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13</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13</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106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8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600" w:type="dxa"/>
            <w:tcBorders>
              <w:top w:val="nil"/>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67</w:t>
            </w:r>
          </w:p>
        </w:tc>
      </w:tr>
      <w:tr w:rsidR="00F83826" w:rsidRPr="00EF2265" w:rsidTr="00B15B10">
        <w:trPr>
          <w:trHeight w:val="315"/>
        </w:trPr>
        <w:tc>
          <w:tcPr>
            <w:tcW w:w="2480" w:type="dxa"/>
            <w:tcBorders>
              <w:top w:val="nil"/>
              <w:left w:val="single" w:sz="8" w:space="0" w:color="auto"/>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Neúspešné</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15</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20</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19</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w:t>
            </w:r>
          </w:p>
        </w:tc>
        <w:tc>
          <w:tcPr>
            <w:tcW w:w="106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8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6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93</w:t>
            </w:r>
          </w:p>
        </w:tc>
      </w:tr>
    </w:tbl>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Tab. č. 5.5 b): Projekty H2020 v roku 2018</w:t>
      </w:r>
    </w:p>
    <w:tbl>
      <w:tblPr>
        <w:tblW w:w="9004" w:type="dxa"/>
        <w:tblInd w:w="60" w:type="dxa"/>
        <w:tblCellMar>
          <w:left w:w="70" w:type="dxa"/>
          <w:right w:w="70" w:type="dxa"/>
        </w:tblCellMar>
        <w:tblLook w:val="04A0" w:firstRow="1" w:lastRow="0" w:firstColumn="1" w:lastColumn="0" w:noHBand="0" w:noVBand="1"/>
      </w:tblPr>
      <w:tblGrid>
        <w:gridCol w:w="2295"/>
        <w:gridCol w:w="471"/>
        <w:gridCol w:w="471"/>
        <w:gridCol w:w="471"/>
        <w:gridCol w:w="764"/>
        <w:gridCol w:w="471"/>
        <w:gridCol w:w="550"/>
        <w:gridCol w:w="519"/>
        <w:gridCol w:w="471"/>
        <w:gridCol w:w="1224"/>
        <w:gridCol w:w="882"/>
        <w:gridCol w:w="563"/>
      </w:tblGrid>
      <w:tr w:rsidR="00F83826" w:rsidRPr="00EF2265" w:rsidTr="00B15B10">
        <w:trPr>
          <w:trHeight w:val="465"/>
        </w:trPr>
        <w:tc>
          <w:tcPr>
            <w:tcW w:w="2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 </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SvF</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SjF</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FEI</w:t>
            </w:r>
          </w:p>
        </w:tc>
        <w:tc>
          <w:tcPr>
            <w:tcW w:w="564"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FCHPT</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FA</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MTF</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FIIT</w:t>
            </w:r>
          </w:p>
        </w:tc>
        <w:tc>
          <w:tcPr>
            <w:tcW w:w="5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UM</w:t>
            </w:r>
          </w:p>
        </w:tc>
        <w:tc>
          <w:tcPr>
            <w:tcW w:w="1060" w:type="dxa"/>
            <w:tcBorders>
              <w:top w:val="single" w:sz="8" w:space="0" w:color="auto"/>
              <w:left w:val="nil"/>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Rektorát, Nanocentrum</w:t>
            </w:r>
          </w:p>
        </w:tc>
        <w:tc>
          <w:tcPr>
            <w:tcW w:w="8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neidentif.</w:t>
            </w:r>
          </w:p>
        </w:tc>
        <w:tc>
          <w:tcPr>
            <w:tcW w:w="600" w:type="dxa"/>
            <w:tcBorders>
              <w:top w:val="single" w:sz="8" w:space="0" w:color="auto"/>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spolu</w:t>
            </w:r>
          </w:p>
        </w:tc>
      </w:tr>
      <w:tr w:rsidR="00F83826" w:rsidRPr="00EF2265" w:rsidTr="00B15B10">
        <w:trPr>
          <w:trHeight w:val="315"/>
        </w:trPr>
        <w:tc>
          <w:tcPr>
            <w:tcW w:w="2480"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Počet podaných projektov</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w:t>
            </w:r>
          </w:p>
        </w:tc>
        <w:tc>
          <w:tcPr>
            <w:tcW w:w="564"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106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8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600" w:type="dxa"/>
            <w:tcBorders>
              <w:top w:val="nil"/>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29</w:t>
            </w:r>
          </w:p>
        </w:tc>
      </w:tr>
      <w:tr w:rsidR="00F83826" w:rsidRPr="00EF2265" w:rsidTr="00B15B10">
        <w:trPr>
          <w:trHeight w:val="315"/>
        </w:trPr>
        <w:tc>
          <w:tcPr>
            <w:tcW w:w="2480" w:type="dxa"/>
            <w:tcBorders>
              <w:top w:val="nil"/>
              <w:left w:val="single" w:sz="8" w:space="0" w:color="auto"/>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Financované</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564"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106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8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600" w:type="dxa"/>
            <w:tcBorders>
              <w:top w:val="nil"/>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5</w:t>
            </w:r>
          </w:p>
        </w:tc>
      </w:tr>
      <w:tr w:rsidR="00F83826" w:rsidRPr="00EF2265" w:rsidTr="00B15B10">
        <w:trPr>
          <w:trHeight w:val="465"/>
        </w:trPr>
        <w:tc>
          <w:tcPr>
            <w:tcW w:w="2480" w:type="dxa"/>
            <w:tcBorders>
              <w:top w:val="nil"/>
              <w:left w:val="single" w:sz="8" w:space="0" w:color="auto"/>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Nad prahom, ale nefinancované</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564"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5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106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800" w:type="dxa"/>
            <w:tcBorders>
              <w:top w:val="nil"/>
              <w:left w:val="nil"/>
              <w:bottom w:val="single" w:sz="8" w:space="0" w:color="auto"/>
              <w:right w:val="single" w:sz="8" w:space="0" w:color="auto"/>
            </w:tcBorders>
            <w:shd w:val="clear" w:color="000000" w:fill="DAEEF3"/>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600" w:type="dxa"/>
            <w:tcBorders>
              <w:top w:val="nil"/>
              <w:left w:val="nil"/>
              <w:bottom w:val="single" w:sz="8" w:space="0" w:color="auto"/>
              <w:right w:val="single" w:sz="8" w:space="0" w:color="auto"/>
            </w:tcBorders>
            <w:shd w:val="clear" w:color="000000" w:fill="FDE9D9"/>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13</w:t>
            </w:r>
          </w:p>
        </w:tc>
      </w:tr>
      <w:tr w:rsidR="00F83826" w:rsidRPr="00EF2265" w:rsidTr="00B15B10">
        <w:trPr>
          <w:trHeight w:val="315"/>
        </w:trPr>
        <w:tc>
          <w:tcPr>
            <w:tcW w:w="2480" w:type="dxa"/>
            <w:tcBorders>
              <w:top w:val="nil"/>
              <w:left w:val="single" w:sz="8" w:space="0" w:color="auto"/>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Neúspešné</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w:t>
            </w:r>
          </w:p>
        </w:tc>
        <w:tc>
          <w:tcPr>
            <w:tcW w:w="564"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5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106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8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600" w:type="dxa"/>
            <w:tcBorders>
              <w:top w:val="nil"/>
              <w:left w:val="nil"/>
              <w:bottom w:val="single" w:sz="8" w:space="0" w:color="auto"/>
              <w:right w:val="single" w:sz="8"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13</w:t>
            </w:r>
          </w:p>
        </w:tc>
      </w:tr>
    </w:tbl>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 xml:space="preserve">*FEI – 1 x projekt ešte nevyhodnotený, figuruje len v podaných. </w:t>
      </w:r>
    </w:p>
    <w:p w:rsidR="003713D5"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**FEI – 3 x financované podávané v roku 2017.</w:t>
      </w:r>
    </w:p>
    <w:p w:rsidR="003713D5" w:rsidRPr="00EF2265" w:rsidRDefault="003713D5" w:rsidP="00E86605">
      <w:pPr>
        <w:jc w:val="left"/>
        <w:rPr>
          <w:rFonts w:ascii="Times New Roman" w:eastAsia="Times New Roman" w:hAnsi="Times New Roman"/>
          <w:color w:val="000000"/>
          <w:sz w:val="20"/>
          <w:szCs w:val="20"/>
          <w:lang w:eastAsia="sk-SK"/>
        </w:rPr>
      </w:pPr>
    </w:p>
    <w:p w:rsidR="003713D5" w:rsidRPr="00EF2265" w:rsidRDefault="003713D5" w:rsidP="00E86605">
      <w:pPr>
        <w:jc w:val="left"/>
        <w:rPr>
          <w:rFonts w:ascii="Times New Roman" w:eastAsia="Times New Roman" w:hAnsi="Times New Roman"/>
          <w:color w:val="000000"/>
          <w:sz w:val="20"/>
          <w:szCs w:val="20"/>
          <w:lang w:eastAsia="sk-SK"/>
        </w:rPr>
      </w:pPr>
    </w:p>
    <w:p w:rsidR="003713D5" w:rsidRPr="00EF2265" w:rsidRDefault="003713D5" w:rsidP="00E86605">
      <w:pPr>
        <w:jc w:val="left"/>
        <w:rPr>
          <w:rFonts w:ascii="Times New Roman" w:eastAsia="Times New Roman" w:hAnsi="Times New Roman"/>
          <w:color w:val="000000"/>
          <w:sz w:val="20"/>
          <w:szCs w:val="20"/>
          <w:lang w:eastAsia="sk-SK"/>
        </w:rPr>
      </w:pPr>
    </w:p>
    <w:p w:rsidR="003713D5" w:rsidRPr="00EF2265" w:rsidRDefault="003713D5" w:rsidP="00E86605">
      <w:pPr>
        <w:jc w:val="left"/>
        <w:rPr>
          <w:rFonts w:ascii="Times New Roman" w:eastAsia="Times New Roman" w:hAnsi="Times New Roman"/>
          <w:color w:val="000000"/>
          <w:sz w:val="20"/>
          <w:szCs w:val="20"/>
          <w:lang w:eastAsia="sk-SK"/>
        </w:rPr>
      </w:pPr>
    </w:p>
    <w:p w:rsidR="003713D5" w:rsidRPr="00EF2265" w:rsidRDefault="003713D5" w:rsidP="00E86605">
      <w:pPr>
        <w:jc w:val="left"/>
        <w:rPr>
          <w:rFonts w:ascii="Times New Roman" w:eastAsia="Times New Roman" w:hAnsi="Times New Roman"/>
          <w:color w:val="000000"/>
          <w:sz w:val="20"/>
          <w:szCs w:val="20"/>
          <w:lang w:eastAsia="sk-SK"/>
        </w:rPr>
      </w:pPr>
    </w:p>
    <w:p w:rsidR="003713D5" w:rsidRPr="00EF2265" w:rsidRDefault="003713D5" w:rsidP="00E86605">
      <w:pPr>
        <w:jc w:val="left"/>
        <w:rPr>
          <w:rFonts w:ascii="Times New Roman" w:eastAsia="Times New Roman" w:hAnsi="Times New Roman"/>
          <w:color w:val="000000"/>
          <w:sz w:val="20"/>
          <w:szCs w:val="20"/>
          <w:lang w:eastAsia="sk-SK"/>
        </w:rPr>
      </w:pPr>
    </w:p>
    <w:p w:rsidR="003713D5" w:rsidRPr="00EF2265" w:rsidRDefault="003713D5" w:rsidP="00E86605">
      <w:pPr>
        <w:jc w:val="left"/>
        <w:rPr>
          <w:rFonts w:ascii="Times New Roman" w:eastAsia="Times New Roman" w:hAnsi="Times New Roman"/>
          <w:color w:val="000000"/>
          <w:sz w:val="20"/>
          <w:szCs w:val="20"/>
          <w:lang w:eastAsia="sk-SK"/>
        </w:rPr>
      </w:pPr>
    </w:p>
    <w:p w:rsidR="003713D5" w:rsidRPr="00EF2265" w:rsidRDefault="003713D5" w:rsidP="00E86605">
      <w:pPr>
        <w:jc w:val="left"/>
        <w:rPr>
          <w:rFonts w:ascii="Times New Roman" w:eastAsia="Times New Roman" w:hAnsi="Times New Roman"/>
          <w:color w:val="000000"/>
          <w:sz w:val="20"/>
          <w:szCs w:val="20"/>
          <w:lang w:eastAsia="sk-SK"/>
        </w:rPr>
      </w:pPr>
    </w:p>
    <w:p w:rsidR="003713D5" w:rsidRPr="00EF2265" w:rsidRDefault="003713D5" w:rsidP="00E86605">
      <w:pPr>
        <w:jc w:val="left"/>
        <w:rPr>
          <w:rFonts w:ascii="Times New Roman" w:eastAsia="Times New Roman" w:hAnsi="Times New Roman"/>
          <w:color w:val="000000"/>
          <w:sz w:val="20"/>
          <w:szCs w:val="20"/>
          <w:lang w:eastAsia="sk-SK"/>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br w:type="page"/>
      </w:r>
    </w:p>
    <w:p w:rsidR="003713D5" w:rsidRPr="00EF2265" w:rsidRDefault="003713D5" w:rsidP="00E86605">
      <w:pPr>
        <w:pStyle w:val="Nadpis3"/>
        <w:keepLines w:val="0"/>
        <w:numPr>
          <w:ilvl w:val="2"/>
          <w:numId w:val="34"/>
        </w:numPr>
        <w:spacing w:before="120" w:after="120" w:line="240" w:lineRule="auto"/>
        <w:rPr>
          <w:rFonts w:ascii="Times New Roman" w:hAnsi="Times New Roman" w:cs="Times New Roman"/>
          <w:noProof/>
          <w:color w:val="auto"/>
          <w:sz w:val="20"/>
          <w:szCs w:val="20"/>
        </w:rPr>
      </w:pPr>
      <w:bookmarkStart w:id="182" w:name="_Toc508876749"/>
      <w:bookmarkStart w:id="183" w:name="_Toc477765525"/>
      <w:bookmarkStart w:id="184" w:name="_Toc477769459"/>
      <w:bookmarkStart w:id="185" w:name="_Toc4589990"/>
      <w:r w:rsidRPr="00EF2265">
        <w:rPr>
          <w:rFonts w:ascii="Times New Roman" w:hAnsi="Times New Roman" w:cs="Times New Roman"/>
          <w:noProof/>
          <w:color w:val="auto"/>
          <w:sz w:val="20"/>
          <w:szCs w:val="20"/>
        </w:rPr>
        <w:lastRenderedPageBreak/>
        <w:t>Finančné prostriedky z projektov v rámci podnikateľskej činnosti</w:t>
      </w:r>
      <w:bookmarkEnd w:id="182"/>
    </w:p>
    <w:p w:rsidR="003713D5" w:rsidRPr="00EF2265" w:rsidRDefault="003713D5" w:rsidP="00E86605">
      <w:pPr>
        <w:tabs>
          <w:tab w:val="left" w:pos="7371"/>
        </w:tabs>
        <w:jc w:val="left"/>
        <w:rPr>
          <w:rFonts w:ascii="Times New Roman" w:hAnsi="Times New Roman"/>
          <w:noProof/>
          <w:color w:val="auto"/>
          <w:sz w:val="20"/>
          <w:szCs w:val="20"/>
        </w:rPr>
      </w:pPr>
      <w:r w:rsidRPr="00EF2265">
        <w:rPr>
          <w:rFonts w:ascii="Times New Roman" w:hAnsi="Times New Roman"/>
          <w:noProof/>
          <w:sz w:val="20"/>
          <w:szCs w:val="20"/>
        </w:rPr>
        <w:t>Jedným z finančných zdrojov STU sú zmluvy o dielo. </w:t>
      </w:r>
      <w:r w:rsidRPr="00EF2265">
        <w:rPr>
          <w:rFonts w:ascii="Times New Roman" w:hAnsi="Times New Roman"/>
          <w:b/>
          <w:noProof/>
          <w:sz w:val="20"/>
          <w:szCs w:val="20"/>
        </w:rPr>
        <w:t>Univerzita od roku 2015 zaznamenáva nárast v objeme finančných prostriedkov zo zmlúv o dielo</w:t>
      </w:r>
      <w:r w:rsidRPr="00EF2265">
        <w:rPr>
          <w:rFonts w:ascii="Times New Roman" w:hAnsi="Times New Roman"/>
          <w:noProof/>
          <w:sz w:val="20"/>
          <w:szCs w:val="20"/>
        </w:rPr>
        <w:t xml:space="preserve">. </w:t>
      </w:r>
    </w:p>
    <w:p w:rsidR="003713D5" w:rsidRPr="00EF2265" w:rsidRDefault="003713D5" w:rsidP="00E86605">
      <w:pPr>
        <w:tabs>
          <w:tab w:val="left" w:pos="7371"/>
        </w:tabs>
        <w:jc w:val="left"/>
        <w:rPr>
          <w:rFonts w:ascii="Times New Roman" w:hAnsi="Times New Roman"/>
          <w:noProof/>
          <w:sz w:val="20"/>
          <w:szCs w:val="20"/>
        </w:rPr>
      </w:pPr>
      <w:r w:rsidRPr="00EF2265">
        <w:rPr>
          <w:rFonts w:ascii="Times New Roman" w:hAnsi="Times New Roman"/>
          <w:noProof/>
          <w:sz w:val="20"/>
          <w:szCs w:val="20"/>
        </w:rPr>
        <w:t xml:space="preserve">Graf č. 5.12a znázorňuje vývoj finančných prostriedkov zo zmlúv o dielo celej STU za roky 2011 - 2018. </w:t>
      </w:r>
      <w:r w:rsidR="00570B49">
        <w:rPr>
          <w:rFonts w:ascii="Times New Roman" w:hAnsi="Times New Roman"/>
          <w:noProof/>
          <w:sz w:val="20"/>
          <w:szCs w:val="20"/>
        </w:rPr>
        <w:t>Graf č.</w:t>
      </w:r>
      <w:r w:rsidRPr="00EF2265">
        <w:rPr>
          <w:rFonts w:ascii="Times New Roman" w:hAnsi="Times New Roman"/>
          <w:noProof/>
          <w:sz w:val="20"/>
          <w:szCs w:val="20"/>
        </w:rPr>
        <w:t xml:space="preserve"> 5.12b znázorňuje úspešnosť jednotlivých súčastí STU za rok 2018. Graf č. 5.12c vypovedá o výkonnosti jednotlivých súčastí v zmluvách o dielo za rok 2018 v eurách pripadajúcich na tvorivého pracovníka, pričom priemer STU je 2107,- € na tvorivého pracovníka.</w:t>
      </w:r>
    </w:p>
    <w:p w:rsidR="003713D5" w:rsidRPr="00EF2265" w:rsidRDefault="003713D5" w:rsidP="00E86605">
      <w:pPr>
        <w:jc w:val="left"/>
        <w:rPr>
          <w:rFonts w:ascii="Times New Roman" w:hAnsi="Times New Roman"/>
          <w:b/>
          <w:noProof/>
          <w:sz w:val="20"/>
          <w:szCs w:val="20"/>
        </w:rPr>
      </w:pPr>
    </w:p>
    <w:p w:rsidR="003713D5" w:rsidRPr="00EF2265" w:rsidRDefault="003713D5" w:rsidP="00E86605">
      <w:pPr>
        <w:jc w:val="left"/>
        <w:rPr>
          <w:rFonts w:ascii="Times New Roman" w:hAnsi="Times New Roman"/>
          <w:b/>
          <w:bCs/>
          <w:noProof/>
          <w:sz w:val="20"/>
          <w:szCs w:val="20"/>
        </w:rPr>
      </w:pPr>
      <w:r w:rsidRPr="00EF2265">
        <w:rPr>
          <w:rFonts w:ascii="Times New Roman" w:hAnsi="Times New Roman"/>
          <w:b/>
          <w:noProof/>
          <w:sz w:val="20"/>
          <w:szCs w:val="20"/>
        </w:rPr>
        <w:t>Graf 5.12: Vývoj v získavaní finančných prostriedkov zo zmlúv o dielo (a) za celú univerzitu v rokoch 2011 - 2018, (b) podľa jednotlivých súčastí za rok 2018 a (c) podľa jednotlivých súčastí na jedného tvorivého pracovníka za rok 2018</w:t>
      </w:r>
    </w:p>
    <w:p w:rsidR="003713D5" w:rsidRPr="00EF2265" w:rsidRDefault="003713D5" w:rsidP="00E86605">
      <w:pPr>
        <w:jc w:val="left"/>
        <w:rPr>
          <w:rFonts w:ascii="Times New Roman" w:hAnsi="Times New Roman"/>
          <w:b/>
          <w:bCs/>
          <w:noProof/>
          <w:sz w:val="20"/>
          <w:szCs w:val="20"/>
        </w:rPr>
      </w:pPr>
      <w:r w:rsidRPr="00EF2265">
        <w:rPr>
          <w:rFonts w:ascii="Times New Roman" w:hAnsi="Times New Roman"/>
          <w:b/>
          <w:bCs/>
          <w:noProof/>
          <w:sz w:val="20"/>
          <w:szCs w:val="20"/>
        </w:rPr>
        <w:t>a)</w:t>
      </w:r>
    </w:p>
    <w:p w:rsidR="003713D5" w:rsidRPr="00EF2265" w:rsidRDefault="003713D5" w:rsidP="00E86605">
      <w:pPr>
        <w:jc w:val="left"/>
        <w:rPr>
          <w:rFonts w:ascii="Times New Roman" w:hAnsi="Times New Roman"/>
          <w:noProof/>
          <w:sz w:val="20"/>
          <w:szCs w:val="20"/>
        </w:rPr>
      </w:pPr>
      <w:r w:rsidRPr="00EF2265">
        <w:rPr>
          <w:rFonts w:ascii="Times New Roman" w:hAnsi="Times New Roman"/>
          <w:noProof/>
          <w:sz w:val="20"/>
          <w:szCs w:val="20"/>
          <w:lang w:eastAsia="sk-SK"/>
        </w:rPr>
        <w:drawing>
          <wp:inline distT="0" distB="0" distL="0" distR="0" wp14:anchorId="30E03B4F" wp14:editId="25501174">
            <wp:extent cx="5615940" cy="2717165"/>
            <wp:effectExtent l="0" t="0" r="3810" b="6985"/>
            <wp:docPr id="69" name="Graf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713D5" w:rsidRPr="00EF2265" w:rsidRDefault="003713D5" w:rsidP="00E86605">
      <w:pPr>
        <w:jc w:val="left"/>
        <w:rPr>
          <w:rFonts w:ascii="Times New Roman" w:hAnsi="Times New Roman"/>
          <w:b/>
          <w:bCs/>
          <w:noProof/>
          <w:sz w:val="20"/>
          <w:szCs w:val="20"/>
        </w:rPr>
      </w:pPr>
      <w:r w:rsidRPr="00EF2265">
        <w:rPr>
          <w:rFonts w:ascii="Times New Roman" w:hAnsi="Times New Roman"/>
          <w:b/>
          <w:bCs/>
          <w:noProof/>
          <w:sz w:val="20"/>
          <w:szCs w:val="20"/>
        </w:rPr>
        <w:t xml:space="preserve">b)                                   </w:t>
      </w:r>
    </w:p>
    <w:p w:rsidR="003713D5" w:rsidRPr="00EF2265" w:rsidRDefault="003713D5" w:rsidP="00E86605">
      <w:pPr>
        <w:jc w:val="left"/>
        <w:rPr>
          <w:rFonts w:ascii="Times New Roman" w:hAnsi="Times New Roman"/>
          <w:noProof/>
          <w:sz w:val="20"/>
          <w:szCs w:val="20"/>
          <w:lang w:eastAsia="sk-SK"/>
        </w:rPr>
      </w:pPr>
      <w:r w:rsidRPr="00EF2265">
        <w:rPr>
          <w:rFonts w:ascii="Times New Roman" w:hAnsi="Times New Roman"/>
          <w:noProof/>
          <w:sz w:val="20"/>
          <w:szCs w:val="20"/>
          <w:lang w:eastAsia="sk-SK"/>
        </w:rPr>
        <w:drawing>
          <wp:inline distT="0" distB="0" distL="0" distR="0" wp14:anchorId="0BBA5B1F" wp14:editId="07466EC9">
            <wp:extent cx="5762625" cy="2259965"/>
            <wp:effectExtent l="0" t="0" r="0" b="6985"/>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713D5" w:rsidRPr="00EF2265" w:rsidRDefault="003713D5" w:rsidP="00E86605">
      <w:pPr>
        <w:jc w:val="left"/>
        <w:rPr>
          <w:rFonts w:ascii="Times New Roman" w:hAnsi="Times New Roman"/>
          <w:noProof/>
          <w:sz w:val="20"/>
          <w:szCs w:val="20"/>
          <w:lang w:eastAsia="sk-SK"/>
        </w:rPr>
      </w:pPr>
    </w:p>
    <w:p w:rsidR="003713D5" w:rsidRPr="00EF2265" w:rsidRDefault="003713D5" w:rsidP="00E86605">
      <w:pPr>
        <w:jc w:val="left"/>
        <w:rPr>
          <w:rFonts w:ascii="Times New Roman" w:hAnsi="Times New Roman"/>
          <w:b/>
          <w:bCs/>
          <w:noProof/>
          <w:sz w:val="20"/>
          <w:szCs w:val="20"/>
        </w:rPr>
      </w:pPr>
      <w:r w:rsidRPr="00EF2265">
        <w:rPr>
          <w:rFonts w:ascii="Times New Roman" w:hAnsi="Times New Roman"/>
          <w:b/>
          <w:bCs/>
          <w:noProof/>
          <w:sz w:val="20"/>
          <w:szCs w:val="20"/>
        </w:rPr>
        <w:t>c)</w:t>
      </w:r>
    </w:p>
    <w:p w:rsidR="003713D5" w:rsidRPr="00EF2265" w:rsidRDefault="003713D5" w:rsidP="00E86605">
      <w:pPr>
        <w:jc w:val="left"/>
        <w:rPr>
          <w:rFonts w:ascii="Times New Roman" w:hAnsi="Times New Roman"/>
          <w:sz w:val="20"/>
          <w:szCs w:val="20"/>
        </w:rPr>
      </w:pPr>
      <w:r w:rsidRPr="00EF2265">
        <w:rPr>
          <w:rFonts w:ascii="Times New Roman" w:hAnsi="Times New Roman"/>
          <w:noProof/>
          <w:sz w:val="20"/>
          <w:szCs w:val="20"/>
          <w:lang w:eastAsia="sk-SK"/>
        </w:rPr>
        <w:lastRenderedPageBreak/>
        <w:drawing>
          <wp:inline distT="0" distB="0" distL="0" distR="0" wp14:anchorId="3414C32D" wp14:editId="1B906AFE">
            <wp:extent cx="5874385" cy="2587625"/>
            <wp:effectExtent l="0" t="0" r="0" b="3175"/>
            <wp:docPr id="67" name="Graf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83826" w:rsidRPr="000F29D6" w:rsidRDefault="00F83826" w:rsidP="00E86605">
      <w:pPr>
        <w:pStyle w:val="Nadpis3"/>
        <w:keepLines w:val="0"/>
        <w:numPr>
          <w:ilvl w:val="2"/>
          <w:numId w:val="32"/>
        </w:numPr>
        <w:spacing w:before="120" w:after="120" w:line="240" w:lineRule="auto"/>
        <w:rPr>
          <w:rFonts w:ascii="Times New Roman" w:hAnsi="Times New Roman" w:cs="Times New Roman"/>
          <w:color w:val="auto"/>
          <w:sz w:val="20"/>
          <w:szCs w:val="20"/>
        </w:rPr>
      </w:pPr>
      <w:r w:rsidRPr="000F29D6">
        <w:rPr>
          <w:rFonts w:ascii="Times New Roman" w:hAnsi="Times New Roman" w:cs="Times New Roman"/>
          <w:color w:val="auto"/>
          <w:sz w:val="20"/>
          <w:szCs w:val="20"/>
        </w:rPr>
        <w:t>Publikačná aktivita</w:t>
      </w:r>
      <w:bookmarkEnd w:id="183"/>
      <w:bookmarkEnd w:id="184"/>
      <w:bookmarkEnd w:id="185"/>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Tab. č. 5.6 dokumentuje počty publikačných výstupov (klasifikované podľa zaužívanej nomenklatúry A1, A2, B a C, D) v rokoch 2017 a 2018 podľa súčastí univerzity. Uvedené počty jednotlivých výstupov sa môžu ešte zmeniť po ich definitívnej verifikácii.</w:t>
      </w:r>
    </w:p>
    <w:tbl>
      <w:tblPr>
        <w:tblW w:w="19968" w:type="dxa"/>
        <w:tblCellMar>
          <w:left w:w="70" w:type="dxa"/>
          <w:right w:w="70" w:type="dxa"/>
        </w:tblCellMar>
        <w:tblLook w:val="04A0" w:firstRow="1" w:lastRow="0" w:firstColumn="1" w:lastColumn="0" w:noHBand="0" w:noVBand="1"/>
      </w:tblPr>
      <w:tblGrid>
        <w:gridCol w:w="9984"/>
        <w:gridCol w:w="9984"/>
      </w:tblGrid>
      <w:tr w:rsidR="00F83826" w:rsidRPr="00EF2265" w:rsidTr="00B15B10">
        <w:trPr>
          <w:trHeight w:val="269"/>
        </w:trPr>
        <w:tc>
          <w:tcPr>
            <w:tcW w:w="9984" w:type="dxa"/>
            <w:tcBorders>
              <w:top w:val="nil"/>
              <w:left w:val="nil"/>
              <w:bottom w:val="nil"/>
              <w:right w:val="nil"/>
            </w:tcBorders>
            <w:vAlign w:val="center"/>
          </w:tcPr>
          <w:p w:rsidR="00F83826" w:rsidRPr="00EF2265" w:rsidRDefault="00F83826" w:rsidP="00E86605">
            <w:pPr>
              <w:jc w:val="left"/>
              <w:rPr>
                <w:rFonts w:ascii="Times New Roman" w:hAnsi="Times New Roman"/>
                <w:b/>
                <w:sz w:val="20"/>
                <w:szCs w:val="20"/>
              </w:rPr>
            </w:pPr>
          </w:p>
        </w:tc>
        <w:tc>
          <w:tcPr>
            <w:tcW w:w="9984" w:type="dxa"/>
            <w:tcBorders>
              <w:top w:val="nil"/>
              <w:left w:val="nil"/>
              <w:bottom w:val="nil"/>
              <w:right w:val="nil"/>
            </w:tcBorders>
            <w:shd w:val="clear" w:color="auto" w:fill="auto"/>
            <w:noWrap/>
            <w:vAlign w:val="center"/>
          </w:tcPr>
          <w:p w:rsidR="00F83826" w:rsidRPr="00EF2265" w:rsidRDefault="00F83826" w:rsidP="00E86605">
            <w:pPr>
              <w:jc w:val="left"/>
              <w:rPr>
                <w:rFonts w:ascii="Times New Roman" w:eastAsia="Times New Roman" w:hAnsi="Times New Roman"/>
                <w:b/>
                <w:bCs/>
                <w:sz w:val="20"/>
                <w:szCs w:val="20"/>
                <w:lang w:eastAsia="sk-SK"/>
              </w:rPr>
            </w:pPr>
          </w:p>
        </w:tc>
      </w:tr>
    </w:tbl>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Tab. č. 5.6: Počty publikačných výstupov súčastí STU v roku 2018</w:t>
      </w:r>
    </w:p>
    <w:tbl>
      <w:tblPr>
        <w:tblW w:w="9160" w:type="dxa"/>
        <w:tblInd w:w="65" w:type="dxa"/>
        <w:tblCellMar>
          <w:left w:w="70" w:type="dxa"/>
          <w:right w:w="70" w:type="dxa"/>
        </w:tblCellMar>
        <w:tblLook w:val="04A0" w:firstRow="1" w:lastRow="0" w:firstColumn="1" w:lastColumn="0" w:noHBand="0" w:noVBand="1"/>
      </w:tblPr>
      <w:tblGrid>
        <w:gridCol w:w="1318"/>
        <w:gridCol w:w="820"/>
        <w:gridCol w:w="820"/>
        <w:gridCol w:w="820"/>
        <w:gridCol w:w="820"/>
        <w:gridCol w:w="820"/>
        <w:gridCol w:w="820"/>
        <w:gridCol w:w="820"/>
        <w:gridCol w:w="820"/>
        <w:gridCol w:w="820"/>
        <w:gridCol w:w="820"/>
      </w:tblGrid>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 </w:t>
            </w:r>
          </w:p>
        </w:tc>
        <w:tc>
          <w:tcPr>
            <w:tcW w:w="1640" w:type="dxa"/>
            <w:gridSpan w:val="2"/>
            <w:tcBorders>
              <w:top w:val="single" w:sz="4" w:space="0" w:color="auto"/>
              <w:left w:val="single" w:sz="4" w:space="0" w:color="auto"/>
              <w:bottom w:val="single" w:sz="4" w:space="0" w:color="auto"/>
              <w:right w:val="nil"/>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A1</w:t>
            </w:r>
          </w:p>
        </w:tc>
        <w:tc>
          <w:tcPr>
            <w:tcW w:w="1640" w:type="dxa"/>
            <w:gridSpan w:val="2"/>
            <w:tcBorders>
              <w:top w:val="single" w:sz="4" w:space="0" w:color="auto"/>
              <w:left w:val="single" w:sz="4" w:space="0" w:color="auto"/>
              <w:bottom w:val="single" w:sz="4" w:space="0" w:color="auto"/>
              <w:right w:val="nil"/>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A2</w:t>
            </w:r>
          </w:p>
        </w:tc>
        <w:tc>
          <w:tcPr>
            <w:tcW w:w="1640" w:type="dxa"/>
            <w:gridSpan w:val="2"/>
            <w:tcBorders>
              <w:top w:val="single" w:sz="4" w:space="0" w:color="auto"/>
              <w:left w:val="single" w:sz="4" w:space="0" w:color="auto"/>
              <w:bottom w:val="single" w:sz="4" w:space="0" w:color="auto"/>
              <w:right w:val="nil"/>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B</w:t>
            </w:r>
          </w:p>
        </w:tc>
        <w:tc>
          <w:tcPr>
            <w:tcW w:w="1640" w:type="dxa"/>
            <w:gridSpan w:val="2"/>
            <w:tcBorders>
              <w:top w:val="single" w:sz="4" w:space="0" w:color="auto"/>
              <w:left w:val="single" w:sz="4" w:space="0" w:color="auto"/>
              <w:bottom w:val="single" w:sz="4" w:space="0" w:color="auto"/>
              <w:right w:val="nil"/>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C</w:t>
            </w:r>
          </w:p>
        </w:tc>
        <w:tc>
          <w:tcPr>
            <w:tcW w:w="1640" w:type="dxa"/>
            <w:gridSpan w:val="2"/>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D</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 </w:t>
            </w:r>
          </w:p>
        </w:tc>
        <w:tc>
          <w:tcPr>
            <w:tcW w:w="82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2018</w:t>
            </w:r>
          </w:p>
        </w:tc>
        <w:tc>
          <w:tcPr>
            <w:tcW w:w="82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2017</w:t>
            </w:r>
          </w:p>
        </w:tc>
        <w:tc>
          <w:tcPr>
            <w:tcW w:w="82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2018</w:t>
            </w:r>
          </w:p>
        </w:tc>
        <w:tc>
          <w:tcPr>
            <w:tcW w:w="82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2017</w:t>
            </w:r>
          </w:p>
        </w:tc>
        <w:tc>
          <w:tcPr>
            <w:tcW w:w="82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2018</w:t>
            </w:r>
          </w:p>
        </w:tc>
        <w:tc>
          <w:tcPr>
            <w:tcW w:w="82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2017</w:t>
            </w:r>
          </w:p>
        </w:tc>
        <w:tc>
          <w:tcPr>
            <w:tcW w:w="82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2018</w:t>
            </w:r>
          </w:p>
        </w:tc>
        <w:tc>
          <w:tcPr>
            <w:tcW w:w="82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2017</w:t>
            </w:r>
          </w:p>
        </w:tc>
        <w:tc>
          <w:tcPr>
            <w:tcW w:w="820" w:type="dxa"/>
            <w:tcBorders>
              <w:top w:val="nil"/>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2018</w:t>
            </w:r>
          </w:p>
        </w:tc>
        <w:tc>
          <w:tcPr>
            <w:tcW w:w="820" w:type="dxa"/>
            <w:tcBorders>
              <w:top w:val="nil"/>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2017</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SvF</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7</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28</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47</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54</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36</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37</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484</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953</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SjF</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11</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21</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11</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25</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178</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283</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FEI</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11</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15</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89</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39</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383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477</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FCHPT</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17</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165</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216</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35</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566</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767</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11</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7</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187</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279</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MTF</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11</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38</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24</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215</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394</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FIIT</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27</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70</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ÚM</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4</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19</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115</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center"/>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UVP Nanocentrum</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8</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18</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9</w:t>
            </w:r>
          </w:p>
        </w:tc>
      </w:tr>
      <w:tr w:rsidR="00F83826" w:rsidRPr="00EF2265" w:rsidTr="00B15B1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STU</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49</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103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126</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413</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432</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166</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174</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2 061</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3826" w:rsidRPr="00EF2265" w:rsidRDefault="00F83826" w:rsidP="00E86605">
            <w:pPr>
              <w:jc w:val="left"/>
              <w:rPr>
                <w:rFonts w:ascii="Times New Roman" w:hAnsi="Times New Roman"/>
                <w:b/>
                <w:bCs/>
                <w:color w:val="000000"/>
                <w:sz w:val="20"/>
                <w:szCs w:val="20"/>
              </w:rPr>
            </w:pPr>
            <w:r w:rsidRPr="00EF2265">
              <w:rPr>
                <w:rFonts w:ascii="Times New Roman" w:hAnsi="Times New Roman"/>
                <w:b/>
                <w:bCs/>
                <w:color w:val="000000"/>
                <w:sz w:val="20"/>
                <w:szCs w:val="20"/>
              </w:rPr>
              <w:t>3 347</w:t>
            </w:r>
          </w:p>
        </w:tc>
      </w:tr>
    </w:tbl>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Vysvetlivky: Údaje o publikačných výstupoch za rok 2018 sú z databázy CREPČ k 14.12.2018, A1 – Knižné publikácie charakteru vedeckej monografie, A2 – Ostatné knižné publikácie, B – Publikácie v karentovaných vedeckých časopisoch a autorské osvedčenia, patenty a objavy, C – Ostatné recenzované publikácie, D – Ostatné nerecenzované publikácie.</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Od roku 2017 hodnotenie publikačnej činnosti podlieha novým pravidlám. Všetky publikačné výstupy sú rozdelené do šiestich oblastí výskumu M1 - M6. Vzhľadom na zameranie výskumnej a vedeckej činnosti Slovenskej technickej univerzity patrí viac ako 96 % výstupov do skupiny M1 (prírodné vedy, chémia, chemická technológia, fyzika) resp. M2 (inžinierstvo, elektrotechnika, informatika, strojárstvo, informatické vedy, automatizácia). Rozdelenie publikačných výstupov STU medzi jednotlivé skupiny je v tab. č. 5.7. </w:t>
      </w:r>
    </w:p>
    <w:p w:rsidR="000A3079" w:rsidRPr="00EF2265" w:rsidRDefault="000A3079" w:rsidP="00E86605">
      <w:pPr>
        <w:jc w:val="left"/>
        <w:rPr>
          <w:rFonts w:ascii="Times New Roman" w:hAnsi="Times New Roman"/>
          <w:sz w:val="20"/>
          <w:szCs w:val="20"/>
        </w:rPr>
      </w:pPr>
    </w:p>
    <w:p w:rsidR="000A3079" w:rsidRPr="00EF2265" w:rsidRDefault="000A3079"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Tab. č. 5.7: Rozdelenie publikácií STU k 14.12.2018 podľa oblastí výskumu</w:t>
      </w:r>
    </w:p>
    <w:tbl>
      <w:tblPr>
        <w:tblW w:w="7960" w:type="dxa"/>
        <w:tblInd w:w="55" w:type="dxa"/>
        <w:tblCellMar>
          <w:left w:w="70" w:type="dxa"/>
          <w:right w:w="70" w:type="dxa"/>
        </w:tblCellMar>
        <w:tblLook w:val="04A0" w:firstRow="1" w:lastRow="0" w:firstColumn="1" w:lastColumn="0" w:noHBand="0" w:noVBand="1"/>
      </w:tblPr>
      <w:tblGrid>
        <w:gridCol w:w="3160"/>
        <w:gridCol w:w="960"/>
        <w:gridCol w:w="960"/>
        <w:gridCol w:w="960"/>
        <w:gridCol w:w="960"/>
        <w:gridCol w:w="960"/>
      </w:tblGrid>
      <w:tr w:rsidR="00F83826" w:rsidRPr="00EF2265" w:rsidTr="00B15B10">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 </w:t>
            </w:r>
          </w:p>
        </w:tc>
        <w:tc>
          <w:tcPr>
            <w:tcW w:w="960" w:type="dxa"/>
            <w:tcBorders>
              <w:top w:val="single" w:sz="4" w:space="0" w:color="auto"/>
              <w:left w:val="nil"/>
              <w:bottom w:val="single" w:sz="4" w:space="0" w:color="auto"/>
              <w:right w:val="single" w:sz="4" w:space="0" w:color="auto"/>
            </w:tcBorders>
            <w:shd w:val="clear" w:color="000000" w:fill="99CC00"/>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A</w:t>
            </w:r>
          </w:p>
        </w:tc>
        <w:tc>
          <w:tcPr>
            <w:tcW w:w="960" w:type="dxa"/>
            <w:tcBorders>
              <w:top w:val="single" w:sz="4" w:space="0" w:color="auto"/>
              <w:left w:val="nil"/>
              <w:bottom w:val="single" w:sz="4" w:space="0" w:color="auto"/>
              <w:right w:val="single" w:sz="4" w:space="0" w:color="auto"/>
            </w:tcBorders>
            <w:shd w:val="clear" w:color="000000" w:fill="99CC00"/>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B</w:t>
            </w:r>
          </w:p>
        </w:tc>
        <w:tc>
          <w:tcPr>
            <w:tcW w:w="960" w:type="dxa"/>
            <w:tcBorders>
              <w:top w:val="single" w:sz="4" w:space="0" w:color="auto"/>
              <w:left w:val="nil"/>
              <w:bottom w:val="single" w:sz="4" w:space="0" w:color="auto"/>
              <w:right w:val="single" w:sz="4" w:space="0" w:color="auto"/>
            </w:tcBorders>
            <w:shd w:val="clear" w:color="000000" w:fill="99CC00"/>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C</w:t>
            </w:r>
          </w:p>
        </w:tc>
        <w:tc>
          <w:tcPr>
            <w:tcW w:w="960" w:type="dxa"/>
            <w:tcBorders>
              <w:top w:val="single" w:sz="4" w:space="0" w:color="auto"/>
              <w:left w:val="nil"/>
              <w:bottom w:val="single" w:sz="4" w:space="0" w:color="auto"/>
              <w:right w:val="single" w:sz="4" w:space="0" w:color="auto"/>
            </w:tcBorders>
            <w:shd w:val="clear" w:color="000000" w:fill="99CC00"/>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D</w:t>
            </w:r>
          </w:p>
        </w:tc>
        <w:tc>
          <w:tcPr>
            <w:tcW w:w="960" w:type="dxa"/>
            <w:tcBorders>
              <w:top w:val="single" w:sz="4" w:space="0" w:color="auto"/>
              <w:left w:val="nil"/>
              <w:bottom w:val="single" w:sz="4" w:space="0" w:color="auto"/>
              <w:right w:val="single" w:sz="4" w:space="0" w:color="auto"/>
            </w:tcBorders>
            <w:shd w:val="clear" w:color="000000" w:fill="99CC00"/>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Spolu</w:t>
            </w:r>
          </w:p>
        </w:tc>
      </w:tr>
      <w:tr w:rsidR="00F83826" w:rsidRPr="00EF2265" w:rsidTr="00B15B10">
        <w:trPr>
          <w:trHeight w:val="300"/>
        </w:trPr>
        <w:tc>
          <w:tcPr>
            <w:tcW w:w="3160" w:type="dxa"/>
            <w:tcBorders>
              <w:top w:val="nil"/>
              <w:left w:val="single" w:sz="4" w:space="0" w:color="auto"/>
              <w:bottom w:val="single" w:sz="4" w:space="0" w:color="auto"/>
              <w:right w:val="single" w:sz="4" w:space="0" w:color="auto"/>
            </w:tcBorders>
            <w:shd w:val="clear" w:color="000000" w:fill="99CC00"/>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M1 - prírodné vedy, biotech.</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24</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288</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657</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978</w:t>
            </w:r>
          </w:p>
        </w:tc>
      </w:tr>
      <w:tr w:rsidR="00F83826" w:rsidRPr="00EF2265" w:rsidTr="00B15B10">
        <w:trPr>
          <w:trHeight w:val="300"/>
        </w:trPr>
        <w:tc>
          <w:tcPr>
            <w:tcW w:w="3160" w:type="dxa"/>
            <w:tcBorders>
              <w:top w:val="nil"/>
              <w:left w:val="single" w:sz="4" w:space="0" w:color="auto"/>
              <w:bottom w:val="single" w:sz="4" w:space="0" w:color="auto"/>
              <w:right w:val="single" w:sz="4" w:space="0" w:color="auto"/>
            </w:tcBorders>
            <w:shd w:val="clear" w:color="000000" w:fill="99CC00"/>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lastRenderedPageBreak/>
              <w:t>M2 - inžinierstvo, informatika</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38</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65</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273</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1316</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1692</w:t>
            </w:r>
          </w:p>
        </w:tc>
      </w:tr>
      <w:tr w:rsidR="00F83826" w:rsidRPr="00EF2265" w:rsidTr="00B15B10">
        <w:trPr>
          <w:trHeight w:val="300"/>
        </w:trPr>
        <w:tc>
          <w:tcPr>
            <w:tcW w:w="3160" w:type="dxa"/>
            <w:tcBorders>
              <w:top w:val="nil"/>
              <w:left w:val="single" w:sz="4" w:space="0" w:color="auto"/>
              <w:bottom w:val="single" w:sz="4" w:space="0" w:color="auto"/>
              <w:right w:val="single" w:sz="4" w:space="0" w:color="auto"/>
            </w:tcBorders>
            <w:shd w:val="clear" w:color="000000" w:fill="99CC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M3 - lekárske a farm. vedy</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w:t>
            </w:r>
          </w:p>
        </w:tc>
      </w:tr>
      <w:tr w:rsidR="00F83826" w:rsidRPr="00EF2265" w:rsidTr="00B15B10">
        <w:trPr>
          <w:trHeight w:val="300"/>
        </w:trPr>
        <w:tc>
          <w:tcPr>
            <w:tcW w:w="3160" w:type="dxa"/>
            <w:tcBorders>
              <w:top w:val="nil"/>
              <w:left w:val="single" w:sz="4" w:space="0" w:color="auto"/>
              <w:bottom w:val="single" w:sz="4" w:space="0" w:color="auto"/>
              <w:right w:val="single" w:sz="4" w:space="0" w:color="auto"/>
            </w:tcBorders>
            <w:shd w:val="clear" w:color="000000" w:fill="99CC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M4 - poľnohosp. a veterin. vedy</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r>
      <w:tr w:rsidR="00F83826" w:rsidRPr="00EF2265" w:rsidTr="00B15B10">
        <w:trPr>
          <w:trHeight w:val="300"/>
        </w:trPr>
        <w:tc>
          <w:tcPr>
            <w:tcW w:w="3160" w:type="dxa"/>
            <w:tcBorders>
              <w:top w:val="nil"/>
              <w:left w:val="single" w:sz="4" w:space="0" w:color="auto"/>
              <w:bottom w:val="single" w:sz="4" w:space="0" w:color="auto"/>
              <w:right w:val="single" w:sz="4" w:space="0" w:color="auto"/>
            </w:tcBorders>
            <w:shd w:val="clear" w:color="000000" w:fill="99CC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M5 - spoločenské vedy, právo</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23</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33</w:t>
            </w:r>
          </w:p>
        </w:tc>
      </w:tr>
      <w:tr w:rsidR="00F83826" w:rsidRPr="00EF2265" w:rsidTr="00B15B10">
        <w:trPr>
          <w:trHeight w:val="300"/>
        </w:trPr>
        <w:tc>
          <w:tcPr>
            <w:tcW w:w="3160" w:type="dxa"/>
            <w:tcBorders>
              <w:top w:val="nil"/>
              <w:left w:val="single" w:sz="4" w:space="0" w:color="auto"/>
              <w:bottom w:val="single" w:sz="4" w:space="0" w:color="auto"/>
              <w:right w:val="single" w:sz="4" w:space="0" w:color="auto"/>
            </w:tcBorders>
            <w:shd w:val="clear" w:color="000000" w:fill="99CC00"/>
            <w:noWrap/>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M6 - humanitné vedy, umenie</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37</w:t>
            </w:r>
          </w:p>
        </w:tc>
        <w:tc>
          <w:tcPr>
            <w:tcW w:w="960" w:type="dxa"/>
            <w:tcBorders>
              <w:top w:val="nil"/>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52</w:t>
            </w:r>
          </w:p>
        </w:tc>
      </w:tr>
    </w:tbl>
    <w:p w:rsidR="00F83826" w:rsidRPr="00EF2265" w:rsidRDefault="00F83826" w:rsidP="00E86605">
      <w:pPr>
        <w:jc w:val="left"/>
        <w:rPr>
          <w:rFonts w:ascii="Times New Roman" w:hAnsi="Times New Roman"/>
          <w:sz w:val="20"/>
          <w:szCs w:val="20"/>
        </w:rPr>
      </w:pPr>
    </w:p>
    <w:p w:rsidR="003713D5" w:rsidRPr="00EF2265" w:rsidRDefault="003713D5" w:rsidP="00E86605">
      <w:pPr>
        <w:jc w:val="left"/>
        <w:rPr>
          <w:rFonts w:ascii="Times New Roman" w:hAnsi="Times New Roman"/>
          <w:sz w:val="20"/>
          <w:szCs w:val="20"/>
        </w:rPr>
      </w:pPr>
      <w:bookmarkStart w:id="186" w:name="_Toc477769460"/>
      <w:bookmarkStart w:id="187" w:name="_Toc4589991"/>
    </w:p>
    <w:p w:rsidR="00F83826" w:rsidRPr="00EF2265" w:rsidRDefault="00F83826" w:rsidP="00E86605">
      <w:pPr>
        <w:pStyle w:val="Nadpis2"/>
        <w:keepLines w:val="0"/>
        <w:numPr>
          <w:ilvl w:val="1"/>
          <w:numId w:val="12"/>
        </w:numPr>
        <w:tabs>
          <w:tab w:val="clear" w:pos="567"/>
        </w:tabs>
        <w:spacing w:after="0"/>
        <w:ind w:left="0" w:firstLine="0"/>
        <w:rPr>
          <w:rFonts w:ascii="Times New Roman" w:hAnsi="Times New Roman" w:cs="Times New Roman"/>
          <w:i/>
          <w:sz w:val="20"/>
          <w:szCs w:val="20"/>
        </w:rPr>
      </w:pPr>
      <w:r w:rsidRPr="00EF2265">
        <w:rPr>
          <w:rFonts w:ascii="Times New Roman" w:hAnsi="Times New Roman" w:cs="Times New Roman"/>
          <w:sz w:val="20"/>
          <w:szCs w:val="20"/>
        </w:rPr>
        <w:t>Motivačné aktivity STU na podporu vedy a výskumu</w:t>
      </w:r>
      <w:bookmarkEnd w:id="186"/>
      <w:bookmarkEnd w:id="187"/>
    </w:p>
    <w:p w:rsidR="00F83826" w:rsidRPr="00EF2265" w:rsidRDefault="00F83826" w:rsidP="00E86605">
      <w:pPr>
        <w:jc w:val="left"/>
        <w:rPr>
          <w:rFonts w:ascii="Times New Roman" w:hAnsi="Times New Roman"/>
          <w:sz w:val="20"/>
          <w:szCs w:val="20"/>
        </w:rPr>
      </w:pPr>
    </w:p>
    <w:p w:rsidR="00F83826" w:rsidRPr="000F29D6" w:rsidRDefault="00F83826" w:rsidP="00E86605">
      <w:pPr>
        <w:pStyle w:val="Nadpis3"/>
        <w:keepLines w:val="0"/>
        <w:numPr>
          <w:ilvl w:val="2"/>
          <w:numId w:val="12"/>
        </w:numPr>
        <w:spacing w:before="0" w:line="240" w:lineRule="auto"/>
        <w:ind w:left="0" w:firstLine="0"/>
        <w:rPr>
          <w:rFonts w:ascii="Times New Roman" w:hAnsi="Times New Roman" w:cs="Times New Roman"/>
          <w:color w:val="auto"/>
          <w:sz w:val="20"/>
          <w:szCs w:val="20"/>
        </w:rPr>
      </w:pPr>
      <w:bookmarkStart w:id="188" w:name="_Toc477769461"/>
      <w:bookmarkStart w:id="189" w:name="_Toc4589992"/>
      <w:r w:rsidRPr="000F29D6">
        <w:rPr>
          <w:rFonts w:ascii="Times New Roman" w:hAnsi="Times New Roman" w:cs="Times New Roman"/>
          <w:color w:val="auto"/>
          <w:sz w:val="20"/>
          <w:szCs w:val="20"/>
        </w:rPr>
        <w:t>Projekty na podporu mladých výskumných pracovníkov</w:t>
      </w:r>
      <w:bookmarkEnd w:id="188"/>
      <w:bookmarkEnd w:id="189"/>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Program na podporu mladých výskumníkov je jedným z viacerých motivačných nástrojov STU. V roku 2018 už deviaty rok mladí vedci so svojimi projektmi uspeli v súťaži v rámci schémy Programu na podporu mladých výskumníkov a dostali od STU granty na riešenie vedecko-výskumných projektov. V súlade s platnou smernicou mladí zamestnanci (PhD. študenti a zamestnanci do 30 rokov) podali spolu 141 projektov, z čoho 113 projektov bolo financovaných. STU na tento účel vyčlenila 112 190,- eur. </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Úspešnosť fakúlt a ÚM v uvedenom programe je nasledovná: SvF 32 projektov, SjF 6 projektov, FEI 9, FCHPT 31 projektov, FA 5, MTF 15, FIIT 14 a ÚM 1 projekt.</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Tabuľka 5.8 ukazuje finančné prostriedky pridelené mladým výskumníkom na jednotlivých súčastiach STU v rokoch 2011-2018. </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 hľadiska personálneho budovania pracovísk univerzity je program veľmi prínosný, preto STU od roku 2011 postupne takmer zdvojnásobila objem finančných prostriedkov na podporu mladých výskumníkov.</w:t>
      </w:r>
    </w:p>
    <w:p w:rsidR="00F83826" w:rsidRPr="00EF2265" w:rsidRDefault="00F83826" w:rsidP="00E86605">
      <w:pPr>
        <w:autoSpaceDE w:val="0"/>
        <w:autoSpaceDN w:val="0"/>
        <w:adjustRightInd w:val="0"/>
        <w:jc w:val="left"/>
        <w:rPr>
          <w:rFonts w:ascii="Times New Roman" w:hAnsi="Times New Roman"/>
          <w:b/>
          <w:sz w:val="20"/>
          <w:szCs w:val="20"/>
        </w:rPr>
      </w:pPr>
    </w:p>
    <w:p w:rsidR="00F83826" w:rsidRPr="00EF2265" w:rsidRDefault="00F83826" w:rsidP="00E86605">
      <w:pPr>
        <w:autoSpaceDE w:val="0"/>
        <w:autoSpaceDN w:val="0"/>
        <w:adjustRightInd w:val="0"/>
        <w:jc w:val="left"/>
        <w:rPr>
          <w:rFonts w:ascii="Times New Roman" w:hAnsi="Times New Roman"/>
          <w:b/>
          <w:sz w:val="20"/>
          <w:szCs w:val="20"/>
        </w:rPr>
      </w:pPr>
      <w:r w:rsidRPr="00EF2265">
        <w:rPr>
          <w:rFonts w:ascii="Times New Roman" w:hAnsi="Times New Roman"/>
          <w:b/>
          <w:sz w:val="20"/>
          <w:szCs w:val="20"/>
        </w:rPr>
        <w:t>Tab. č. 5.8: Finančné prostriedky pridelené v rámci výzvy Projekty mladých výskumníkov (v eurách)</w:t>
      </w:r>
    </w:p>
    <w:tbl>
      <w:tblPr>
        <w:tblW w:w="9520" w:type="dxa"/>
        <w:tblInd w:w="70" w:type="dxa"/>
        <w:tblCellMar>
          <w:left w:w="70" w:type="dxa"/>
          <w:right w:w="70" w:type="dxa"/>
        </w:tblCellMar>
        <w:tblLook w:val="04A0" w:firstRow="1" w:lastRow="0" w:firstColumn="1" w:lastColumn="0" w:noHBand="0" w:noVBand="1"/>
      </w:tblPr>
      <w:tblGrid>
        <w:gridCol w:w="1360"/>
        <w:gridCol w:w="1020"/>
        <w:gridCol w:w="1020"/>
        <w:gridCol w:w="1020"/>
        <w:gridCol w:w="1020"/>
        <w:gridCol w:w="1020"/>
        <w:gridCol w:w="1020"/>
        <w:gridCol w:w="1020"/>
        <w:gridCol w:w="1020"/>
      </w:tblGrid>
      <w:tr w:rsidR="00F83826" w:rsidRPr="00EF2265" w:rsidTr="00B15B10">
        <w:trPr>
          <w:trHeight w:val="315"/>
        </w:trPr>
        <w:tc>
          <w:tcPr>
            <w:tcW w:w="1360" w:type="dxa"/>
            <w:tcBorders>
              <w:top w:val="nil"/>
              <w:left w:val="nil"/>
              <w:bottom w:val="nil"/>
              <w:right w:val="nil"/>
            </w:tcBorders>
            <w:shd w:val="clear" w:color="auto" w:fill="auto"/>
            <w:vAlign w:val="center"/>
            <w:hideMark/>
          </w:tcPr>
          <w:p w:rsidR="00F83826" w:rsidRPr="00EF2265" w:rsidRDefault="00F83826" w:rsidP="00E86605">
            <w:pPr>
              <w:jc w:val="left"/>
              <w:rPr>
                <w:rFonts w:ascii="Times New Roman" w:eastAsia="Times New Roman" w:hAnsi="Times New Roman"/>
                <w:b/>
                <w:bCs/>
                <w:sz w:val="20"/>
                <w:szCs w:val="20"/>
                <w:highlight w:val="yellow"/>
                <w:lang w:eastAsia="sk-SK"/>
              </w:rPr>
            </w:pPr>
          </w:p>
        </w:tc>
        <w:tc>
          <w:tcPr>
            <w:tcW w:w="1020" w:type="dxa"/>
            <w:tcBorders>
              <w:top w:val="single" w:sz="8" w:space="0" w:color="auto"/>
              <w:left w:val="single" w:sz="8" w:space="0" w:color="auto"/>
              <w:bottom w:val="single" w:sz="8" w:space="0" w:color="auto"/>
              <w:right w:val="single" w:sz="8" w:space="0" w:color="auto"/>
            </w:tcBorders>
            <w:shd w:val="clear" w:color="000000" w:fill="FDE9D9"/>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2011</w:t>
            </w:r>
          </w:p>
        </w:tc>
        <w:tc>
          <w:tcPr>
            <w:tcW w:w="1020" w:type="dxa"/>
            <w:tcBorders>
              <w:top w:val="single" w:sz="8" w:space="0" w:color="auto"/>
              <w:left w:val="nil"/>
              <w:bottom w:val="single" w:sz="8" w:space="0" w:color="auto"/>
              <w:right w:val="single" w:sz="8" w:space="0" w:color="auto"/>
            </w:tcBorders>
            <w:shd w:val="clear" w:color="000000" w:fill="FDE9D9"/>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2012</w:t>
            </w:r>
          </w:p>
        </w:tc>
        <w:tc>
          <w:tcPr>
            <w:tcW w:w="1020" w:type="dxa"/>
            <w:tcBorders>
              <w:top w:val="single" w:sz="8" w:space="0" w:color="auto"/>
              <w:left w:val="nil"/>
              <w:bottom w:val="single" w:sz="8" w:space="0" w:color="auto"/>
              <w:right w:val="single" w:sz="8" w:space="0" w:color="auto"/>
            </w:tcBorders>
            <w:shd w:val="clear" w:color="000000" w:fill="FDE9D9"/>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2013</w:t>
            </w:r>
          </w:p>
        </w:tc>
        <w:tc>
          <w:tcPr>
            <w:tcW w:w="1020" w:type="dxa"/>
            <w:tcBorders>
              <w:top w:val="single" w:sz="8" w:space="0" w:color="auto"/>
              <w:left w:val="nil"/>
              <w:bottom w:val="single" w:sz="8" w:space="0" w:color="auto"/>
              <w:right w:val="single" w:sz="8" w:space="0" w:color="auto"/>
            </w:tcBorders>
            <w:shd w:val="clear" w:color="000000" w:fill="FDE9D9"/>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2014</w:t>
            </w:r>
          </w:p>
        </w:tc>
        <w:tc>
          <w:tcPr>
            <w:tcW w:w="1020" w:type="dxa"/>
            <w:tcBorders>
              <w:top w:val="single" w:sz="8" w:space="0" w:color="auto"/>
              <w:left w:val="nil"/>
              <w:bottom w:val="single" w:sz="8" w:space="0" w:color="auto"/>
              <w:right w:val="single" w:sz="8" w:space="0" w:color="auto"/>
            </w:tcBorders>
            <w:shd w:val="clear" w:color="000000" w:fill="FDE9D9"/>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2015</w:t>
            </w:r>
          </w:p>
        </w:tc>
        <w:tc>
          <w:tcPr>
            <w:tcW w:w="1020" w:type="dxa"/>
            <w:tcBorders>
              <w:top w:val="single" w:sz="8" w:space="0" w:color="auto"/>
              <w:left w:val="nil"/>
              <w:bottom w:val="single" w:sz="8" w:space="0" w:color="auto"/>
              <w:right w:val="single" w:sz="8" w:space="0" w:color="auto"/>
            </w:tcBorders>
            <w:shd w:val="clear" w:color="000000" w:fill="FDE9D9"/>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2016</w:t>
            </w:r>
          </w:p>
        </w:tc>
        <w:tc>
          <w:tcPr>
            <w:tcW w:w="1020" w:type="dxa"/>
            <w:tcBorders>
              <w:top w:val="single" w:sz="8" w:space="0" w:color="auto"/>
              <w:left w:val="nil"/>
              <w:bottom w:val="single" w:sz="8" w:space="0" w:color="auto"/>
              <w:right w:val="single" w:sz="8" w:space="0" w:color="auto"/>
            </w:tcBorders>
            <w:shd w:val="clear" w:color="000000" w:fill="FDE9D9"/>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2017</w:t>
            </w:r>
          </w:p>
        </w:tc>
        <w:tc>
          <w:tcPr>
            <w:tcW w:w="1020" w:type="dxa"/>
            <w:tcBorders>
              <w:top w:val="single" w:sz="8" w:space="0" w:color="auto"/>
              <w:left w:val="nil"/>
              <w:bottom w:val="single" w:sz="8" w:space="0" w:color="auto"/>
              <w:right w:val="single" w:sz="8" w:space="0" w:color="auto"/>
            </w:tcBorders>
            <w:shd w:val="clear" w:color="000000" w:fill="FDE9D9"/>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2018</w:t>
            </w:r>
          </w:p>
        </w:tc>
      </w:tr>
      <w:tr w:rsidR="00F83826" w:rsidRPr="00EF2265" w:rsidTr="00B15B10">
        <w:trPr>
          <w:trHeight w:val="315"/>
        </w:trPr>
        <w:tc>
          <w:tcPr>
            <w:tcW w:w="1360" w:type="dxa"/>
            <w:tcBorders>
              <w:top w:val="single" w:sz="8" w:space="0" w:color="auto"/>
              <w:left w:val="single" w:sz="8" w:space="0" w:color="auto"/>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Svf</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9 780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16 977</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29 586</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26 930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26 673</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29 691</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28 931</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31 250</w:t>
            </w:r>
          </w:p>
        </w:tc>
      </w:tr>
      <w:tr w:rsidR="00F83826" w:rsidRPr="00EF2265" w:rsidTr="00B15B10">
        <w:trPr>
          <w:trHeight w:val="315"/>
        </w:trPr>
        <w:tc>
          <w:tcPr>
            <w:tcW w:w="1360" w:type="dxa"/>
            <w:tcBorders>
              <w:top w:val="nil"/>
              <w:left w:val="single" w:sz="8" w:space="0" w:color="auto"/>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SjF</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8 518</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8 489</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14 766</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8 943</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8 998</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6 000</w:t>
            </w:r>
          </w:p>
        </w:tc>
      </w:tr>
      <w:tr w:rsidR="00F83826" w:rsidRPr="00EF2265" w:rsidTr="00B15B10">
        <w:trPr>
          <w:trHeight w:val="315"/>
        </w:trPr>
        <w:tc>
          <w:tcPr>
            <w:tcW w:w="1360" w:type="dxa"/>
            <w:tcBorders>
              <w:top w:val="nil"/>
              <w:left w:val="single" w:sz="8" w:space="0" w:color="auto"/>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FEI</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8 281</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16 716</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19 798</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16 892</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18 867</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17 930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9 000</w:t>
            </w:r>
          </w:p>
        </w:tc>
      </w:tr>
      <w:tr w:rsidR="00F83826" w:rsidRPr="00EF2265" w:rsidTr="00B15B10">
        <w:trPr>
          <w:trHeight w:val="315"/>
        </w:trPr>
        <w:tc>
          <w:tcPr>
            <w:tcW w:w="1360" w:type="dxa"/>
            <w:tcBorders>
              <w:top w:val="nil"/>
              <w:left w:val="single" w:sz="8" w:space="0" w:color="auto"/>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FCHPT</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13 820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15 588</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28 367</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27 000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25 990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23 980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24 900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30 990</w:t>
            </w:r>
          </w:p>
        </w:tc>
      </w:tr>
      <w:tr w:rsidR="00F83826" w:rsidRPr="00EF2265" w:rsidTr="00B15B10">
        <w:trPr>
          <w:trHeight w:val="315"/>
        </w:trPr>
        <w:tc>
          <w:tcPr>
            <w:tcW w:w="1360" w:type="dxa"/>
            <w:tcBorders>
              <w:top w:val="nil"/>
              <w:left w:val="single" w:sz="8" w:space="0" w:color="auto"/>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FA</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6 790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6 174</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8 760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7 000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6 830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5 960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6 865</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4 950</w:t>
            </w:r>
          </w:p>
        </w:tc>
      </w:tr>
      <w:tr w:rsidR="00F83826" w:rsidRPr="00EF2265" w:rsidTr="00B15B10">
        <w:trPr>
          <w:trHeight w:val="315"/>
        </w:trPr>
        <w:tc>
          <w:tcPr>
            <w:tcW w:w="1360" w:type="dxa"/>
            <w:tcBorders>
              <w:top w:val="nil"/>
              <w:left w:val="single" w:sz="8" w:space="0" w:color="auto"/>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MTF</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5 827</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10 650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10 999</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10 882</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13 000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18 000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15 000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15 000</w:t>
            </w:r>
          </w:p>
        </w:tc>
      </w:tr>
      <w:tr w:rsidR="00F83826" w:rsidRPr="00EF2265" w:rsidTr="00B15B10">
        <w:trPr>
          <w:trHeight w:val="315"/>
        </w:trPr>
        <w:tc>
          <w:tcPr>
            <w:tcW w:w="1360" w:type="dxa"/>
            <w:tcBorders>
              <w:top w:val="nil"/>
              <w:left w:val="single" w:sz="8" w:space="0" w:color="auto"/>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FIIT</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5 896</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3 859</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8 000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7 990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9 679</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13 000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14 000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14 000</w:t>
            </w:r>
          </w:p>
        </w:tc>
      </w:tr>
      <w:tr w:rsidR="00F83826" w:rsidRPr="00EF2265" w:rsidTr="00B15B10">
        <w:trPr>
          <w:trHeight w:val="315"/>
        </w:trPr>
        <w:tc>
          <w:tcPr>
            <w:tcW w:w="1360" w:type="dxa"/>
            <w:tcBorders>
              <w:top w:val="nil"/>
              <w:left w:val="single" w:sz="8" w:space="0" w:color="auto"/>
              <w:bottom w:val="single" w:sz="8" w:space="0" w:color="auto"/>
              <w:right w:val="single" w:sz="8" w:space="0" w:color="auto"/>
            </w:tcBorders>
            <w:shd w:val="clear" w:color="000000" w:fill="FDE9D9"/>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ÚM</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2 264</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3 000</w:t>
            </w:r>
          </w:p>
        </w:tc>
        <w:tc>
          <w:tcPr>
            <w:tcW w:w="1020" w:type="dxa"/>
            <w:tcBorders>
              <w:top w:val="nil"/>
              <w:left w:val="nil"/>
              <w:bottom w:val="single" w:sz="8" w:space="0" w:color="auto"/>
              <w:right w:val="single" w:sz="8" w:space="0" w:color="auto"/>
            </w:tcBorders>
            <w:shd w:val="clear" w:color="000000" w:fill="DAEEF3"/>
            <w:noWrap/>
            <w:vAlign w:val="bottom"/>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1 000</w:t>
            </w:r>
          </w:p>
        </w:tc>
      </w:tr>
      <w:tr w:rsidR="00F83826" w:rsidRPr="00EF2265" w:rsidTr="00B15B10">
        <w:trPr>
          <w:trHeight w:val="315"/>
        </w:trPr>
        <w:tc>
          <w:tcPr>
            <w:tcW w:w="1360" w:type="dxa"/>
            <w:tcBorders>
              <w:top w:val="nil"/>
              <w:left w:val="single" w:sz="8" w:space="0" w:color="auto"/>
              <w:bottom w:val="single" w:sz="8" w:space="0" w:color="auto"/>
              <w:right w:val="single" w:sz="8" w:space="0" w:color="auto"/>
            </w:tcBorders>
            <w:shd w:val="clear" w:color="000000" w:fill="FCD5B4"/>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Spolu</w:t>
            </w:r>
          </w:p>
        </w:tc>
        <w:tc>
          <w:tcPr>
            <w:tcW w:w="1020" w:type="dxa"/>
            <w:tcBorders>
              <w:top w:val="nil"/>
              <w:left w:val="nil"/>
              <w:bottom w:val="single" w:sz="8" w:space="0" w:color="auto"/>
              <w:right w:val="single" w:sz="8" w:space="0" w:color="auto"/>
            </w:tcBorders>
            <w:shd w:val="clear" w:color="000000" w:fill="FCD5B4"/>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59 911</w:t>
            </w:r>
          </w:p>
        </w:tc>
        <w:tc>
          <w:tcPr>
            <w:tcW w:w="1020" w:type="dxa"/>
            <w:tcBorders>
              <w:top w:val="nil"/>
              <w:left w:val="nil"/>
              <w:bottom w:val="single" w:sz="8" w:space="0" w:color="auto"/>
              <w:right w:val="single" w:sz="8" w:space="0" w:color="auto"/>
            </w:tcBorders>
            <w:shd w:val="clear" w:color="000000" w:fill="FCD5B4"/>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80 000</w:t>
            </w:r>
          </w:p>
        </w:tc>
        <w:tc>
          <w:tcPr>
            <w:tcW w:w="1020" w:type="dxa"/>
            <w:tcBorders>
              <w:top w:val="nil"/>
              <w:left w:val="nil"/>
              <w:bottom w:val="single" w:sz="8" w:space="0" w:color="auto"/>
              <w:right w:val="single" w:sz="8" w:space="0" w:color="auto"/>
            </w:tcBorders>
            <w:shd w:val="clear" w:color="000000" w:fill="FCD5B4"/>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120 194</w:t>
            </w:r>
          </w:p>
        </w:tc>
        <w:tc>
          <w:tcPr>
            <w:tcW w:w="1020" w:type="dxa"/>
            <w:tcBorders>
              <w:top w:val="nil"/>
              <w:left w:val="nil"/>
              <w:bottom w:val="single" w:sz="8" w:space="0" w:color="auto"/>
              <w:right w:val="single" w:sz="8" w:space="0" w:color="auto"/>
            </w:tcBorders>
            <w:shd w:val="clear" w:color="000000" w:fill="FCD5B4"/>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110 542</w:t>
            </w:r>
          </w:p>
        </w:tc>
        <w:tc>
          <w:tcPr>
            <w:tcW w:w="1020" w:type="dxa"/>
            <w:tcBorders>
              <w:top w:val="nil"/>
              <w:left w:val="nil"/>
              <w:bottom w:val="single" w:sz="8" w:space="0" w:color="auto"/>
              <w:right w:val="single" w:sz="8" w:space="0" w:color="auto"/>
            </w:tcBorders>
            <w:shd w:val="clear" w:color="000000" w:fill="FCD5B4"/>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110 062</w:t>
            </w:r>
          </w:p>
        </w:tc>
        <w:tc>
          <w:tcPr>
            <w:tcW w:w="1020" w:type="dxa"/>
            <w:tcBorders>
              <w:top w:val="nil"/>
              <w:left w:val="nil"/>
              <w:bottom w:val="single" w:sz="8" w:space="0" w:color="auto"/>
              <w:right w:val="single" w:sz="8" w:space="0" w:color="auto"/>
            </w:tcBorders>
            <w:shd w:val="clear" w:color="000000" w:fill="FCD5B4"/>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120 498</w:t>
            </w:r>
          </w:p>
        </w:tc>
        <w:tc>
          <w:tcPr>
            <w:tcW w:w="1020" w:type="dxa"/>
            <w:tcBorders>
              <w:top w:val="nil"/>
              <w:left w:val="nil"/>
              <w:bottom w:val="single" w:sz="8" w:space="0" w:color="auto"/>
              <w:right w:val="single" w:sz="8" w:space="0" w:color="auto"/>
            </w:tcBorders>
            <w:shd w:val="clear" w:color="000000" w:fill="FCD5B4"/>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119 626</w:t>
            </w:r>
          </w:p>
        </w:tc>
        <w:tc>
          <w:tcPr>
            <w:tcW w:w="1020" w:type="dxa"/>
            <w:tcBorders>
              <w:top w:val="nil"/>
              <w:left w:val="nil"/>
              <w:bottom w:val="single" w:sz="8" w:space="0" w:color="auto"/>
              <w:right w:val="single" w:sz="8" w:space="0" w:color="auto"/>
            </w:tcBorders>
            <w:shd w:val="clear" w:color="000000" w:fill="FCD5B4"/>
            <w:noWrap/>
            <w:vAlign w:val="bottom"/>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112 190</w:t>
            </w:r>
          </w:p>
        </w:tc>
      </w:tr>
    </w:tbl>
    <w:p w:rsidR="00F83826" w:rsidRPr="00EF2265" w:rsidRDefault="00F83826" w:rsidP="00E86605">
      <w:pPr>
        <w:autoSpaceDE w:val="0"/>
        <w:autoSpaceDN w:val="0"/>
        <w:adjustRightInd w:val="0"/>
        <w:jc w:val="left"/>
        <w:rPr>
          <w:rFonts w:ascii="Times New Roman" w:hAnsi="Times New Roman"/>
          <w:b/>
          <w:sz w:val="20"/>
          <w:szCs w:val="20"/>
        </w:rPr>
      </w:pPr>
    </w:p>
    <w:p w:rsidR="00F83826" w:rsidRPr="00EF2265" w:rsidRDefault="00F83826" w:rsidP="00E86605">
      <w:pPr>
        <w:pStyle w:val="Default"/>
        <w:rPr>
          <w:rFonts w:ascii="Times New Roman" w:hAnsi="Times New Roman" w:cs="Times New Roman"/>
          <w:bCs/>
          <w:color w:val="auto"/>
          <w:sz w:val="20"/>
          <w:szCs w:val="20"/>
          <w:lang w:val="sk-SK"/>
        </w:rPr>
      </w:pPr>
      <w:r w:rsidRPr="00EF2265">
        <w:rPr>
          <w:rFonts w:ascii="Times New Roman" w:hAnsi="Times New Roman" w:cs="Times New Roman"/>
          <w:bCs/>
          <w:color w:val="auto"/>
          <w:sz w:val="20"/>
          <w:szCs w:val="20"/>
          <w:lang w:val="sk-SK"/>
        </w:rPr>
        <w:t xml:space="preserve">Ďalšou podporou mladých výskumníkov je nadstavba programu mladých, </w:t>
      </w:r>
      <w:r w:rsidRPr="00EF2265">
        <w:rPr>
          <w:rFonts w:ascii="Times New Roman" w:hAnsi="Times New Roman" w:cs="Times New Roman"/>
          <w:b/>
          <w:bCs/>
          <w:color w:val="auto"/>
          <w:sz w:val="20"/>
          <w:szCs w:val="20"/>
          <w:lang w:val="sk-SK"/>
        </w:rPr>
        <w:t>Grantová schéma na podporu</w:t>
      </w:r>
      <w:r w:rsidRPr="00EF2265">
        <w:rPr>
          <w:rFonts w:ascii="Times New Roman" w:hAnsi="Times New Roman" w:cs="Times New Roman"/>
          <w:bCs/>
          <w:color w:val="auto"/>
          <w:sz w:val="20"/>
          <w:szCs w:val="20"/>
          <w:lang w:val="sk-SK"/>
        </w:rPr>
        <w:t xml:space="preserve"> </w:t>
      </w:r>
      <w:r w:rsidRPr="00EF2265">
        <w:rPr>
          <w:rFonts w:ascii="Times New Roman" w:hAnsi="Times New Roman" w:cs="Times New Roman"/>
          <w:b/>
          <w:color w:val="auto"/>
          <w:sz w:val="20"/>
          <w:szCs w:val="20"/>
          <w:lang w:val="sk-SK"/>
        </w:rPr>
        <w:t>excelentných tímov mladých výskumníkov</w:t>
      </w:r>
      <w:r w:rsidRPr="00EF2265">
        <w:rPr>
          <w:rFonts w:ascii="Times New Roman" w:hAnsi="Times New Roman" w:cs="Times New Roman"/>
          <w:color w:val="auto"/>
          <w:sz w:val="20"/>
          <w:szCs w:val="20"/>
          <w:lang w:val="sk-SK"/>
        </w:rPr>
        <w:t xml:space="preserve"> v podmienkach Slovenskej technickej univerzity v Bratislave. Mladí výskumníci, t.j. mladí vysokoškolskí učitelia, výskumní pracovníci a študenti STU tretieho stupňa vysokoškolského štúdia dennej formy, získavajú v grantovej schéme skúsenosti s prácou vo výskumnom kolektíve a skúsenosti s prípravu projektov do grantových schém Slovenskej republiky alebo do výskumných schém Európskej únie.</w:t>
      </w:r>
      <w:r w:rsidRPr="00EF2265">
        <w:rPr>
          <w:rFonts w:ascii="Times New Roman" w:hAnsi="Times New Roman" w:cs="Times New Roman"/>
          <w:b/>
          <w:bCs/>
          <w:color w:val="auto"/>
          <w:sz w:val="20"/>
          <w:szCs w:val="20"/>
          <w:lang w:val="sk-SK"/>
        </w:rPr>
        <w:t xml:space="preserve"> </w:t>
      </w:r>
    </w:p>
    <w:p w:rsidR="00F83826" w:rsidRPr="00EF2265" w:rsidRDefault="00F83826" w:rsidP="00E86605">
      <w:pPr>
        <w:pStyle w:val="Default"/>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V roku 2018 pokračoval program štvrtým ročníkom. Celkovo bolo podaných 27 projektov zo všetkých fakúlt (okrem FA) a z Ústavu manažmentu. Najviac žiadostí o grant podala FCHPT (10), MTF (6) a SjF (5). Po dva návrhy pripravili SvF, FEI a po jednom FIIT a ÚM. Financovaných bolo 7 projektov v celkovej hodnote 41 000 EUR.</w:t>
      </w:r>
    </w:p>
    <w:p w:rsidR="00F83826" w:rsidRPr="00EF2265" w:rsidRDefault="00F83826" w:rsidP="00E86605">
      <w:pPr>
        <w:pStyle w:val="Default"/>
        <w:rPr>
          <w:rFonts w:ascii="Times New Roman" w:hAnsi="Times New Roman" w:cs="Times New Roman"/>
          <w:color w:val="auto"/>
          <w:sz w:val="20"/>
          <w:szCs w:val="20"/>
          <w:lang w:val="sk-SK"/>
        </w:rPr>
      </w:pPr>
    </w:p>
    <w:p w:rsidR="00F83826" w:rsidRPr="00EF2265" w:rsidRDefault="00F83826" w:rsidP="00E86605">
      <w:pPr>
        <w:jc w:val="left"/>
        <w:rPr>
          <w:rFonts w:ascii="Times New Roman" w:hAnsi="Times New Roman"/>
          <w:bCs/>
          <w:sz w:val="20"/>
          <w:szCs w:val="20"/>
        </w:rPr>
      </w:pPr>
      <w:r w:rsidRPr="00EF2265">
        <w:rPr>
          <w:rFonts w:ascii="Times New Roman" w:hAnsi="Times New Roman"/>
          <w:bCs/>
          <w:sz w:val="20"/>
          <w:szCs w:val="20"/>
        </w:rPr>
        <w:t xml:space="preserve">Najvyššie v hodnotení sa umiestnil projekt: </w:t>
      </w:r>
    </w:p>
    <w:p w:rsidR="00F83826" w:rsidRPr="00EF2265" w:rsidRDefault="00F83826" w:rsidP="00E86605">
      <w:pPr>
        <w:pStyle w:val="Odsekzoznamu"/>
        <w:numPr>
          <w:ilvl w:val="0"/>
          <w:numId w:val="16"/>
        </w:numPr>
        <w:spacing w:after="0" w:line="240" w:lineRule="auto"/>
        <w:rPr>
          <w:rFonts w:ascii="Times New Roman" w:hAnsi="Times New Roman"/>
          <w:bCs/>
          <w:sz w:val="20"/>
          <w:szCs w:val="20"/>
        </w:rPr>
      </w:pPr>
      <w:r w:rsidRPr="00EF2265">
        <w:rPr>
          <w:rFonts w:ascii="Times New Roman" w:hAnsi="Times New Roman"/>
          <w:bCs/>
          <w:sz w:val="20"/>
          <w:szCs w:val="20"/>
        </w:rPr>
        <w:t>5-osový robotický systém pre aditívnu výrobu, hlavný riešiteľ Ing. Martin Gulan, PhD., SjF,</w:t>
      </w:r>
    </w:p>
    <w:p w:rsidR="00F83826" w:rsidRPr="00EF2265" w:rsidRDefault="00F83826" w:rsidP="00E86605">
      <w:pPr>
        <w:jc w:val="left"/>
        <w:rPr>
          <w:rFonts w:ascii="Times New Roman" w:hAnsi="Times New Roman"/>
          <w:bCs/>
          <w:sz w:val="20"/>
          <w:szCs w:val="20"/>
        </w:rPr>
      </w:pPr>
      <w:r w:rsidRPr="00EF2265">
        <w:rPr>
          <w:rFonts w:ascii="Times New Roman" w:hAnsi="Times New Roman"/>
          <w:bCs/>
          <w:sz w:val="20"/>
          <w:szCs w:val="20"/>
        </w:rPr>
        <w:t>Ďalšie v poradí skončili projekty:</w:t>
      </w:r>
    </w:p>
    <w:p w:rsidR="00F83826" w:rsidRPr="00EF2265" w:rsidRDefault="00F83826" w:rsidP="00E86605">
      <w:pPr>
        <w:pStyle w:val="Odsekzoznamu"/>
        <w:numPr>
          <w:ilvl w:val="0"/>
          <w:numId w:val="16"/>
        </w:numPr>
        <w:spacing w:after="0" w:line="240" w:lineRule="auto"/>
        <w:rPr>
          <w:rFonts w:ascii="Times New Roman" w:hAnsi="Times New Roman"/>
          <w:bCs/>
          <w:sz w:val="20"/>
          <w:szCs w:val="20"/>
        </w:rPr>
      </w:pPr>
      <w:r w:rsidRPr="00EF2265">
        <w:rPr>
          <w:rFonts w:ascii="Times New Roman" w:hAnsi="Times New Roman"/>
          <w:bCs/>
          <w:sz w:val="20"/>
          <w:szCs w:val="20"/>
        </w:rPr>
        <w:t>Výskum novej generácie implantačného a depozičného procesu za účelom získania dynamicky atomárne čistých povrchov pre zvýšenie adhézie a prípravu TiAIN a TiAISiN povlakov s redukovaným vnútorným napätím, hlavný riešiteľ Ing. Paulína Zacková, PhD., MTF,</w:t>
      </w:r>
    </w:p>
    <w:p w:rsidR="00F83826" w:rsidRPr="00EF2265" w:rsidRDefault="00F83826" w:rsidP="00E86605">
      <w:pPr>
        <w:pStyle w:val="Odsekzoznamu"/>
        <w:numPr>
          <w:ilvl w:val="0"/>
          <w:numId w:val="16"/>
        </w:numPr>
        <w:spacing w:after="0" w:line="240" w:lineRule="auto"/>
        <w:rPr>
          <w:rFonts w:ascii="Times New Roman" w:hAnsi="Times New Roman"/>
          <w:bCs/>
          <w:sz w:val="20"/>
          <w:szCs w:val="20"/>
        </w:rPr>
      </w:pPr>
      <w:r w:rsidRPr="00EF2265">
        <w:rPr>
          <w:rFonts w:ascii="Times New Roman" w:hAnsi="Times New Roman"/>
          <w:bCs/>
          <w:sz w:val="20"/>
          <w:szCs w:val="20"/>
        </w:rPr>
        <w:t>Vývoj nových extrakčných a analytických metód na stanovenie životohrozujúcich látok v potravinách a vo vzorkách životného prostredia, hlavný riešiteľ Ing. Silvia Zichová, FCHPT,</w:t>
      </w:r>
    </w:p>
    <w:p w:rsidR="00F83826" w:rsidRPr="00EF2265" w:rsidRDefault="00F83826" w:rsidP="00E86605">
      <w:pPr>
        <w:pStyle w:val="Odsekzoznamu"/>
        <w:numPr>
          <w:ilvl w:val="0"/>
          <w:numId w:val="16"/>
        </w:numPr>
        <w:spacing w:after="0" w:line="240" w:lineRule="auto"/>
        <w:rPr>
          <w:rFonts w:ascii="Times New Roman" w:hAnsi="Times New Roman"/>
          <w:bCs/>
          <w:sz w:val="20"/>
          <w:szCs w:val="20"/>
        </w:rPr>
      </w:pPr>
      <w:r w:rsidRPr="00EF2265">
        <w:rPr>
          <w:rFonts w:ascii="Times New Roman" w:hAnsi="Times New Roman"/>
          <w:bCs/>
          <w:sz w:val="20"/>
          <w:szCs w:val="20"/>
        </w:rPr>
        <w:lastRenderedPageBreak/>
        <w:t>Vplyv teploty na dynamické parametre mostných konštrukcií, hlavný riešiteľ Ing. Michal Venglár, SvF,</w:t>
      </w:r>
    </w:p>
    <w:p w:rsidR="00F83826" w:rsidRPr="00EF2265" w:rsidRDefault="00F83826" w:rsidP="00E86605">
      <w:pPr>
        <w:jc w:val="left"/>
        <w:rPr>
          <w:rFonts w:ascii="Times New Roman" w:hAnsi="Times New Roman"/>
          <w:bCs/>
          <w:sz w:val="20"/>
          <w:szCs w:val="20"/>
        </w:rPr>
      </w:pPr>
      <w:r w:rsidRPr="00EF2265">
        <w:rPr>
          <w:rFonts w:ascii="Times New Roman" w:hAnsi="Times New Roman"/>
          <w:bCs/>
          <w:sz w:val="20"/>
          <w:szCs w:val="20"/>
        </w:rPr>
        <w:t>Na piatom až siedmom mieste sa umiestnili tri projekty s rovnakým počtom bodov:</w:t>
      </w:r>
    </w:p>
    <w:p w:rsidR="00F83826" w:rsidRPr="00EF2265" w:rsidRDefault="00F83826" w:rsidP="00E86605">
      <w:pPr>
        <w:pStyle w:val="Odsekzoznamu"/>
        <w:numPr>
          <w:ilvl w:val="0"/>
          <w:numId w:val="17"/>
        </w:numPr>
        <w:spacing w:after="0" w:line="240" w:lineRule="auto"/>
        <w:rPr>
          <w:rFonts w:ascii="Times New Roman" w:hAnsi="Times New Roman"/>
          <w:bCs/>
          <w:sz w:val="20"/>
          <w:szCs w:val="20"/>
        </w:rPr>
      </w:pPr>
      <w:r w:rsidRPr="00EF2265">
        <w:rPr>
          <w:rFonts w:ascii="Times New Roman" w:hAnsi="Times New Roman"/>
          <w:bCs/>
          <w:sz w:val="20"/>
          <w:szCs w:val="20"/>
        </w:rPr>
        <w:t>Niektoré fenotypové zmeny v expresii proteínov vyvolané viacliekovou rezistenciou v leukemických bunkách, hlavný riešiteľ Ing. Martina Guzyová, PhD., FCHPT,</w:t>
      </w:r>
    </w:p>
    <w:p w:rsidR="00F83826" w:rsidRPr="00EF2265" w:rsidRDefault="00F83826" w:rsidP="00E86605">
      <w:pPr>
        <w:pStyle w:val="Odsekzoznamu"/>
        <w:numPr>
          <w:ilvl w:val="0"/>
          <w:numId w:val="17"/>
        </w:numPr>
        <w:spacing w:after="0" w:line="240" w:lineRule="auto"/>
        <w:rPr>
          <w:rFonts w:ascii="Times New Roman" w:hAnsi="Times New Roman"/>
          <w:bCs/>
          <w:sz w:val="20"/>
          <w:szCs w:val="20"/>
        </w:rPr>
      </w:pPr>
      <w:r w:rsidRPr="00EF2265">
        <w:rPr>
          <w:rFonts w:ascii="Times New Roman" w:hAnsi="Times New Roman"/>
          <w:bCs/>
          <w:sz w:val="20"/>
          <w:szCs w:val="20"/>
        </w:rPr>
        <w:t>Ekonomicky Efektívne Riadenie Energeticky Náročných Chemicko-Technologických Procesov, hlavný riešiteľ Ing. Martin Klaučo, PhD., FCHPT,</w:t>
      </w:r>
    </w:p>
    <w:p w:rsidR="00F83826" w:rsidRPr="00EF2265" w:rsidRDefault="00F83826" w:rsidP="00E86605">
      <w:pPr>
        <w:pStyle w:val="Odsekzoznamu"/>
        <w:numPr>
          <w:ilvl w:val="0"/>
          <w:numId w:val="17"/>
        </w:numPr>
        <w:spacing w:after="0" w:line="240" w:lineRule="auto"/>
        <w:rPr>
          <w:rFonts w:ascii="Times New Roman" w:hAnsi="Times New Roman"/>
          <w:bCs/>
          <w:sz w:val="20"/>
          <w:szCs w:val="20"/>
        </w:rPr>
      </w:pPr>
      <w:r w:rsidRPr="00EF2265">
        <w:rPr>
          <w:rFonts w:ascii="Times New Roman" w:hAnsi="Times New Roman"/>
          <w:bCs/>
          <w:sz w:val="20"/>
          <w:szCs w:val="20"/>
        </w:rPr>
        <w:t>Podpora včasnej diagnostiky Alzheimerovej choroby s využitím metód umelej inteligencie a počítačového videnia, hlavný riešiteľ Ing. Martin Tamajka, FIIT</w:t>
      </w:r>
    </w:p>
    <w:p w:rsidR="00F83826" w:rsidRPr="00EF2265" w:rsidRDefault="00F83826" w:rsidP="00E86605">
      <w:pPr>
        <w:autoSpaceDE w:val="0"/>
        <w:autoSpaceDN w:val="0"/>
        <w:adjustRightInd w:val="0"/>
        <w:jc w:val="left"/>
        <w:rPr>
          <w:rFonts w:ascii="Times New Roman" w:hAnsi="Times New Roman"/>
          <w:b/>
          <w:bCs/>
          <w:sz w:val="20"/>
          <w:szCs w:val="20"/>
        </w:rPr>
      </w:pPr>
    </w:p>
    <w:p w:rsidR="00F83826" w:rsidRPr="000F29D6" w:rsidRDefault="00F83826" w:rsidP="00E86605">
      <w:pPr>
        <w:pStyle w:val="Nadpis3"/>
        <w:keepLines w:val="0"/>
        <w:numPr>
          <w:ilvl w:val="2"/>
          <w:numId w:val="12"/>
        </w:numPr>
        <w:spacing w:before="120" w:after="120" w:line="240" w:lineRule="auto"/>
        <w:ind w:left="0" w:firstLine="0"/>
        <w:rPr>
          <w:rFonts w:ascii="Times New Roman" w:hAnsi="Times New Roman" w:cs="Times New Roman"/>
          <w:color w:val="auto"/>
          <w:sz w:val="20"/>
          <w:szCs w:val="20"/>
        </w:rPr>
      </w:pPr>
      <w:bookmarkStart w:id="190" w:name="_Toc477769462"/>
      <w:bookmarkStart w:id="191" w:name="_Toc4589993"/>
      <w:r w:rsidRPr="000F29D6">
        <w:rPr>
          <w:rFonts w:ascii="Times New Roman" w:hAnsi="Times New Roman" w:cs="Times New Roman"/>
          <w:color w:val="auto"/>
          <w:sz w:val="20"/>
          <w:szCs w:val="20"/>
        </w:rPr>
        <w:t>Ocenenie Vedec roka STU</w:t>
      </w:r>
      <w:bookmarkEnd w:id="190"/>
      <w:bookmarkEnd w:id="191"/>
    </w:p>
    <w:p w:rsidR="00F83826" w:rsidRPr="00EF2265" w:rsidRDefault="00F83826" w:rsidP="00E86605">
      <w:pPr>
        <w:jc w:val="left"/>
        <w:rPr>
          <w:rFonts w:ascii="Times New Roman" w:hAnsi="Times New Roman"/>
          <w:sz w:val="20"/>
          <w:szCs w:val="20"/>
          <w:lang w:eastAsia="cs-CZ"/>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Od roku 2007 rektor Slovenskej technickej univerzity v Bratislave udeľuje významným osobnostiam ocenenia Vedec roka STU. </w:t>
      </w:r>
    </w:p>
    <w:p w:rsidR="00F83826" w:rsidRPr="00EF2265" w:rsidRDefault="00F83826" w:rsidP="00E86605">
      <w:pPr>
        <w:jc w:val="left"/>
        <w:rPr>
          <w:rFonts w:ascii="Times New Roman" w:hAnsi="Times New Roman"/>
          <w:bCs/>
          <w:sz w:val="20"/>
          <w:szCs w:val="20"/>
        </w:rPr>
      </w:pPr>
      <w:r w:rsidRPr="00EF2265">
        <w:rPr>
          <w:rFonts w:ascii="Times New Roman" w:hAnsi="Times New Roman"/>
          <w:sz w:val="20"/>
          <w:szCs w:val="20"/>
        </w:rPr>
        <w:t xml:space="preserve">Cenu „Vedec roka STU 2018“ v kategórii Významný vedecký prínos </w:t>
      </w:r>
      <w:r w:rsidRPr="00570B49">
        <w:rPr>
          <w:rFonts w:ascii="Times New Roman" w:hAnsi="Times New Roman"/>
          <w:sz w:val="20"/>
          <w:szCs w:val="20"/>
        </w:rPr>
        <w:t xml:space="preserve">získal </w:t>
      </w:r>
      <w:r w:rsidRPr="00570B49">
        <w:rPr>
          <w:rFonts w:ascii="Times New Roman" w:hAnsi="Times New Roman"/>
          <w:bCs/>
          <w:sz w:val="20"/>
          <w:szCs w:val="20"/>
        </w:rPr>
        <w:t>prof. Ing. Ján Labuda, DrSc., z</w:t>
      </w:r>
      <w:r w:rsidRPr="00EF2265">
        <w:rPr>
          <w:rFonts w:ascii="Times New Roman" w:hAnsi="Times New Roman"/>
          <w:sz w:val="20"/>
          <w:szCs w:val="20"/>
        </w:rPr>
        <w:t xml:space="preserve"> </w:t>
      </w:r>
      <w:r w:rsidRPr="00EF2265">
        <w:rPr>
          <w:rFonts w:ascii="Times New Roman" w:hAnsi="Times New Roman"/>
          <w:bCs/>
          <w:sz w:val="20"/>
          <w:szCs w:val="20"/>
        </w:rPr>
        <w:t xml:space="preserve">Fakulty chemickej a potravinárskej technológie.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Cenu Vedec roka STU 2018 v kategórii Mladý vedecký pracovník </w:t>
      </w:r>
      <w:r w:rsidRPr="00570B49">
        <w:rPr>
          <w:rFonts w:ascii="Times New Roman" w:hAnsi="Times New Roman"/>
          <w:sz w:val="20"/>
          <w:szCs w:val="20"/>
        </w:rPr>
        <w:t>získal Ing.</w:t>
      </w:r>
      <w:r w:rsidRPr="00570B49">
        <w:rPr>
          <w:rFonts w:ascii="Times New Roman" w:hAnsi="Times New Roman"/>
          <w:bCs/>
          <w:sz w:val="20"/>
          <w:szCs w:val="20"/>
        </w:rPr>
        <w:t> </w:t>
      </w:r>
      <w:r w:rsidRPr="00570B49">
        <w:rPr>
          <w:rStyle w:val="Siln"/>
          <w:rFonts w:ascii="Times New Roman" w:hAnsi="Times New Roman"/>
          <w:b w:val="0"/>
          <w:sz w:val="20"/>
          <w:szCs w:val="20"/>
        </w:rPr>
        <w:t>František</w:t>
      </w:r>
      <w:r w:rsidRPr="00570B49">
        <w:rPr>
          <w:rFonts w:ascii="Times New Roman" w:hAnsi="Times New Roman"/>
          <w:b/>
          <w:bCs/>
          <w:sz w:val="20"/>
          <w:szCs w:val="20"/>
        </w:rPr>
        <w:t> </w:t>
      </w:r>
      <w:r w:rsidRPr="00570B49">
        <w:rPr>
          <w:rStyle w:val="Siln"/>
          <w:rFonts w:ascii="Times New Roman" w:hAnsi="Times New Roman"/>
          <w:b w:val="0"/>
          <w:sz w:val="20"/>
          <w:szCs w:val="20"/>
        </w:rPr>
        <w:t>Kreps</w:t>
      </w:r>
      <w:r w:rsidRPr="00570B49">
        <w:rPr>
          <w:rFonts w:ascii="Times New Roman" w:hAnsi="Times New Roman"/>
          <w:b/>
          <w:sz w:val="20"/>
          <w:szCs w:val="20"/>
        </w:rPr>
        <w:t>,</w:t>
      </w:r>
      <w:r w:rsidRPr="00570B49">
        <w:rPr>
          <w:rFonts w:ascii="Times New Roman" w:hAnsi="Times New Roman"/>
          <w:bCs/>
          <w:sz w:val="20"/>
          <w:szCs w:val="20"/>
        </w:rPr>
        <w:t> </w:t>
      </w:r>
      <w:r w:rsidRPr="00570B49">
        <w:rPr>
          <w:rFonts w:ascii="Times New Roman" w:hAnsi="Times New Roman"/>
          <w:sz w:val="20"/>
          <w:szCs w:val="20"/>
        </w:rPr>
        <w:t>PhD.,</w:t>
      </w:r>
      <w:r w:rsidRPr="00EF2265">
        <w:rPr>
          <w:rFonts w:ascii="Times New Roman" w:hAnsi="Times New Roman"/>
          <w:b/>
          <w:bCs/>
          <w:sz w:val="20"/>
          <w:szCs w:val="20"/>
        </w:rPr>
        <w:t xml:space="preserve"> </w:t>
      </w:r>
      <w:r w:rsidRPr="00EF2265">
        <w:rPr>
          <w:rFonts w:ascii="Times New Roman" w:hAnsi="Times New Roman"/>
          <w:bCs/>
          <w:sz w:val="20"/>
          <w:szCs w:val="20"/>
        </w:rPr>
        <w:t xml:space="preserve">pracovník </w:t>
      </w:r>
      <w:r w:rsidRPr="00EF2265">
        <w:rPr>
          <w:rFonts w:ascii="Times New Roman" w:hAnsi="Times New Roman"/>
          <w:sz w:val="20"/>
          <w:szCs w:val="20"/>
        </w:rPr>
        <w:t xml:space="preserve">Ústavu potravinárstva a výživy </w:t>
      </w:r>
      <w:r w:rsidRPr="00EF2265">
        <w:rPr>
          <w:rFonts w:ascii="Times New Roman" w:hAnsi="Times New Roman"/>
          <w:bCs/>
          <w:sz w:val="20"/>
          <w:szCs w:val="20"/>
        </w:rPr>
        <w:t>Fakulty chemickej a potravinárskej technológie STU</w:t>
      </w:r>
      <w:r w:rsidRPr="00EF2265">
        <w:rPr>
          <w:rFonts w:ascii="Times New Roman" w:hAnsi="Times New Roman"/>
          <w:sz w:val="20"/>
          <w:szCs w:val="20"/>
        </w:rPr>
        <w:t>.</w:t>
      </w:r>
    </w:p>
    <w:p w:rsidR="00F83826" w:rsidRPr="00EF2265" w:rsidRDefault="00F83826" w:rsidP="00E86605">
      <w:pPr>
        <w:jc w:val="left"/>
        <w:rPr>
          <w:rFonts w:ascii="Times New Roman" w:hAnsi="Times New Roman"/>
          <w:sz w:val="20"/>
          <w:szCs w:val="20"/>
        </w:rPr>
      </w:pPr>
    </w:p>
    <w:p w:rsidR="00F83826" w:rsidRPr="000F29D6" w:rsidRDefault="00F83826" w:rsidP="00E86605">
      <w:pPr>
        <w:pStyle w:val="Nadpis3"/>
        <w:keepLines w:val="0"/>
        <w:numPr>
          <w:ilvl w:val="2"/>
          <w:numId w:val="12"/>
        </w:numPr>
        <w:spacing w:before="120" w:after="120" w:line="240" w:lineRule="auto"/>
        <w:ind w:left="0" w:firstLine="0"/>
        <w:rPr>
          <w:rFonts w:ascii="Times New Roman" w:hAnsi="Times New Roman" w:cs="Times New Roman"/>
          <w:color w:val="auto"/>
          <w:sz w:val="20"/>
          <w:szCs w:val="20"/>
        </w:rPr>
      </w:pPr>
      <w:bookmarkStart w:id="192" w:name="_Toc477769463"/>
      <w:bookmarkStart w:id="193" w:name="_Toc4589994"/>
      <w:r w:rsidRPr="000F29D6">
        <w:rPr>
          <w:rFonts w:ascii="Times New Roman" w:hAnsi="Times New Roman" w:cs="Times New Roman"/>
          <w:color w:val="auto"/>
          <w:sz w:val="20"/>
          <w:szCs w:val="20"/>
        </w:rPr>
        <w:t>Cena o najlepšie publikáci</w:t>
      </w:r>
      <w:bookmarkEnd w:id="192"/>
      <w:r w:rsidRPr="000F29D6">
        <w:rPr>
          <w:rFonts w:ascii="Times New Roman" w:hAnsi="Times New Roman" w:cs="Times New Roman"/>
          <w:color w:val="auto"/>
          <w:sz w:val="20"/>
          <w:szCs w:val="20"/>
        </w:rPr>
        <w:t>e</w:t>
      </w:r>
      <w:bookmarkEnd w:id="193"/>
    </w:p>
    <w:p w:rsidR="00F83826" w:rsidRPr="00EF2265" w:rsidRDefault="00F83826" w:rsidP="00E86605">
      <w:pPr>
        <w:jc w:val="left"/>
        <w:rPr>
          <w:rFonts w:ascii="Times New Roman" w:hAnsi="Times New Roman"/>
          <w:sz w:val="20"/>
          <w:szCs w:val="20"/>
          <w:lang w:eastAsia="cs-CZ"/>
        </w:rPr>
      </w:pPr>
    </w:p>
    <w:p w:rsidR="00F83826" w:rsidRPr="00B358B6" w:rsidRDefault="00F83826" w:rsidP="00E86605">
      <w:pPr>
        <w:pStyle w:val="Default"/>
        <w:rPr>
          <w:rStyle w:val="Siln"/>
          <w:rFonts w:ascii="Times New Roman" w:hAnsi="Times New Roman" w:cs="Times New Roman"/>
          <w:b w:val="0"/>
          <w:iCs/>
          <w:color w:val="auto"/>
          <w:sz w:val="20"/>
          <w:szCs w:val="20"/>
          <w:lang w:val="sk-SK"/>
        </w:rPr>
      </w:pPr>
      <w:r w:rsidRPr="00B358B6">
        <w:rPr>
          <w:rStyle w:val="Siln"/>
          <w:rFonts w:ascii="Times New Roman" w:hAnsi="Times New Roman" w:cs="Times New Roman"/>
          <w:b w:val="0"/>
          <w:iCs/>
          <w:color w:val="auto"/>
          <w:sz w:val="20"/>
          <w:szCs w:val="20"/>
          <w:lang w:val="sk-SK"/>
        </w:rPr>
        <w:t>Publikovanie výsledkov výskumu je jedným z hodnotiacich kritérií úrovne výskumných aktivít. Najväčšiu váhu majú vedecké publikácie v špičkových vysoko impaktovaných periodikách. Špeciálne miesto v hodnotiacich kritériách má publikovanie v časopisoch Nature a Science. Aj v súťaži o najlepšiu publikáciu STU za rok 2018 majú najvyššie hodnotenie práve publikácie uverejnené v týchto periodikách. V roku 2018 bol vyhlásený štvrtý ročník o najlepšie publikačné aktivity. Finančne dotovaná súťaž je vyhlásená v troch oblastiach:</w:t>
      </w:r>
    </w:p>
    <w:p w:rsidR="00F83826" w:rsidRPr="00EF2265" w:rsidRDefault="00F83826" w:rsidP="00E86605">
      <w:pPr>
        <w:pStyle w:val="Normlnywebov"/>
        <w:ind w:left="709"/>
        <w:jc w:val="left"/>
        <w:rPr>
          <w:sz w:val="20"/>
          <w:szCs w:val="20"/>
        </w:rPr>
      </w:pPr>
      <w:r w:rsidRPr="00EF2265">
        <w:rPr>
          <w:b/>
          <w:bCs/>
          <w:sz w:val="20"/>
          <w:szCs w:val="20"/>
        </w:rPr>
        <w:t>1.  </w:t>
      </w:r>
      <w:r w:rsidRPr="00EF2265">
        <w:rPr>
          <w:sz w:val="20"/>
          <w:szCs w:val="20"/>
        </w:rPr>
        <w:t xml:space="preserve">Publikácie v časopise NATURE alebo SCIENCE alebo autora publikácií s najvyšším počtom citácií podľa databázy najcitovanejších publikácií evidovaných na www stránke Thomson Reuters: </w:t>
      </w:r>
      <w:hyperlink r:id="rId86" w:tgtFrame="_blank" w:history="1">
        <w:r w:rsidRPr="00EF2265">
          <w:rPr>
            <w:rStyle w:val="Hypertextovprepojenie"/>
            <w:sz w:val="20"/>
            <w:szCs w:val="20"/>
          </w:rPr>
          <w:t>http://highlycited.com/</w:t>
        </w:r>
      </w:hyperlink>
      <w:r w:rsidRPr="00EF2265">
        <w:rPr>
          <w:sz w:val="20"/>
          <w:szCs w:val="20"/>
        </w:rPr>
        <w:t>.</w:t>
      </w:r>
    </w:p>
    <w:p w:rsidR="00F83826" w:rsidRPr="00EF2265" w:rsidRDefault="00F83826" w:rsidP="00E86605">
      <w:pPr>
        <w:pStyle w:val="Normlnywebov"/>
        <w:ind w:left="709"/>
        <w:jc w:val="left"/>
        <w:rPr>
          <w:sz w:val="20"/>
          <w:szCs w:val="20"/>
        </w:rPr>
      </w:pPr>
      <w:r w:rsidRPr="00EF2265">
        <w:rPr>
          <w:b/>
          <w:bCs/>
          <w:sz w:val="20"/>
          <w:szCs w:val="20"/>
        </w:rPr>
        <w:t>2.  </w:t>
      </w:r>
      <w:r w:rsidRPr="00EF2265">
        <w:rPr>
          <w:sz w:val="20"/>
          <w:szCs w:val="20"/>
        </w:rPr>
        <w:t>Publikácie, ktoré vyšli v roku 2017 v časopisoch, ktoré spadajú do 10 % percentilu časopisov podľa impakt faktorov (IF podľa jednotlivých vedných odborov vedených v JCR Thomson Reuters).</w:t>
      </w:r>
    </w:p>
    <w:p w:rsidR="00F83826" w:rsidRPr="00EF2265" w:rsidRDefault="00F83826" w:rsidP="00E86605">
      <w:pPr>
        <w:pStyle w:val="Normlnywebov"/>
        <w:ind w:left="709" w:firstLine="60"/>
        <w:jc w:val="left"/>
        <w:rPr>
          <w:sz w:val="20"/>
          <w:szCs w:val="20"/>
        </w:rPr>
      </w:pPr>
      <w:r w:rsidRPr="00EF2265">
        <w:rPr>
          <w:b/>
          <w:bCs/>
          <w:sz w:val="20"/>
          <w:szCs w:val="20"/>
        </w:rPr>
        <w:t>3.  </w:t>
      </w:r>
      <w:r w:rsidRPr="00EF2265">
        <w:rPr>
          <w:sz w:val="20"/>
          <w:szCs w:val="20"/>
        </w:rPr>
        <w:t>Publikáciu, ktorá bola publikovaná v rokoch 2015 - 2017 a mala najvyšší počet ohlasov podľa SCI.</w:t>
      </w: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Ocenení:</w:t>
      </w: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eastAsia="Times New Roman" w:hAnsi="Times New Roman"/>
          <w:bCs/>
          <w:sz w:val="20"/>
          <w:szCs w:val="20"/>
          <w:lang w:eastAsia="sk-SK"/>
        </w:rPr>
      </w:pPr>
      <w:r w:rsidRPr="00EF2265">
        <w:rPr>
          <w:rFonts w:ascii="Times New Roman" w:hAnsi="Times New Roman"/>
          <w:b/>
          <w:sz w:val="20"/>
          <w:szCs w:val="20"/>
        </w:rPr>
        <w:t>Publikácia v časopise SCIENCE</w:t>
      </w:r>
      <w:r w:rsidRPr="00EF2265">
        <w:rPr>
          <w:rFonts w:ascii="Times New Roman" w:hAnsi="Times New Roman"/>
          <w:sz w:val="20"/>
          <w:szCs w:val="20"/>
        </w:rPr>
        <w:t xml:space="preserve">, </w:t>
      </w:r>
      <w:r w:rsidRPr="00EF2265">
        <w:rPr>
          <w:rFonts w:ascii="Times New Roman" w:eastAsia="Times New Roman" w:hAnsi="Times New Roman"/>
          <w:bCs/>
          <w:color w:val="000000"/>
          <w:sz w:val="20"/>
          <w:szCs w:val="20"/>
          <w:lang w:eastAsia="sk-SK"/>
        </w:rPr>
        <w:t>Ing. Tibor Lieskovský, PhD., SvF, za článok Ancient lowland Maya complexity as revealed by airborne laser scanning of northern Guatemala (361, Issue: 6409, Pages: 1355-+, 28.9.2018). Č</w:t>
      </w:r>
      <w:r w:rsidRPr="00EF2265">
        <w:rPr>
          <w:rFonts w:ascii="Times New Roman" w:hAnsi="Times New Roman"/>
          <w:sz w:val="20"/>
          <w:szCs w:val="20"/>
        </w:rPr>
        <w:t>lánok prezentuje výsledky prelomového výskumu mayskej civilizácie založené na výsledkoch laserového scanovania pralesa.</w:t>
      </w:r>
    </w:p>
    <w:p w:rsidR="00F83826" w:rsidRPr="00EF2265" w:rsidRDefault="00F83826" w:rsidP="00E86605">
      <w:pPr>
        <w:jc w:val="left"/>
        <w:rPr>
          <w:rFonts w:ascii="Times New Roman" w:eastAsia="Times New Roman" w:hAnsi="Times New Roman"/>
          <w:bCs/>
          <w:color w:val="000000"/>
          <w:sz w:val="20"/>
          <w:szCs w:val="20"/>
          <w:lang w:eastAsia="sk-SK"/>
        </w:rPr>
      </w:pPr>
    </w:p>
    <w:p w:rsidR="00F83826" w:rsidRPr="00EF2265" w:rsidRDefault="00F83826" w:rsidP="00E86605">
      <w:pPr>
        <w:jc w:val="left"/>
        <w:rPr>
          <w:rFonts w:ascii="Times New Roman" w:hAnsi="Times New Roman"/>
          <w:sz w:val="20"/>
          <w:szCs w:val="20"/>
        </w:rPr>
      </w:pPr>
      <w:r w:rsidRPr="00EF2265">
        <w:rPr>
          <w:rFonts w:ascii="Times New Roman" w:hAnsi="Times New Roman"/>
          <w:b/>
          <w:sz w:val="20"/>
          <w:szCs w:val="20"/>
        </w:rPr>
        <w:t>Publikácia, ktoré vyšla v roku 2018 v časopisoch, ktoré spadajú do 10 % percentilu časopisov podľa impakt faktorov</w:t>
      </w:r>
      <w:r w:rsidRPr="00EF2265">
        <w:rPr>
          <w:rFonts w:ascii="Times New Roman" w:eastAsia="Times New Roman" w:hAnsi="Times New Roman"/>
          <w:bCs/>
          <w:color w:val="000000"/>
          <w:sz w:val="20"/>
          <w:szCs w:val="20"/>
          <w:lang w:eastAsia="sk-SK"/>
        </w:rPr>
        <w:t>,</w:t>
      </w:r>
      <w:r w:rsidRPr="00EF2265">
        <w:rPr>
          <w:rFonts w:ascii="Times New Roman" w:eastAsia="Times New Roman" w:hAnsi="Times New Roman"/>
          <w:b/>
          <w:bCs/>
          <w:color w:val="000000"/>
          <w:sz w:val="20"/>
          <w:szCs w:val="20"/>
          <w:lang w:eastAsia="sk-SK"/>
        </w:rPr>
        <w:t xml:space="preserve"> </w:t>
      </w:r>
      <w:r w:rsidRPr="00EF2265">
        <w:rPr>
          <w:rFonts w:ascii="Times New Roman" w:hAnsi="Times New Roman"/>
          <w:sz w:val="20"/>
          <w:szCs w:val="20"/>
        </w:rPr>
        <w:t xml:space="preserve">Ing. Michal Zalibera, PhD., FCHPT, článok </w:t>
      </w:r>
      <w:r w:rsidRPr="00EF2265">
        <w:rPr>
          <w:rFonts w:ascii="Times New Roman" w:eastAsia="Times New Roman" w:hAnsi="Times New Roman"/>
          <w:color w:val="000000"/>
          <w:sz w:val="20"/>
          <w:szCs w:val="20"/>
          <w:lang w:eastAsia="sk-SK"/>
        </w:rPr>
        <w:t>Atomic-Scale Explanation of O-2 Activation at the Au-TiO2 Interface, (Vol. 140, iss. 51, s. 18082-18092, 12/2018)</w:t>
      </w:r>
      <w:r w:rsidRPr="00EF2265">
        <w:rPr>
          <w:rFonts w:ascii="Times New Roman" w:hAnsi="Times New Roman"/>
          <w:sz w:val="20"/>
          <w:szCs w:val="20"/>
        </w:rPr>
        <w:t>, časopis Journal of the American Chemical Society, IF 14,357.</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b/>
          <w:sz w:val="20"/>
          <w:szCs w:val="20"/>
        </w:rPr>
        <w:t>Publikácia, ktorá bola publikovaná v rokoch 2016 - 2018 a mala najvyšší počet ohlasov podľa SCI</w:t>
      </w:r>
      <w:r w:rsidRPr="00EF2265">
        <w:rPr>
          <w:rFonts w:ascii="Times New Roman" w:hAnsi="Times New Roman"/>
          <w:sz w:val="20"/>
          <w:szCs w:val="20"/>
        </w:rPr>
        <w:t>,</w:t>
      </w:r>
      <w:r w:rsidRPr="00EF2265">
        <w:rPr>
          <w:rFonts w:ascii="Times New Roman" w:hAnsi="Times New Roman"/>
          <w:b/>
          <w:sz w:val="20"/>
          <w:szCs w:val="20"/>
        </w:rPr>
        <w:t xml:space="preserve"> </w:t>
      </w:r>
      <w:r w:rsidRPr="00EF2265">
        <w:rPr>
          <w:rFonts w:ascii="Times New Roman" w:hAnsi="Times New Roman"/>
          <w:sz w:val="20"/>
          <w:szCs w:val="20"/>
        </w:rPr>
        <w:t xml:space="preserve">Ing. Miriama Šimunková, prof. Ing. Marián Valko, DrSc., FCHPT, 68 citácií, článok </w:t>
      </w:r>
      <w:r w:rsidRPr="00EF2265">
        <w:rPr>
          <w:rFonts w:ascii="Times New Roman" w:eastAsia="Times New Roman" w:hAnsi="Times New Roman"/>
          <w:color w:val="000000"/>
          <w:sz w:val="20"/>
          <w:szCs w:val="20"/>
          <w:lang w:eastAsia="sk-SK"/>
        </w:rPr>
        <w:t>Targeting Free Radicals in Oxidative Stress-Related Human Diseases, (Volume: 38, Issue: 7, Pages: 592-607, 7/2017), časopis TRENDS IN PHARMACOLOGICAL SCIENCES.</w:t>
      </w:r>
    </w:p>
    <w:p w:rsidR="00F83826" w:rsidRDefault="00F83826" w:rsidP="00E86605">
      <w:pPr>
        <w:jc w:val="left"/>
        <w:rPr>
          <w:rFonts w:ascii="Times New Roman" w:eastAsia="Times New Roman" w:hAnsi="Times New Roman"/>
          <w:bCs/>
          <w:sz w:val="20"/>
          <w:szCs w:val="20"/>
          <w:lang w:eastAsia="sk-SK"/>
        </w:rPr>
      </w:pPr>
    </w:p>
    <w:p w:rsidR="000F29D6" w:rsidRPr="00EF2265" w:rsidRDefault="000F29D6" w:rsidP="00E86605">
      <w:pPr>
        <w:jc w:val="left"/>
        <w:rPr>
          <w:rFonts w:ascii="Times New Roman" w:eastAsia="Times New Roman" w:hAnsi="Times New Roman"/>
          <w:bCs/>
          <w:sz w:val="20"/>
          <w:szCs w:val="20"/>
          <w:lang w:eastAsia="sk-SK"/>
        </w:rPr>
      </w:pPr>
    </w:p>
    <w:p w:rsidR="00F83826" w:rsidRPr="00EF2265" w:rsidRDefault="00F83826" w:rsidP="00E86605">
      <w:pPr>
        <w:pStyle w:val="Odsekzoznamu"/>
        <w:ind w:left="1068"/>
        <w:rPr>
          <w:rFonts w:ascii="Times New Roman" w:hAnsi="Times New Roman"/>
          <w:sz w:val="20"/>
          <w:szCs w:val="20"/>
        </w:rPr>
      </w:pPr>
    </w:p>
    <w:p w:rsidR="00F83826" w:rsidRPr="000F29D6" w:rsidRDefault="00F83826" w:rsidP="00E86605">
      <w:pPr>
        <w:pStyle w:val="Nadpis3"/>
        <w:keepLines w:val="0"/>
        <w:numPr>
          <w:ilvl w:val="2"/>
          <w:numId w:val="12"/>
        </w:numPr>
        <w:spacing w:before="120" w:after="120" w:line="240" w:lineRule="auto"/>
        <w:ind w:left="0" w:firstLine="0"/>
        <w:rPr>
          <w:rFonts w:ascii="Times New Roman" w:hAnsi="Times New Roman" w:cs="Times New Roman"/>
          <w:color w:val="auto"/>
          <w:sz w:val="20"/>
          <w:szCs w:val="20"/>
        </w:rPr>
      </w:pPr>
      <w:bookmarkStart w:id="194" w:name="_Toc477769464"/>
      <w:bookmarkStart w:id="195" w:name="_Toc4589995"/>
      <w:r w:rsidRPr="000F29D6">
        <w:rPr>
          <w:rFonts w:ascii="Times New Roman" w:hAnsi="Times New Roman" w:cs="Times New Roman"/>
          <w:color w:val="auto"/>
          <w:sz w:val="20"/>
          <w:szCs w:val="20"/>
        </w:rPr>
        <w:t>Cena o umelecké alebo architektonické dielo</w:t>
      </w:r>
      <w:bookmarkEnd w:id="194"/>
      <w:bookmarkEnd w:id="195"/>
    </w:p>
    <w:p w:rsidR="00F83826" w:rsidRPr="00EF2265" w:rsidRDefault="00F83826" w:rsidP="00E86605">
      <w:pPr>
        <w:pStyle w:val="Default"/>
        <w:rPr>
          <w:rFonts w:ascii="Times New Roman" w:hAnsi="Times New Roman" w:cs="Times New Roman"/>
          <w:b/>
          <w:bCs/>
          <w:color w:val="auto"/>
          <w:sz w:val="20"/>
          <w:szCs w:val="20"/>
          <w:lang w:val="sk-SK"/>
        </w:rPr>
      </w:pPr>
    </w:p>
    <w:p w:rsidR="00F83826" w:rsidRPr="00EF2265" w:rsidRDefault="00F83826" w:rsidP="00E86605">
      <w:pPr>
        <w:pStyle w:val="Default"/>
        <w:rPr>
          <w:rFonts w:ascii="Times New Roman" w:hAnsi="Times New Roman" w:cs="Times New Roman"/>
          <w:bCs/>
          <w:color w:val="auto"/>
          <w:sz w:val="20"/>
          <w:szCs w:val="20"/>
          <w:lang w:val="sk-SK"/>
        </w:rPr>
      </w:pPr>
      <w:r w:rsidRPr="00EF2265">
        <w:rPr>
          <w:rFonts w:ascii="Times New Roman" w:hAnsi="Times New Roman" w:cs="Times New Roman"/>
          <w:bCs/>
          <w:color w:val="auto"/>
          <w:sz w:val="20"/>
          <w:szCs w:val="20"/>
          <w:lang w:val="sk-SK"/>
        </w:rPr>
        <w:lastRenderedPageBreak/>
        <w:t>V roku 2016 bola po prvýkrát vyhlásená nová motivačná súťaž pre pracovníkov STU a v roku 2018 pokračuje tretím ročníkom finančne dotovaná cena o:</w:t>
      </w:r>
    </w:p>
    <w:p w:rsidR="00F83826" w:rsidRPr="00EF2265" w:rsidRDefault="00F83826" w:rsidP="00E86605">
      <w:pPr>
        <w:pStyle w:val="Default"/>
        <w:rPr>
          <w:rFonts w:ascii="Times New Roman" w:hAnsi="Times New Roman" w:cs="Times New Roman"/>
          <w:bCs/>
          <w:color w:val="auto"/>
          <w:sz w:val="20"/>
          <w:szCs w:val="20"/>
          <w:lang w:val="sk-SK"/>
        </w:rPr>
      </w:pPr>
    </w:p>
    <w:p w:rsidR="00F83826" w:rsidRPr="00EF2265" w:rsidRDefault="00F83826" w:rsidP="00E86605">
      <w:pPr>
        <w:pStyle w:val="Default"/>
        <w:rPr>
          <w:rFonts w:ascii="Times New Roman" w:hAnsi="Times New Roman" w:cs="Times New Roman"/>
          <w:bCs/>
          <w:color w:val="auto"/>
          <w:sz w:val="20"/>
          <w:szCs w:val="20"/>
          <w:lang w:val="sk-SK"/>
        </w:rPr>
      </w:pPr>
      <w:r w:rsidRPr="00EF2265">
        <w:rPr>
          <w:rFonts w:ascii="Times New Roman" w:eastAsia="Times New Roman" w:hAnsi="Times New Roman" w:cs="Times New Roman"/>
          <w:b/>
          <w:bCs/>
          <w:i/>
          <w:iCs/>
          <w:color w:val="auto"/>
          <w:sz w:val="20"/>
          <w:szCs w:val="20"/>
          <w:lang w:val="sk-SK" w:eastAsia="sk-SK"/>
        </w:rPr>
        <w:t>1. originálne umelecké dielo za rok 2018,</w:t>
      </w:r>
      <w:r w:rsidRPr="00EF2265">
        <w:rPr>
          <w:rFonts w:ascii="Times New Roman" w:eastAsia="Times New Roman" w:hAnsi="Times New Roman" w:cs="Times New Roman"/>
          <w:b/>
          <w:bCs/>
          <w:color w:val="auto"/>
          <w:sz w:val="20"/>
          <w:szCs w:val="20"/>
          <w:lang w:val="sk-SK" w:eastAsia="sk-SK"/>
        </w:rPr>
        <w:br/>
      </w:r>
      <w:r w:rsidRPr="00EF2265">
        <w:rPr>
          <w:rFonts w:ascii="Times New Roman" w:eastAsia="Times New Roman" w:hAnsi="Times New Roman" w:cs="Times New Roman"/>
          <w:b/>
          <w:bCs/>
          <w:i/>
          <w:iCs/>
          <w:color w:val="auto"/>
          <w:sz w:val="20"/>
          <w:szCs w:val="20"/>
          <w:lang w:val="sk-SK" w:eastAsia="sk-SK"/>
        </w:rPr>
        <w:t>2. originálne architektonické dielo za rok 2018</w:t>
      </w:r>
      <w:r w:rsidRPr="00EF2265">
        <w:rPr>
          <w:rFonts w:ascii="Times New Roman" w:hAnsi="Times New Roman" w:cs="Times New Roman"/>
          <w:bCs/>
          <w:color w:val="auto"/>
          <w:sz w:val="20"/>
          <w:szCs w:val="20"/>
          <w:lang w:val="sk-SK"/>
        </w:rPr>
        <w:t>.</w:t>
      </w:r>
    </w:p>
    <w:p w:rsidR="00F83826" w:rsidRPr="00EF2265" w:rsidRDefault="00F83826" w:rsidP="00E86605">
      <w:pPr>
        <w:pStyle w:val="Default"/>
        <w:rPr>
          <w:rFonts w:ascii="Times New Roman" w:hAnsi="Times New Roman" w:cs="Times New Roman"/>
          <w:bCs/>
          <w:color w:val="auto"/>
          <w:sz w:val="20"/>
          <w:szCs w:val="20"/>
          <w:lang w:val="sk-SK"/>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Víťazom v kategórii Originálne umelecké dielo sa stala Mgr. Art. Mgr. Tatiana Lesajová z FA STU s kolekciou Adamantine. Jedná sa o kolekciu šperkov z vysoko lešteného mramoru a mosadze. Adamantine odkazuje na pevnosť, stálosť, silu materiálu, rovnako ako i na vysoký lesk porovnateľný s diamantom. Kolekcia sa vyznačuje čistotou a jednoduchosťou. Všetky šperky sú tvarom minimalistické, ručne vyrobené z bieleho a čierneho mramoru.</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eastAsia="Times New Roman" w:hAnsi="Times New Roman"/>
          <w:bCs/>
          <w:sz w:val="20"/>
          <w:szCs w:val="20"/>
          <w:lang w:eastAsia="sk-SK"/>
        </w:rPr>
      </w:pPr>
      <w:r w:rsidRPr="00EF2265">
        <w:rPr>
          <w:rFonts w:ascii="Times New Roman" w:hAnsi="Times New Roman"/>
          <w:sz w:val="20"/>
          <w:szCs w:val="20"/>
        </w:rPr>
        <w:t xml:space="preserve">Víťazom v kategórii </w:t>
      </w:r>
      <w:r w:rsidRPr="00EF2265">
        <w:rPr>
          <w:rStyle w:val="PsacstrojHTML"/>
          <w:rFonts w:ascii="Times New Roman" w:hAnsi="Times New Roman" w:cs="Times New Roman"/>
        </w:rPr>
        <w:t>Originálne architektonické dielo sa stala Ing. arch. Katarína Fejo, PhD., za Verejný priestor Jama Park. Katarína Fejo je spoluautorka architektonickej úpravy bývalého cyklistického štadióna v Bratislave. Rozloha riešeného územia je 17 655 m2. Návrh nadväzuje na pôvodnú cyklistickú dráhu a horná úroveň je charakteristická vyhliadkovými mólami s aktivitami, športom a urbanizovanou mestskou zeleňou. Dolná úroveň je špecifická živelnou vzrastlou zeleňou, vodnou plochou – jazierkom, prírodným amfiteátrom a priestormi na oddych.</w:t>
      </w:r>
    </w:p>
    <w:p w:rsidR="00F83826" w:rsidRPr="00EF2265" w:rsidRDefault="00F83826" w:rsidP="00E86605">
      <w:pPr>
        <w:jc w:val="left"/>
        <w:rPr>
          <w:rFonts w:ascii="Times New Roman" w:eastAsia="Times New Roman" w:hAnsi="Times New Roman"/>
          <w:bCs/>
          <w:sz w:val="20"/>
          <w:szCs w:val="20"/>
          <w:lang w:eastAsia="sk-SK"/>
        </w:rPr>
      </w:pPr>
    </w:p>
    <w:p w:rsidR="00F83826" w:rsidRPr="000F29D6" w:rsidRDefault="00F83826" w:rsidP="00E86605">
      <w:pPr>
        <w:pStyle w:val="Nadpis3"/>
        <w:keepLines w:val="0"/>
        <w:numPr>
          <w:ilvl w:val="2"/>
          <w:numId w:val="12"/>
        </w:numPr>
        <w:spacing w:before="120" w:after="120" w:line="240" w:lineRule="auto"/>
        <w:ind w:left="0" w:firstLine="0"/>
        <w:rPr>
          <w:rFonts w:ascii="Times New Roman" w:hAnsi="Times New Roman" w:cs="Times New Roman"/>
          <w:color w:val="auto"/>
          <w:sz w:val="20"/>
          <w:szCs w:val="20"/>
        </w:rPr>
      </w:pPr>
      <w:bookmarkStart w:id="196" w:name="_Toc477769465"/>
      <w:bookmarkStart w:id="197" w:name="_Toc4589996"/>
      <w:r w:rsidRPr="000F29D6">
        <w:rPr>
          <w:rFonts w:ascii="Times New Roman" w:hAnsi="Times New Roman" w:cs="Times New Roman"/>
          <w:color w:val="auto"/>
          <w:sz w:val="20"/>
          <w:szCs w:val="20"/>
        </w:rPr>
        <w:t>Postdoktorandské pracovné miesta</w:t>
      </w:r>
      <w:bookmarkEnd w:id="196"/>
      <w:bookmarkEnd w:id="197"/>
    </w:p>
    <w:p w:rsidR="00F83826" w:rsidRPr="00EF2265" w:rsidRDefault="00F83826" w:rsidP="00E86605">
      <w:pPr>
        <w:jc w:val="left"/>
        <w:rPr>
          <w:rFonts w:ascii="Times New Roman" w:hAnsi="Times New Roman"/>
          <w:sz w:val="20"/>
          <w:szCs w:val="20"/>
          <w:lang w:eastAsia="cs-CZ"/>
        </w:rPr>
      </w:pPr>
    </w:p>
    <w:p w:rsidR="00F83826" w:rsidRDefault="00F83826" w:rsidP="00E86605">
      <w:pPr>
        <w:pStyle w:val="Default"/>
        <w:rPr>
          <w:rStyle w:val="Siln"/>
          <w:rFonts w:ascii="Times New Roman" w:hAnsi="Times New Roman" w:cs="Times New Roman"/>
          <w:b w:val="0"/>
          <w:iCs/>
          <w:color w:val="auto"/>
          <w:sz w:val="20"/>
          <w:szCs w:val="20"/>
          <w:lang w:val="sk-SK"/>
        </w:rPr>
      </w:pPr>
      <w:r w:rsidRPr="00B358B6">
        <w:rPr>
          <w:rStyle w:val="Siln"/>
          <w:rFonts w:ascii="Times New Roman" w:hAnsi="Times New Roman" w:cs="Times New Roman"/>
          <w:b w:val="0"/>
          <w:iCs/>
          <w:color w:val="auto"/>
          <w:sz w:val="20"/>
          <w:szCs w:val="20"/>
          <w:lang w:val="sk-SK"/>
        </w:rPr>
        <w:t>Ďalšou významnou podporou mladých vedeckých pracovníkov STU je program začatý v roku 2014, Postdoktorandské pracovné pobyty pre mladých pracovníkov do 35 rokov. V roku 2016 prví piati postdoktorandi úspešne ukončili svoje dvojročné pobyty. Doteraz absolvovalo program 15 postdoktorandov.</w:t>
      </w:r>
    </w:p>
    <w:p w:rsidR="00B358B6" w:rsidRPr="00B358B6" w:rsidRDefault="00B358B6" w:rsidP="00E86605">
      <w:pPr>
        <w:pStyle w:val="Default"/>
        <w:rPr>
          <w:rStyle w:val="Siln"/>
          <w:rFonts w:ascii="Times New Roman" w:hAnsi="Times New Roman" w:cs="Times New Roman"/>
          <w:b w:val="0"/>
          <w:iCs/>
          <w:color w:val="auto"/>
          <w:sz w:val="20"/>
          <w:szCs w:val="20"/>
          <w:lang w:val="sk-SK"/>
        </w:rPr>
      </w:pPr>
    </w:p>
    <w:p w:rsidR="00F83826" w:rsidRPr="00B358B6" w:rsidRDefault="00F83826" w:rsidP="00E86605">
      <w:pPr>
        <w:pStyle w:val="Default"/>
        <w:rPr>
          <w:rStyle w:val="Siln"/>
          <w:rFonts w:ascii="Times New Roman" w:hAnsi="Times New Roman" w:cs="Times New Roman"/>
          <w:b w:val="0"/>
          <w:iCs/>
          <w:color w:val="auto"/>
          <w:sz w:val="20"/>
          <w:szCs w:val="20"/>
          <w:lang w:val="sk-SK"/>
        </w:rPr>
      </w:pPr>
      <w:r w:rsidRPr="00B358B6">
        <w:rPr>
          <w:rStyle w:val="Siln"/>
          <w:rFonts w:ascii="Times New Roman" w:hAnsi="Times New Roman" w:cs="Times New Roman"/>
          <w:b w:val="0"/>
          <w:iCs/>
          <w:color w:val="auto"/>
          <w:sz w:val="20"/>
          <w:szCs w:val="20"/>
          <w:lang w:val="sk-SK"/>
        </w:rPr>
        <w:t>V roku 2018 bola vyhlásená piata výzva na štyri aktuálne témy postdoktorandských pracovných pobytov. Z jedenástich návrhov bolo vybraných týchto 5 návrhov:</w:t>
      </w:r>
    </w:p>
    <w:p w:rsidR="00B358B6" w:rsidRPr="00EF2265" w:rsidRDefault="00B358B6" w:rsidP="00E86605">
      <w:pPr>
        <w:pStyle w:val="Default"/>
        <w:rPr>
          <w:rStyle w:val="Siln"/>
          <w:rFonts w:ascii="Times New Roman" w:hAnsi="Times New Roman" w:cs="Times New Roman"/>
          <w:b w:val="0"/>
          <w:iCs/>
          <w:color w:val="auto"/>
          <w:sz w:val="20"/>
          <w:szCs w:val="20"/>
          <w:lang w:val="sk-SK"/>
        </w:rPr>
      </w:pPr>
    </w:p>
    <w:p w:rsidR="00F83826" w:rsidRPr="00EF2265" w:rsidRDefault="00F83826" w:rsidP="00E86605">
      <w:pPr>
        <w:pStyle w:val="Default"/>
        <w:rPr>
          <w:rStyle w:val="Siln"/>
          <w:rFonts w:ascii="Times New Roman" w:hAnsi="Times New Roman" w:cs="Times New Roman"/>
          <w:b w:val="0"/>
          <w:iCs/>
          <w:color w:val="auto"/>
          <w:sz w:val="20"/>
          <w:szCs w:val="20"/>
          <w:lang w:val="sk-SK"/>
        </w:rPr>
      </w:pPr>
      <w:r w:rsidRPr="00EF2265">
        <w:rPr>
          <w:rStyle w:val="Siln"/>
          <w:rFonts w:ascii="Times New Roman" w:hAnsi="Times New Roman" w:cs="Times New Roman"/>
          <w:iCs/>
          <w:color w:val="auto"/>
          <w:sz w:val="20"/>
          <w:szCs w:val="20"/>
          <w:lang w:val="sk-SK"/>
        </w:rPr>
        <w:t>1. </w:t>
      </w:r>
      <w:r w:rsidRPr="00EF2265">
        <w:rPr>
          <w:rFonts w:ascii="Times New Roman" w:eastAsia="Times New Roman" w:hAnsi="Times New Roman" w:cs="Times New Roman"/>
          <w:b/>
          <w:sz w:val="20"/>
          <w:szCs w:val="20"/>
          <w:lang w:val="sk-SK"/>
        </w:rPr>
        <w:t>Inteligentný systém monitorovania zdravotného stavu pacienta s využitím „Internetu vecí“</w:t>
      </w:r>
      <w:r w:rsidRPr="00EF2265">
        <w:rPr>
          <w:rStyle w:val="Siln"/>
          <w:rFonts w:ascii="Times New Roman" w:hAnsi="Times New Roman" w:cs="Times New Roman"/>
          <w:iCs/>
          <w:color w:val="auto"/>
          <w:sz w:val="20"/>
          <w:szCs w:val="20"/>
          <w:lang w:val="sk-SK"/>
        </w:rPr>
        <w:t xml:space="preserve"> (</w:t>
      </w:r>
      <w:r w:rsidRPr="00EF2265">
        <w:rPr>
          <w:rFonts w:ascii="Times New Roman" w:eastAsia="Times New Roman" w:hAnsi="Times New Roman" w:cs="Times New Roman"/>
          <w:sz w:val="20"/>
          <w:szCs w:val="20"/>
          <w:lang w:val="sk-SK"/>
        </w:rPr>
        <w:t>prof. Ing. František Uherek, PhD.</w:t>
      </w:r>
      <w:r w:rsidRPr="00EF2265">
        <w:rPr>
          <w:rStyle w:val="Siln"/>
          <w:rFonts w:ascii="Times New Roman" w:hAnsi="Times New Roman" w:cs="Times New Roman"/>
          <w:iCs/>
          <w:color w:val="auto"/>
          <w:sz w:val="20"/>
          <w:szCs w:val="20"/>
          <w:lang w:val="sk-SK"/>
        </w:rPr>
        <w:t xml:space="preserve">, FEI, postdoktorand: </w:t>
      </w:r>
      <w:r w:rsidRPr="00EF2265">
        <w:rPr>
          <w:rFonts w:ascii="Times New Roman" w:eastAsia="Times New Roman" w:hAnsi="Times New Roman" w:cs="Times New Roman"/>
          <w:sz w:val="20"/>
          <w:szCs w:val="20"/>
          <w:lang w:val="sk-SK"/>
        </w:rPr>
        <w:t>Ing. Martin Jagelka, PhD.</w:t>
      </w:r>
      <w:r w:rsidRPr="00EF2265">
        <w:rPr>
          <w:rStyle w:val="Siln"/>
          <w:rFonts w:ascii="Times New Roman" w:hAnsi="Times New Roman" w:cs="Times New Roman"/>
          <w:iCs/>
          <w:color w:val="auto"/>
          <w:sz w:val="20"/>
          <w:szCs w:val="20"/>
          <w:lang w:val="sk-SK"/>
        </w:rPr>
        <w:t>)</w:t>
      </w:r>
    </w:p>
    <w:p w:rsidR="00F83826" w:rsidRPr="00EF2265" w:rsidRDefault="00F83826" w:rsidP="00E86605">
      <w:pPr>
        <w:pStyle w:val="Default"/>
        <w:rPr>
          <w:rStyle w:val="Siln"/>
          <w:rFonts w:ascii="Times New Roman" w:hAnsi="Times New Roman" w:cs="Times New Roman"/>
          <w:b w:val="0"/>
          <w:iCs/>
          <w:color w:val="auto"/>
          <w:sz w:val="20"/>
          <w:szCs w:val="20"/>
          <w:lang w:val="sk-SK"/>
        </w:rPr>
      </w:pPr>
      <w:r w:rsidRPr="00EF2265">
        <w:rPr>
          <w:rStyle w:val="Siln"/>
          <w:rFonts w:ascii="Times New Roman" w:hAnsi="Times New Roman" w:cs="Times New Roman"/>
          <w:iCs/>
          <w:color w:val="auto"/>
          <w:sz w:val="20"/>
          <w:szCs w:val="20"/>
          <w:lang w:val="sk-SK"/>
        </w:rPr>
        <w:t>2. </w:t>
      </w:r>
      <w:r w:rsidRPr="00EF2265">
        <w:rPr>
          <w:rFonts w:ascii="Times New Roman" w:eastAsia="Times New Roman" w:hAnsi="Times New Roman" w:cs="Times New Roman"/>
          <w:b/>
          <w:sz w:val="20"/>
          <w:szCs w:val="20"/>
          <w:lang w:val="sk-SK"/>
        </w:rPr>
        <w:t>Elektrónová štruktúra biologicky aktívnych komplexov prechodných kovov</w:t>
      </w:r>
      <w:r w:rsidRPr="00EF2265">
        <w:rPr>
          <w:rStyle w:val="Siln"/>
          <w:rFonts w:ascii="Times New Roman" w:hAnsi="Times New Roman" w:cs="Times New Roman"/>
          <w:iCs/>
          <w:color w:val="auto"/>
          <w:sz w:val="20"/>
          <w:szCs w:val="20"/>
          <w:lang w:val="sk-SK"/>
        </w:rPr>
        <w:t xml:space="preserve"> (</w:t>
      </w:r>
      <w:r w:rsidRPr="00EF2265">
        <w:rPr>
          <w:rFonts w:ascii="Times New Roman" w:eastAsia="Times New Roman" w:hAnsi="Times New Roman" w:cs="Times New Roman"/>
          <w:sz w:val="20"/>
          <w:szCs w:val="20"/>
          <w:lang w:val="sk-SK"/>
        </w:rPr>
        <w:t>prof. Ing. Marián Valko, DrSc.</w:t>
      </w:r>
      <w:r w:rsidRPr="00EF2265">
        <w:rPr>
          <w:rStyle w:val="Siln"/>
          <w:rFonts w:ascii="Times New Roman" w:hAnsi="Times New Roman" w:cs="Times New Roman"/>
          <w:iCs/>
          <w:color w:val="auto"/>
          <w:sz w:val="20"/>
          <w:szCs w:val="20"/>
          <w:lang w:val="sk-SK"/>
        </w:rPr>
        <w:t xml:space="preserve">, FCHPT, postdoktorand: </w:t>
      </w:r>
      <w:r w:rsidRPr="00EF2265">
        <w:rPr>
          <w:rFonts w:ascii="Times New Roman" w:eastAsia="Times New Roman" w:hAnsi="Times New Roman" w:cs="Times New Roman"/>
          <w:sz w:val="20"/>
          <w:szCs w:val="20"/>
          <w:lang w:val="sk-SK"/>
        </w:rPr>
        <w:t>Ing. Ingrid Puškárová, PhD.</w:t>
      </w:r>
      <w:r w:rsidRPr="00EF2265">
        <w:rPr>
          <w:rStyle w:val="Siln"/>
          <w:rFonts w:ascii="Times New Roman" w:hAnsi="Times New Roman" w:cs="Times New Roman"/>
          <w:iCs/>
          <w:color w:val="auto"/>
          <w:sz w:val="20"/>
          <w:szCs w:val="20"/>
          <w:lang w:val="sk-SK"/>
        </w:rPr>
        <w:t>)</w:t>
      </w:r>
    </w:p>
    <w:p w:rsidR="00F83826" w:rsidRPr="00EF2265" w:rsidRDefault="00F83826" w:rsidP="00E86605">
      <w:pPr>
        <w:jc w:val="left"/>
        <w:rPr>
          <w:rStyle w:val="Siln"/>
          <w:rFonts w:ascii="Times New Roman" w:eastAsia="Times New Roman" w:hAnsi="Times New Roman"/>
          <w:b w:val="0"/>
          <w:bCs w:val="0"/>
          <w:color w:val="000000"/>
          <w:sz w:val="20"/>
          <w:szCs w:val="20"/>
        </w:rPr>
      </w:pPr>
      <w:r w:rsidRPr="00EF2265">
        <w:rPr>
          <w:rStyle w:val="Siln"/>
          <w:rFonts w:ascii="Times New Roman" w:hAnsi="Times New Roman"/>
          <w:iCs/>
          <w:sz w:val="20"/>
          <w:szCs w:val="20"/>
        </w:rPr>
        <w:t>3. </w:t>
      </w:r>
      <w:r w:rsidRPr="00EF2265">
        <w:rPr>
          <w:rFonts w:ascii="Times New Roman" w:eastAsia="Times New Roman" w:hAnsi="Times New Roman"/>
          <w:b/>
          <w:color w:val="000000"/>
          <w:sz w:val="20"/>
          <w:szCs w:val="20"/>
        </w:rPr>
        <w:t>Nízkoexergetické sálavé vykurovacie a chladiace systémy pre budovy s takmer nulovou potrebou energie</w:t>
      </w:r>
      <w:r w:rsidRPr="00EF2265">
        <w:rPr>
          <w:rStyle w:val="Siln"/>
          <w:rFonts w:ascii="Times New Roman" w:hAnsi="Times New Roman"/>
          <w:iCs/>
          <w:sz w:val="20"/>
          <w:szCs w:val="20"/>
        </w:rPr>
        <w:t xml:space="preserve"> (</w:t>
      </w:r>
      <w:r w:rsidRPr="00EF2265">
        <w:rPr>
          <w:rFonts w:ascii="Times New Roman" w:eastAsia="Times New Roman" w:hAnsi="Times New Roman"/>
          <w:color w:val="000000"/>
          <w:sz w:val="20"/>
          <w:szCs w:val="20"/>
        </w:rPr>
        <w:t>prof. Ing. Dušan Petráš, PhD., doc. Ing. Michal Krajčík, PhD.</w:t>
      </w:r>
      <w:r w:rsidRPr="00EF2265">
        <w:rPr>
          <w:rStyle w:val="Siln"/>
          <w:rFonts w:ascii="Times New Roman" w:hAnsi="Times New Roman"/>
          <w:iCs/>
          <w:sz w:val="20"/>
          <w:szCs w:val="20"/>
        </w:rPr>
        <w:t xml:space="preserve">, SvF postdoktorand: </w:t>
      </w:r>
      <w:r w:rsidRPr="00EF2265">
        <w:rPr>
          <w:rFonts w:ascii="Times New Roman" w:eastAsia="Times New Roman" w:hAnsi="Times New Roman"/>
          <w:color w:val="000000"/>
          <w:sz w:val="20"/>
          <w:szCs w:val="20"/>
        </w:rPr>
        <w:t>Ing. Martin Šimko, PhD.</w:t>
      </w:r>
      <w:r w:rsidRPr="00EF2265">
        <w:rPr>
          <w:rStyle w:val="Siln"/>
          <w:rFonts w:ascii="Times New Roman" w:hAnsi="Times New Roman"/>
          <w:iCs/>
          <w:sz w:val="20"/>
          <w:szCs w:val="20"/>
        </w:rPr>
        <w:t>)</w:t>
      </w:r>
    </w:p>
    <w:p w:rsidR="00F83826" w:rsidRPr="00EF2265" w:rsidRDefault="00F83826" w:rsidP="00E86605">
      <w:pPr>
        <w:pStyle w:val="Default"/>
        <w:rPr>
          <w:rStyle w:val="Siln"/>
          <w:rFonts w:ascii="Times New Roman" w:hAnsi="Times New Roman" w:cs="Times New Roman"/>
          <w:b w:val="0"/>
          <w:iCs/>
          <w:color w:val="auto"/>
          <w:sz w:val="20"/>
          <w:szCs w:val="20"/>
          <w:lang w:val="sk-SK"/>
        </w:rPr>
      </w:pPr>
      <w:r w:rsidRPr="00EF2265">
        <w:rPr>
          <w:rStyle w:val="Siln"/>
          <w:rFonts w:ascii="Times New Roman" w:hAnsi="Times New Roman" w:cs="Times New Roman"/>
          <w:iCs/>
          <w:color w:val="auto"/>
          <w:sz w:val="20"/>
          <w:szCs w:val="20"/>
          <w:lang w:val="sk-SK"/>
        </w:rPr>
        <w:t>4. </w:t>
      </w:r>
      <w:r w:rsidRPr="00EF2265">
        <w:rPr>
          <w:rFonts w:ascii="Times New Roman" w:eastAsia="Times New Roman" w:hAnsi="Times New Roman" w:cs="Times New Roman"/>
          <w:b/>
          <w:sz w:val="20"/>
          <w:szCs w:val="20"/>
          <w:lang w:val="sk-SK"/>
        </w:rPr>
        <w:t>Phase2phase-platforma na výpočet mechanickej stability kryštálov z prvých princípov</w:t>
      </w:r>
      <w:r w:rsidRPr="00EF2265">
        <w:rPr>
          <w:rStyle w:val="Siln"/>
          <w:rFonts w:ascii="Times New Roman" w:hAnsi="Times New Roman" w:cs="Times New Roman"/>
          <w:iCs/>
          <w:color w:val="auto"/>
          <w:sz w:val="20"/>
          <w:szCs w:val="20"/>
          <w:lang w:val="sk-SK"/>
        </w:rPr>
        <w:t xml:space="preserve"> (</w:t>
      </w:r>
      <w:r w:rsidRPr="00EF2265">
        <w:rPr>
          <w:rFonts w:ascii="Times New Roman" w:eastAsia="Times New Roman" w:hAnsi="Times New Roman" w:cs="Times New Roman"/>
          <w:sz w:val="20"/>
          <w:szCs w:val="20"/>
          <w:lang w:val="sk-SK"/>
        </w:rPr>
        <w:t>doc. Mgr. Mariana Derzsi, PhD.</w:t>
      </w:r>
      <w:r w:rsidRPr="00EF2265">
        <w:rPr>
          <w:rStyle w:val="Siln"/>
          <w:rFonts w:ascii="Times New Roman" w:hAnsi="Times New Roman" w:cs="Times New Roman"/>
          <w:iCs/>
          <w:color w:val="auto"/>
          <w:sz w:val="20"/>
          <w:szCs w:val="20"/>
          <w:lang w:val="sk-SK"/>
        </w:rPr>
        <w:t xml:space="preserve">, MTF, postdoktorand: </w:t>
      </w:r>
      <w:r w:rsidRPr="00EF2265">
        <w:rPr>
          <w:rFonts w:ascii="Times New Roman" w:eastAsia="Times New Roman" w:hAnsi="Times New Roman" w:cs="Times New Roman"/>
          <w:sz w:val="20"/>
          <w:szCs w:val="20"/>
          <w:lang w:val="sk-SK"/>
        </w:rPr>
        <w:t>Dr. Anupam Neogi</w:t>
      </w:r>
      <w:r w:rsidRPr="00EF2265">
        <w:rPr>
          <w:rStyle w:val="Siln"/>
          <w:rFonts w:ascii="Times New Roman" w:hAnsi="Times New Roman" w:cs="Times New Roman"/>
          <w:iCs/>
          <w:color w:val="auto"/>
          <w:sz w:val="20"/>
          <w:szCs w:val="20"/>
          <w:lang w:val="sk-SK"/>
        </w:rPr>
        <w:t>)</w:t>
      </w:r>
    </w:p>
    <w:p w:rsidR="00F83826" w:rsidRPr="00EF2265" w:rsidRDefault="00F83826" w:rsidP="00E86605">
      <w:pPr>
        <w:pStyle w:val="Default"/>
        <w:rPr>
          <w:rStyle w:val="Siln"/>
          <w:rFonts w:ascii="Times New Roman" w:hAnsi="Times New Roman" w:cs="Times New Roman"/>
          <w:b w:val="0"/>
          <w:iCs/>
          <w:color w:val="auto"/>
          <w:sz w:val="20"/>
          <w:szCs w:val="20"/>
          <w:lang w:val="sk-SK"/>
        </w:rPr>
      </w:pPr>
      <w:r w:rsidRPr="00EF2265">
        <w:rPr>
          <w:rStyle w:val="Siln"/>
          <w:rFonts w:ascii="Times New Roman" w:hAnsi="Times New Roman" w:cs="Times New Roman"/>
          <w:iCs/>
          <w:color w:val="auto"/>
          <w:sz w:val="20"/>
          <w:szCs w:val="20"/>
          <w:lang w:val="sk-SK"/>
        </w:rPr>
        <w:t>5. </w:t>
      </w:r>
      <w:r w:rsidRPr="00EF2265">
        <w:rPr>
          <w:rFonts w:ascii="Times New Roman" w:eastAsia="Times New Roman" w:hAnsi="Times New Roman" w:cs="Times New Roman"/>
          <w:b/>
          <w:sz w:val="20"/>
          <w:szCs w:val="20"/>
          <w:lang w:val="sk-SK"/>
        </w:rPr>
        <w:t>Monitoring liečiv, drog a mikropolymérov v životnom prostredí na Slovensku a ich účinný spôsob odstránenia</w:t>
      </w:r>
      <w:r w:rsidRPr="00EF2265">
        <w:rPr>
          <w:rStyle w:val="Siln"/>
          <w:rFonts w:ascii="Times New Roman" w:hAnsi="Times New Roman" w:cs="Times New Roman"/>
          <w:iCs/>
          <w:color w:val="auto"/>
          <w:sz w:val="20"/>
          <w:szCs w:val="20"/>
          <w:lang w:val="sk-SK"/>
        </w:rPr>
        <w:t xml:space="preserve"> (</w:t>
      </w:r>
      <w:r w:rsidRPr="00EF2265">
        <w:rPr>
          <w:rFonts w:ascii="Times New Roman" w:eastAsia="Times New Roman" w:hAnsi="Times New Roman" w:cs="Times New Roman"/>
          <w:sz w:val="20"/>
          <w:szCs w:val="20"/>
          <w:lang w:val="sk-SK"/>
        </w:rPr>
        <w:t>doc. Ing. Tomáš Mackuľák, PhD.</w:t>
      </w:r>
      <w:r w:rsidRPr="00EF2265">
        <w:rPr>
          <w:rStyle w:val="Siln"/>
          <w:rFonts w:ascii="Times New Roman" w:hAnsi="Times New Roman" w:cs="Times New Roman"/>
          <w:iCs/>
          <w:color w:val="auto"/>
          <w:sz w:val="20"/>
          <w:szCs w:val="20"/>
          <w:lang w:val="sk-SK"/>
        </w:rPr>
        <w:t xml:space="preserve">, FCHPT, postdoktorand: </w:t>
      </w:r>
      <w:r w:rsidRPr="00EF2265">
        <w:rPr>
          <w:rFonts w:ascii="Times New Roman" w:eastAsia="Times New Roman" w:hAnsi="Times New Roman" w:cs="Times New Roman"/>
          <w:sz w:val="20"/>
          <w:szCs w:val="20"/>
          <w:lang w:val="sk-SK"/>
        </w:rPr>
        <w:t>Ing. Marianna Czölderová, PhD.</w:t>
      </w:r>
      <w:r w:rsidRPr="00EF2265">
        <w:rPr>
          <w:rStyle w:val="Siln"/>
          <w:rFonts w:ascii="Times New Roman" w:hAnsi="Times New Roman" w:cs="Times New Roman"/>
          <w:iCs/>
          <w:color w:val="auto"/>
          <w:sz w:val="20"/>
          <w:szCs w:val="20"/>
          <w:lang w:val="sk-SK"/>
        </w:rPr>
        <w:t>)</w:t>
      </w:r>
    </w:p>
    <w:p w:rsidR="00012FC2" w:rsidRPr="00EF2265" w:rsidRDefault="00012FC2"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p>
    <w:p w:rsidR="00F83826" w:rsidRPr="00EF2265" w:rsidRDefault="00F83826" w:rsidP="00E86605">
      <w:pPr>
        <w:pStyle w:val="Nadpis2"/>
        <w:keepLines w:val="0"/>
        <w:numPr>
          <w:ilvl w:val="1"/>
          <w:numId w:val="29"/>
        </w:numPr>
        <w:tabs>
          <w:tab w:val="clear" w:pos="567"/>
        </w:tabs>
        <w:spacing w:before="240" w:after="60"/>
        <w:rPr>
          <w:rFonts w:ascii="Times New Roman" w:hAnsi="Times New Roman" w:cs="Times New Roman"/>
          <w:i/>
          <w:sz w:val="20"/>
          <w:szCs w:val="20"/>
        </w:rPr>
      </w:pPr>
      <w:bookmarkStart w:id="198" w:name="_Toc477769466"/>
      <w:r w:rsidRPr="00EF2265">
        <w:rPr>
          <w:rFonts w:ascii="Times New Roman" w:hAnsi="Times New Roman" w:cs="Times New Roman"/>
          <w:sz w:val="20"/>
          <w:szCs w:val="20"/>
        </w:rPr>
        <w:t xml:space="preserve"> </w:t>
      </w:r>
      <w:bookmarkStart w:id="199" w:name="_Toc4589997"/>
      <w:r w:rsidRPr="00EF2265">
        <w:rPr>
          <w:rFonts w:ascii="Times New Roman" w:hAnsi="Times New Roman" w:cs="Times New Roman"/>
          <w:sz w:val="20"/>
          <w:szCs w:val="20"/>
        </w:rPr>
        <w:t>Ochrana priemyselného vlastníctva a využitie výsledkov výskumu v praxi</w:t>
      </w:r>
      <w:bookmarkStart w:id="200" w:name="_Toc477769467"/>
      <w:bookmarkEnd w:id="198"/>
      <w:bookmarkEnd w:id="199"/>
    </w:p>
    <w:p w:rsidR="00F83826" w:rsidRPr="00EF2265" w:rsidRDefault="00F83826" w:rsidP="00E86605">
      <w:pPr>
        <w:pStyle w:val="Bezriadkovania"/>
        <w:rPr>
          <w:rFonts w:ascii="Times New Roman" w:hAnsi="Times New Roman" w:cs="Times New Roman"/>
          <w:b/>
          <w:sz w:val="20"/>
          <w:szCs w:val="20"/>
        </w:rPr>
      </w:pPr>
    </w:p>
    <w:p w:rsidR="00F83826" w:rsidRPr="000F29D6" w:rsidRDefault="00F83826" w:rsidP="00E86605">
      <w:pPr>
        <w:pStyle w:val="Nadpis3"/>
        <w:keepLines w:val="0"/>
        <w:numPr>
          <w:ilvl w:val="2"/>
          <w:numId w:val="29"/>
        </w:numPr>
        <w:spacing w:before="240" w:after="60" w:line="240" w:lineRule="auto"/>
        <w:rPr>
          <w:rFonts w:ascii="Times New Roman" w:hAnsi="Times New Roman" w:cs="Times New Roman"/>
          <w:color w:val="auto"/>
          <w:sz w:val="20"/>
          <w:szCs w:val="20"/>
        </w:rPr>
      </w:pPr>
      <w:bookmarkStart w:id="201" w:name="_Toc4589998"/>
      <w:r w:rsidRPr="000F29D6">
        <w:rPr>
          <w:rFonts w:ascii="Times New Roman" w:hAnsi="Times New Roman" w:cs="Times New Roman"/>
          <w:color w:val="auto"/>
          <w:sz w:val="20"/>
          <w:szCs w:val="20"/>
        </w:rPr>
        <w:t>Kancelária spolupráce s praxou</w:t>
      </w:r>
      <w:bookmarkEnd w:id="200"/>
      <w:bookmarkEnd w:id="201"/>
    </w:p>
    <w:p w:rsidR="00F83826" w:rsidRPr="00EF2265" w:rsidRDefault="00F83826" w:rsidP="00E86605">
      <w:pPr>
        <w:pStyle w:val="Bezriadkovania"/>
        <w:rPr>
          <w:rFonts w:ascii="Times New Roman" w:hAnsi="Times New Roman" w:cs="Times New Roman"/>
          <w:sz w:val="20"/>
          <w:szCs w:val="20"/>
          <w:highlight w:val="yellow"/>
        </w:rPr>
      </w:pP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Kancelária spolupráce s praxou (KSP) zabezpečuje ochranu priemyselného vlastníctva na STU v súlade so smernicou o Ochrane a správe práv priemyselného vlastníctva na STU. KSP je organizačnou zložkou špecializovaného univerzitného pracoviska Know-how centrum STU. KSP poskytuje pôvodcom predmetov priemyselného vlastníctva odborné poradenstvo v oblasti ochrany priemyselného vlastníctva, podávanie prihlášok na Úrade priemyselného vlastníctva SR, propagáciu výsledkov výskumu a vývoja uplatniteľných v praxi, vyhľadávanie a rokovania s partnermi z priemyslu, atď.</w:t>
      </w: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 xml:space="preserve"> </w:t>
      </w: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V roku 2018 bolo KSP doručených 43 Oznámení pôvodcu o vytvorení predmetu priemyselného vlastníctva</w:t>
      </w:r>
      <w:r w:rsidRPr="00EF2265">
        <w:rPr>
          <w:rFonts w:ascii="Times New Roman" w:hAnsi="Times New Roman" w:cs="Times New Roman"/>
          <w:b/>
          <w:sz w:val="20"/>
          <w:szCs w:val="20"/>
        </w:rPr>
        <w:t xml:space="preserve"> </w:t>
      </w:r>
      <w:r w:rsidRPr="00EF2265">
        <w:rPr>
          <w:rFonts w:ascii="Times New Roman" w:hAnsi="Times New Roman" w:cs="Times New Roman"/>
          <w:sz w:val="20"/>
          <w:szCs w:val="20"/>
        </w:rPr>
        <w:t>a 4 návrhy na podanie prihlášky ochrannej známky. Počet podaných patentových prihlášok na Úrad priemyselného vlastníctva SR v roku 2018 bol 29. Počet udelených patentov bol 8. Počet podaných prihlášok úžitkových vzorov na Úrad priemyselného vlastníctva SR v roku 2018 bol 41. Počet zapísaných úžitkových vzorov bol 14. Bola podaná aj 1 PCT prihláška a 2 prihlášky ochranných známok.</w:t>
      </w:r>
    </w:p>
    <w:p w:rsidR="00F83826" w:rsidRPr="00EF2265" w:rsidRDefault="00F83826" w:rsidP="00E86605">
      <w:pPr>
        <w:pStyle w:val="Bezriadkovania"/>
        <w:rPr>
          <w:rFonts w:ascii="Times New Roman" w:hAnsi="Times New Roman" w:cs="Times New Roman"/>
          <w:sz w:val="20"/>
          <w:szCs w:val="20"/>
        </w:rPr>
      </w:pP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Naďalej prebiehali aktivity vyplývajúce zo Zmluvy o združení a vytvorení Národného centra transferu technológií SR so zmluvnými stranami CVTI SR, STU, SAV, TUKE, TUZVO, UK, UPJŠ, ŽU, SPU v Nitre.</w:t>
      </w:r>
    </w:p>
    <w:p w:rsidR="00F83826" w:rsidRPr="00EF2265" w:rsidRDefault="00F83826" w:rsidP="00E86605">
      <w:pPr>
        <w:pStyle w:val="Bezriadkovania"/>
        <w:rPr>
          <w:rFonts w:ascii="Times New Roman" w:hAnsi="Times New Roman" w:cs="Times New Roman"/>
          <w:sz w:val="20"/>
          <w:szCs w:val="20"/>
        </w:rPr>
      </w:pP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Dňa 10.10.2018 sa uskutočnila v CVTI SR konferencia „Transfer technológií na Slovensku a v zahraničí 2018“, na ktorej KSP mala svoj príspevok v rámci programu konferencie a taktiež prezentovala v plagátovej sekcii technológiu – Granu</w:t>
      </w:r>
      <w:r w:rsidR="002A513C" w:rsidRPr="00EF2265">
        <w:rPr>
          <w:rFonts w:ascii="Times New Roman" w:hAnsi="Times New Roman" w:cs="Times New Roman"/>
          <w:sz w:val="20"/>
          <w:szCs w:val="20"/>
        </w:rPr>
        <w:t xml:space="preserve">látor partikulárneho materiálu </w:t>
      </w:r>
      <w:r w:rsidRPr="00EF2265">
        <w:rPr>
          <w:rFonts w:ascii="Times New Roman" w:hAnsi="Times New Roman" w:cs="Times New Roman"/>
          <w:sz w:val="20"/>
          <w:szCs w:val="20"/>
        </w:rPr>
        <w:t>s plochou matricou.</w:t>
      </w:r>
    </w:p>
    <w:p w:rsidR="00F83826" w:rsidRPr="00EF2265" w:rsidRDefault="00F83826" w:rsidP="00E86605">
      <w:pPr>
        <w:pStyle w:val="Bezriadkovania"/>
        <w:rPr>
          <w:rFonts w:ascii="Times New Roman" w:hAnsi="Times New Roman" w:cs="Times New Roman"/>
          <w:sz w:val="20"/>
          <w:szCs w:val="20"/>
        </w:rPr>
      </w:pP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b/>
          <w:sz w:val="20"/>
          <w:szCs w:val="20"/>
        </w:rPr>
        <w:t xml:space="preserve">Od augusta 2018 funguje na STU elektronické podávanie prihlášok na Úrad priemyselného vlastníctva SR vrátane kompletnej elektronickej komunikácie. </w:t>
      </w:r>
      <w:r w:rsidRPr="00EF2265">
        <w:rPr>
          <w:rFonts w:ascii="Times New Roman" w:hAnsi="Times New Roman" w:cs="Times New Roman"/>
          <w:sz w:val="20"/>
          <w:szCs w:val="20"/>
        </w:rPr>
        <w:t>Hlavnými výhodami elektronického podávania je bezpečnosť, keďže podania sú podpisované zaručeným elektronickým podpisom vytvoreným prostredníctvom kvalifikovaného certifikátu, efektívnosť a najmä zníženie poplatkov.</w:t>
      </w:r>
    </w:p>
    <w:p w:rsidR="00F83826" w:rsidRPr="00EF2265" w:rsidRDefault="00F83826" w:rsidP="00E86605">
      <w:pPr>
        <w:pStyle w:val="Bezriadkovania"/>
        <w:rPr>
          <w:rFonts w:ascii="Times New Roman" w:hAnsi="Times New Roman" w:cs="Times New Roman"/>
          <w:sz w:val="20"/>
          <w:szCs w:val="20"/>
        </w:rPr>
      </w:pP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 xml:space="preserve">V roku 2018 boli zapísané v registroch Úradu priemyselného vlastníctva SR nasledovné patenty (8) a úžitkové vzory (14) vo vlastníctve STU: </w:t>
      </w:r>
    </w:p>
    <w:p w:rsidR="00F83826" w:rsidRPr="00EF2265" w:rsidRDefault="00F83826" w:rsidP="00E86605">
      <w:pPr>
        <w:pStyle w:val="Bezriadkovania"/>
        <w:rPr>
          <w:rFonts w:ascii="Times New Roman" w:hAnsi="Times New Roman" w:cs="Times New Roman"/>
          <w:sz w:val="20"/>
          <w:szCs w:val="20"/>
        </w:rPr>
      </w:pPr>
    </w:p>
    <w:p w:rsidR="00F83826" w:rsidRPr="00EF2265" w:rsidRDefault="00F83826" w:rsidP="00E86605">
      <w:pPr>
        <w:pStyle w:val="Bezriadkovania"/>
        <w:numPr>
          <w:ilvl w:val="0"/>
          <w:numId w:val="15"/>
        </w:numPr>
        <w:rPr>
          <w:rFonts w:ascii="Times New Roman" w:hAnsi="Times New Roman" w:cs="Times New Roman"/>
          <w:sz w:val="20"/>
          <w:szCs w:val="20"/>
        </w:rPr>
      </w:pPr>
      <w:r w:rsidRPr="00EF2265">
        <w:rPr>
          <w:rFonts w:ascii="Times New Roman" w:hAnsi="Times New Roman" w:cs="Times New Roman"/>
          <w:b/>
          <w:sz w:val="20"/>
          <w:szCs w:val="20"/>
        </w:rPr>
        <w:t>Patent č. 288532</w:t>
      </w:r>
      <w:r w:rsidRPr="00EF2265">
        <w:rPr>
          <w:rFonts w:ascii="Times New Roman" w:hAnsi="Times New Roman" w:cs="Times New Roman"/>
          <w:sz w:val="20"/>
          <w:szCs w:val="20"/>
        </w:rPr>
        <w:t>, Spôsob načítania obrazového kódu v priemyselnom procese a systém na jeho vykonávanie, pôvodcovia: doc. Ing. František Duchoň, PhD.; Ing. Martin Dekan, PhD.; Ing. Michal Tölgyessy, PhD.; Ing. Peter Pásztó, PhD.</w:t>
      </w:r>
    </w:p>
    <w:p w:rsidR="00F83826" w:rsidRPr="00EF2265" w:rsidRDefault="00F83826" w:rsidP="00E86605">
      <w:pPr>
        <w:pStyle w:val="Bezriadkovania"/>
        <w:numPr>
          <w:ilvl w:val="0"/>
          <w:numId w:val="15"/>
        </w:numPr>
        <w:rPr>
          <w:rFonts w:ascii="Times New Roman" w:hAnsi="Times New Roman" w:cs="Times New Roman"/>
          <w:sz w:val="20"/>
          <w:szCs w:val="20"/>
        </w:rPr>
      </w:pPr>
      <w:r w:rsidRPr="00EF2265">
        <w:rPr>
          <w:rFonts w:ascii="Times New Roman" w:hAnsi="Times New Roman" w:cs="Times New Roman"/>
          <w:b/>
          <w:sz w:val="20"/>
          <w:szCs w:val="20"/>
        </w:rPr>
        <w:t>Patent č. 288539</w:t>
      </w:r>
      <w:r w:rsidRPr="00EF2265">
        <w:rPr>
          <w:rFonts w:ascii="Times New Roman" w:hAnsi="Times New Roman" w:cs="Times New Roman"/>
          <w:sz w:val="20"/>
          <w:szCs w:val="20"/>
        </w:rPr>
        <w:t>, Merací prípravok na meranie geometrických parametrov osovosymetrických rotačných súčiastok z tenkých plechov v závislosti od plošnej anizotropie materiálu a spôsob merania, pôvodcovia: prof. Ing. Peter Šugár, CSc.; doc. Ing. Jana Šugárová, PhD.; Ing. Ivan Buranský, PhD.</w:t>
      </w:r>
    </w:p>
    <w:p w:rsidR="00F83826" w:rsidRPr="00EF2265" w:rsidRDefault="00F83826" w:rsidP="00E86605">
      <w:pPr>
        <w:pStyle w:val="Bezriadkovania"/>
        <w:numPr>
          <w:ilvl w:val="0"/>
          <w:numId w:val="15"/>
        </w:numPr>
        <w:rPr>
          <w:rFonts w:ascii="Times New Roman" w:hAnsi="Times New Roman" w:cs="Times New Roman"/>
          <w:sz w:val="20"/>
          <w:szCs w:val="20"/>
        </w:rPr>
      </w:pPr>
      <w:r w:rsidRPr="00EF2265">
        <w:rPr>
          <w:rFonts w:ascii="Times New Roman" w:hAnsi="Times New Roman" w:cs="Times New Roman"/>
          <w:b/>
          <w:sz w:val="20"/>
          <w:szCs w:val="20"/>
        </w:rPr>
        <w:t>Patent č. 288552</w:t>
      </w:r>
      <w:r w:rsidRPr="00EF2265">
        <w:rPr>
          <w:rFonts w:ascii="Times New Roman" w:hAnsi="Times New Roman" w:cs="Times New Roman"/>
          <w:sz w:val="20"/>
          <w:szCs w:val="20"/>
        </w:rPr>
        <w:t>, Magnetickým poľom ovládaný tranzistor a spôsob merania veľkosti spínaného prúdu výkonového elektronického prvku, pôvodcovia: Ing. Martin Donoval, PhD.; Ing. Juraj Marek, PhD.; Ing. Martin Daříček, PhD.; prof. Ing. Daniel Donoval, DrSc.; prof. Ing. Viera Stopjaková, PhD.</w:t>
      </w:r>
    </w:p>
    <w:p w:rsidR="00F83826" w:rsidRPr="00EF2265" w:rsidRDefault="00F83826" w:rsidP="00E86605">
      <w:pPr>
        <w:pStyle w:val="Bezriadkovania"/>
        <w:numPr>
          <w:ilvl w:val="0"/>
          <w:numId w:val="15"/>
        </w:numPr>
        <w:rPr>
          <w:rFonts w:ascii="Times New Roman" w:hAnsi="Times New Roman" w:cs="Times New Roman"/>
          <w:sz w:val="20"/>
          <w:szCs w:val="20"/>
        </w:rPr>
      </w:pPr>
      <w:r w:rsidRPr="00EF2265">
        <w:rPr>
          <w:rFonts w:ascii="Times New Roman" w:hAnsi="Times New Roman" w:cs="Times New Roman"/>
          <w:b/>
          <w:sz w:val="20"/>
          <w:szCs w:val="20"/>
        </w:rPr>
        <w:t>Patent č. 288580</w:t>
      </w:r>
      <w:r w:rsidRPr="00EF2265">
        <w:rPr>
          <w:rFonts w:ascii="Times New Roman" w:hAnsi="Times New Roman" w:cs="Times New Roman"/>
          <w:sz w:val="20"/>
          <w:szCs w:val="20"/>
        </w:rPr>
        <w:t>, Kalorimeter s plynulo nastaviteľným pomerom zaťaženia vzorky tepelnou radiáciou a tepelnou konvekciou, pôvodcovia: doc. Ing. Jozef Martinka, PhD.; doc. Ing. Emília Hroncová, PhD.; prof. Mgr. Juraj Ladomerský, CSc.</w:t>
      </w:r>
    </w:p>
    <w:p w:rsidR="00F83826" w:rsidRPr="00EF2265" w:rsidRDefault="00F83826" w:rsidP="00E86605">
      <w:pPr>
        <w:pStyle w:val="Bezriadkovania"/>
        <w:numPr>
          <w:ilvl w:val="0"/>
          <w:numId w:val="15"/>
        </w:numPr>
        <w:rPr>
          <w:rFonts w:ascii="Times New Roman" w:hAnsi="Times New Roman" w:cs="Times New Roman"/>
          <w:sz w:val="20"/>
          <w:szCs w:val="20"/>
        </w:rPr>
      </w:pPr>
      <w:r w:rsidRPr="00EF2265">
        <w:rPr>
          <w:rFonts w:ascii="Times New Roman" w:hAnsi="Times New Roman" w:cs="Times New Roman"/>
          <w:b/>
          <w:sz w:val="20"/>
          <w:szCs w:val="20"/>
        </w:rPr>
        <w:t>Patent č. 288597</w:t>
      </w:r>
      <w:r w:rsidRPr="00EF2265">
        <w:rPr>
          <w:rFonts w:ascii="Times New Roman" w:hAnsi="Times New Roman" w:cs="Times New Roman"/>
          <w:sz w:val="20"/>
          <w:szCs w:val="20"/>
        </w:rPr>
        <w:t>, Dvojstupňové čerpadlo, pôvodcovia: doc. Ing. Branislav Knížat, PhD.; doc. Ing. Róbert Olšiak, PhD.</w:t>
      </w:r>
    </w:p>
    <w:p w:rsidR="00F83826" w:rsidRPr="00EF2265" w:rsidRDefault="00F83826" w:rsidP="00E86605">
      <w:pPr>
        <w:pStyle w:val="Bezriadkovania"/>
        <w:numPr>
          <w:ilvl w:val="0"/>
          <w:numId w:val="15"/>
        </w:numPr>
        <w:rPr>
          <w:rFonts w:ascii="Times New Roman" w:hAnsi="Times New Roman" w:cs="Times New Roman"/>
          <w:sz w:val="20"/>
          <w:szCs w:val="20"/>
        </w:rPr>
      </w:pPr>
      <w:r w:rsidRPr="00EF2265">
        <w:rPr>
          <w:rFonts w:ascii="Times New Roman" w:hAnsi="Times New Roman" w:cs="Times New Roman"/>
          <w:b/>
          <w:sz w:val="20"/>
          <w:szCs w:val="20"/>
        </w:rPr>
        <w:t>Patent č. 288600</w:t>
      </w:r>
      <w:r w:rsidRPr="00EF2265">
        <w:rPr>
          <w:rFonts w:ascii="Times New Roman" w:hAnsi="Times New Roman" w:cs="Times New Roman"/>
          <w:sz w:val="20"/>
          <w:szCs w:val="20"/>
        </w:rPr>
        <w:t>, Dvojstupňový integrovaný supersonický ejektor a konfigurácia prúdového a objemového stroja, pôvodcovia: doc. Ing. Róbert Olšiak, PhD.; doc. Ing. Branislav Knížat, PhD.</w:t>
      </w:r>
    </w:p>
    <w:p w:rsidR="00F83826" w:rsidRPr="00EF2265" w:rsidRDefault="00F83826" w:rsidP="00E86605">
      <w:pPr>
        <w:pStyle w:val="Bezriadkovania"/>
        <w:numPr>
          <w:ilvl w:val="0"/>
          <w:numId w:val="15"/>
        </w:numPr>
        <w:rPr>
          <w:rFonts w:ascii="Times New Roman" w:hAnsi="Times New Roman" w:cs="Times New Roman"/>
          <w:sz w:val="20"/>
          <w:szCs w:val="20"/>
        </w:rPr>
      </w:pPr>
      <w:r w:rsidRPr="00EF2265">
        <w:rPr>
          <w:rFonts w:ascii="Times New Roman" w:hAnsi="Times New Roman" w:cs="Times New Roman"/>
          <w:b/>
          <w:sz w:val="20"/>
          <w:szCs w:val="20"/>
        </w:rPr>
        <w:t>Patent č. 288601</w:t>
      </w:r>
      <w:r w:rsidRPr="00EF2265">
        <w:rPr>
          <w:rFonts w:ascii="Times New Roman" w:hAnsi="Times New Roman" w:cs="Times New Roman"/>
          <w:sz w:val="20"/>
          <w:szCs w:val="20"/>
        </w:rPr>
        <w:t>, Multifunkčný granulátor, pôvodcovia: Ing. Peter Peciar, PhD.; Ing. Oliver Macho, PhD.; prof. Ing. Marián Peciar, PhD.; doc. Ing. Roman Fekete, PhD.</w:t>
      </w:r>
    </w:p>
    <w:p w:rsidR="00F83826" w:rsidRPr="00EF2265" w:rsidRDefault="00F83826" w:rsidP="00E86605">
      <w:pPr>
        <w:pStyle w:val="Bezriadkovania"/>
        <w:numPr>
          <w:ilvl w:val="0"/>
          <w:numId w:val="15"/>
        </w:numPr>
        <w:rPr>
          <w:rFonts w:ascii="Times New Roman" w:hAnsi="Times New Roman" w:cs="Times New Roman"/>
          <w:sz w:val="20"/>
          <w:szCs w:val="20"/>
        </w:rPr>
      </w:pPr>
      <w:r w:rsidRPr="00EF2265">
        <w:rPr>
          <w:rFonts w:ascii="Times New Roman" w:hAnsi="Times New Roman" w:cs="Times New Roman"/>
          <w:b/>
          <w:sz w:val="20"/>
          <w:szCs w:val="20"/>
        </w:rPr>
        <w:t>Patent č. 288602</w:t>
      </w:r>
      <w:r w:rsidRPr="00EF2265">
        <w:rPr>
          <w:rFonts w:ascii="Times New Roman" w:hAnsi="Times New Roman" w:cs="Times New Roman"/>
          <w:sz w:val="20"/>
          <w:szCs w:val="20"/>
        </w:rPr>
        <w:t>, Experimentálne testovacie zariadenie na dynamické, termálne a tribologické analýzy komponentov kotúčových bŕzd, pôvodcovia: Ing. Juraj Úradníček, PhD.; doc. Ing. Miloš Musil PhD.; Ing. Peter Peciar, PhD.; Ing. Martin Juhász, PhD.; Ing. Andrea Suchal, PhD.</w:t>
      </w:r>
    </w:p>
    <w:p w:rsidR="00F83826" w:rsidRPr="00EF2265" w:rsidRDefault="00F83826" w:rsidP="00E86605">
      <w:pPr>
        <w:pStyle w:val="Odsekzoznamu"/>
        <w:rPr>
          <w:rFonts w:ascii="Times New Roman" w:hAnsi="Times New Roman"/>
          <w:sz w:val="20"/>
          <w:szCs w:val="20"/>
        </w:rPr>
      </w:pP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8039</w:t>
      </w:r>
      <w:r w:rsidRPr="00EF2265">
        <w:rPr>
          <w:rFonts w:ascii="Times New Roman" w:hAnsi="Times New Roman"/>
          <w:sz w:val="20"/>
          <w:szCs w:val="20"/>
        </w:rPr>
        <w:t>, Sferonizátor partikulárneho materiálu, pôvodcovia: Ing. Oliver Macho; Ing. Maroš Eckert; Ing. Peter Peciar, PhD.; prof. Ing. Marián Peciar, PhD.; doc. Ing. Roman Fekete, PhD.; Ing. Juraj Kabát</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8061</w:t>
      </w:r>
      <w:r w:rsidRPr="00EF2265">
        <w:rPr>
          <w:rFonts w:ascii="Times New Roman" w:hAnsi="Times New Roman"/>
          <w:sz w:val="20"/>
          <w:szCs w:val="20"/>
        </w:rPr>
        <w:t>, Systém na vzdialenú automatickú kontrolu kvality čapovaného piva, pôvodcovia: Ing. Oto Haffner, PhD.; Ing. Erik Kučera, PhD.</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8083</w:t>
      </w:r>
      <w:r w:rsidRPr="00EF2265">
        <w:rPr>
          <w:rFonts w:ascii="Times New Roman" w:hAnsi="Times New Roman"/>
          <w:sz w:val="20"/>
          <w:szCs w:val="20"/>
        </w:rPr>
        <w:t>, Rektifikačná etáž s usmerneným tokom fáz a rektifikačná kolóna, pôvodcovia: Ing. Juraj Kabát; doc. Ing. Štefan Gužela, PhD.; Ing. Peter Peciar, PhD.; Mgr. Peter Kotora, PhD.; Ing. Oliver Macho, PhD.</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8133</w:t>
      </w:r>
      <w:r w:rsidRPr="00EF2265">
        <w:rPr>
          <w:rFonts w:ascii="Times New Roman" w:hAnsi="Times New Roman"/>
          <w:sz w:val="20"/>
          <w:szCs w:val="20"/>
        </w:rPr>
        <w:t>, Mäkká bezolovnatá aktívna spájka a spôsob spájkovania, pôvodcovia: prof. Ing. Roman Koleňák, PhD.</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8154</w:t>
      </w:r>
      <w:r w:rsidRPr="00EF2265">
        <w:rPr>
          <w:rFonts w:ascii="Times New Roman" w:hAnsi="Times New Roman"/>
          <w:sz w:val="20"/>
          <w:szCs w:val="20"/>
        </w:rPr>
        <w:t>, Indukčný magneticko-mechanický generátor elektrickej energie a spôsob výroby elektrickej energie, pôvodcovia: doc. Ing. František Duchoň, PhD.; Viktor Poláček; Marián Kamenčík</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8189</w:t>
      </w:r>
      <w:r w:rsidRPr="00EF2265">
        <w:rPr>
          <w:rFonts w:ascii="Times New Roman" w:hAnsi="Times New Roman"/>
          <w:sz w:val="20"/>
          <w:szCs w:val="20"/>
        </w:rPr>
        <w:t>, Systém na elimináciu chýb pri tankovaní pohonných hmôt, pôvodcovia: Ing. Eduard Nemlaha, PhD.; Ing. Tomáš Škulavík, PhD.</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8203</w:t>
      </w:r>
      <w:r w:rsidRPr="00EF2265">
        <w:rPr>
          <w:rFonts w:ascii="Times New Roman" w:hAnsi="Times New Roman"/>
          <w:sz w:val="20"/>
          <w:szCs w:val="20"/>
        </w:rPr>
        <w:t>, Meracia zostava s kónickým kalorimetrom na meranie požiarneho rizika horľavých kvapalín, pôvodcovia: doc. Ing. Jozef Martinka, PhD.; prof. Ing. Peter Šimon, DrSc.; prof. Ing. Karol Balog, PhD.; Ing. Peter Rantuch, PhD.</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lastRenderedPageBreak/>
        <w:t>Úžitkový vzor č. 8227</w:t>
      </w:r>
      <w:r w:rsidRPr="00EF2265">
        <w:rPr>
          <w:rFonts w:ascii="Times New Roman" w:hAnsi="Times New Roman"/>
          <w:sz w:val="20"/>
          <w:szCs w:val="20"/>
        </w:rPr>
        <w:t>, Kalorimeter na meranie účinnosti svetelných zdrojov, pôvodcovia: doc. Ing. Jozef Martinka, PhD.; Ing. Filip Martinka; doc. Ing. Roman Čička, PhD.; Ing. Ivan Hrušovský, PhD.; Ing. Marián Drienovský, PhD.</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8230</w:t>
      </w:r>
      <w:r w:rsidRPr="00EF2265">
        <w:rPr>
          <w:rFonts w:ascii="Times New Roman" w:hAnsi="Times New Roman"/>
          <w:sz w:val="20"/>
          <w:szCs w:val="20"/>
        </w:rPr>
        <w:t>, Systém na vizuálne hodnotenie inhibície rastu Lemna minor pri testoch ekotoxicity, pôvodcovia: Ing. Oto Haffner, PhD.; Ing. Erik Kučera, PhD. Ing. Barbora Urminská</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8237</w:t>
      </w:r>
      <w:r w:rsidRPr="00EF2265">
        <w:rPr>
          <w:rFonts w:ascii="Times New Roman" w:hAnsi="Times New Roman"/>
          <w:sz w:val="20"/>
          <w:szCs w:val="20"/>
        </w:rPr>
        <w:t xml:space="preserve">, Textúrovaný tlačný nástroj a spôsob výroby pravouhlej alebo kruhovej mikrotextúry na aktívnej ploche profilovej krivky tlačného nástroja, pôvodcovia: prof. Ing. Peter Šugár, CSc.; doc. Ing. Jana Šugárová, PhD.; Ing. Martin Frnčík </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8256</w:t>
      </w:r>
      <w:r w:rsidRPr="00EF2265">
        <w:rPr>
          <w:rFonts w:ascii="Times New Roman" w:hAnsi="Times New Roman"/>
          <w:sz w:val="20"/>
          <w:szCs w:val="20"/>
        </w:rPr>
        <w:t>, Granulátor partikulárneho materiálu s plochou matricou, pôvodca: Ing. Peter Peciar, PhD.; doc. Ing. Roman Fekete, PhD.; prof. Ing. Marián Peciar, PhD.; Ing. Oliver Macho, PhD.</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8259</w:t>
      </w:r>
      <w:r w:rsidRPr="00EF2265">
        <w:rPr>
          <w:rFonts w:ascii="Times New Roman" w:hAnsi="Times New Roman"/>
          <w:sz w:val="20"/>
          <w:szCs w:val="20"/>
        </w:rPr>
        <w:t>, Spôsob výroby spekacieho telesa pre 3D tlač súčiastok z kompozitných práškových materiálov a spekacie teleso, pôvodcovia: prof. Ing. Ernest Gondár, PhD.; Ing. Zuzana Gábrišová, PhD.; Ing. Alena Brusilová, PhD.; Ing. Jana Krčová; doc. Ing. Alexander Schrek, PhD.</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8308</w:t>
      </w:r>
      <w:r w:rsidRPr="00EF2265">
        <w:rPr>
          <w:rFonts w:ascii="Times New Roman" w:hAnsi="Times New Roman"/>
          <w:sz w:val="20"/>
          <w:szCs w:val="20"/>
        </w:rPr>
        <w:t>, Triboelektrický spôsob zberu strihaných vlasov, pôvodcovia: Dr.h.c. prof. Ing. Pavol Božek, CSc.; Ing. Ivan Zajačko, PhD.; Ing. Miroslav Cisár, PhD.; Ing. Vladimír Bulej, PhD.</w:t>
      </w:r>
    </w:p>
    <w:p w:rsidR="00F83826" w:rsidRPr="00EF2265" w:rsidRDefault="00F83826" w:rsidP="00E86605">
      <w:pPr>
        <w:pStyle w:val="Odsekzoznamu"/>
        <w:numPr>
          <w:ilvl w:val="0"/>
          <w:numId w:val="25"/>
        </w:numPr>
        <w:rPr>
          <w:rFonts w:ascii="Times New Roman" w:hAnsi="Times New Roman"/>
          <w:sz w:val="20"/>
          <w:szCs w:val="20"/>
        </w:rPr>
      </w:pPr>
      <w:r w:rsidRPr="00EF2265">
        <w:rPr>
          <w:rFonts w:ascii="Times New Roman" w:hAnsi="Times New Roman"/>
          <w:b/>
          <w:sz w:val="20"/>
          <w:szCs w:val="20"/>
        </w:rPr>
        <w:t>Úžitkový vzor č. 8311</w:t>
      </w:r>
      <w:r w:rsidRPr="00EF2265">
        <w:rPr>
          <w:rFonts w:ascii="Times New Roman" w:hAnsi="Times New Roman"/>
          <w:sz w:val="20"/>
          <w:szCs w:val="20"/>
        </w:rPr>
        <w:t>, Systém akumulácie tepelnej energie v betónových základoch, pôvodcovia: Dr.h.c. prof. Ing. Pavol Božek, CSc.; Ing. Ivan Zajačko, PhD.; Ing. Miroslav Cisár, PhD.; Ing. Vladimír Bulej, PhD.</w:t>
      </w:r>
    </w:p>
    <w:p w:rsidR="00F83826" w:rsidRPr="000F29D6" w:rsidRDefault="00F83826" w:rsidP="00E86605">
      <w:pPr>
        <w:pStyle w:val="Nadpis3"/>
        <w:keepLines w:val="0"/>
        <w:numPr>
          <w:ilvl w:val="2"/>
          <w:numId w:val="29"/>
        </w:numPr>
        <w:spacing w:before="240" w:after="60" w:line="240" w:lineRule="auto"/>
        <w:rPr>
          <w:rFonts w:ascii="Times New Roman" w:hAnsi="Times New Roman" w:cs="Times New Roman"/>
          <w:color w:val="auto"/>
          <w:sz w:val="20"/>
          <w:szCs w:val="20"/>
        </w:rPr>
      </w:pPr>
      <w:bookmarkStart w:id="202" w:name="_Toc448261583"/>
      <w:bookmarkStart w:id="203" w:name="_Toc4589999"/>
      <w:r w:rsidRPr="000F29D6">
        <w:rPr>
          <w:rFonts w:ascii="Times New Roman" w:hAnsi="Times New Roman" w:cs="Times New Roman"/>
          <w:color w:val="auto"/>
          <w:sz w:val="20"/>
          <w:szCs w:val="20"/>
        </w:rPr>
        <w:t>Univerzitný technologický inkubátor</w:t>
      </w:r>
      <w:bookmarkEnd w:id="202"/>
      <w:bookmarkEnd w:id="203"/>
    </w:p>
    <w:p w:rsidR="00F83826" w:rsidRPr="00EF2265" w:rsidRDefault="00F83826" w:rsidP="00E86605">
      <w:pPr>
        <w:pStyle w:val="Odsekzoznamu"/>
        <w:ind w:left="0"/>
        <w:rPr>
          <w:rFonts w:ascii="Times New Roman" w:hAnsi="Times New Roman"/>
          <w:b/>
          <w:sz w:val="20"/>
          <w:szCs w:val="20"/>
        </w:rPr>
      </w:pPr>
    </w:p>
    <w:p w:rsidR="00F83826" w:rsidRPr="00EF2265" w:rsidRDefault="00F83826" w:rsidP="00E86605">
      <w:pPr>
        <w:pStyle w:val="Odsekzoznamu"/>
        <w:ind w:left="0"/>
        <w:rPr>
          <w:rFonts w:ascii="Times New Roman" w:hAnsi="Times New Roman"/>
          <w:color w:val="000000"/>
          <w:sz w:val="20"/>
          <w:szCs w:val="20"/>
        </w:rPr>
      </w:pPr>
      <w:r w:rsidRPr="00EF2265">
        <w:rPr>
          <w:rFonts w:ascii="Times New Roman" w:hAnsi="Times New Roman"/>
          <w:color w:val="000000"/>
          <w:sz w:val="20"/>
          <w:szCs w:val="20"/>
        </w:rPr>
        <w:t xml:space="preserve">Univerzitný technologický inkubátor STU za vyše 13 rokov svojho fungovania podporil k 31.12.2018 v programe InQb 58 inkubovaných firiem. 55 z týchto firiem je i naďalej hospodársky činná. Inkubátor prispel k vytvoreniu 207 pracovných miest. V programe Start-up kancelárie inkubátor od svojho založenia podporil 35 projektov (58 frekventantov). </w:t>
      </w:r>
    </w:p>
    <w:p w:rsidR="00F83826" w:rsidRPr="00EF2265" w:rsidRDefault="00F83826" w:rsidP="00E86605">
      <w:pPr>
        <w:pStyle w:val="Odsekzoznamu"/>
        <w:ind w:left="0"/>
        <w:rPr>
          <w:rFonts w:ascii="Times New Roman" w:hAnsi="Times New Roman"/>
          <w:color w:val="000000"/>
          <w:sz w:val="20"/>
          <w:szCs w:val="20"/>
        </w:rPr>
      </w:pPr>
    </w:p>
    <w:p w:rsidR="00F83826" w:rsidRPr="00EF2265" w:rsidRDefault="00F83826" w:rsidP="00E86605">
      <w:pPr>
        <w:pStyle w:val="Odsekzoznamu"/>
        <w:ind w:left="0"/>
        <w:rPr>
          <w:rFonts w:ascii="Times New Roman" w:hAnsi="Times New Roman"/>
          <w:color w:val="000000"/>
          <w:sz w:val="20"/>
          <w:szCs w:val="20"/>
        </w:rPr>
      </w:pPr>
      <w:r w:rsidRPr="00EF2265">
        <w:rPr>
          <w:rFonts w:ascii="Times New Roman" w:hAnsi="Times New Roman"/>
          <w:color w:val="000000"/>
          <w:sz w:val="20"/>
          <w:szCs w:val="20"/>
        </w:rPr>
        <w:t xml:space="preserve">V programe InQb v roku 2018 využilo podporu inkubátora 11 firiem,  z toho 2 boli nové firmy, ktoré v tomto roku vstúpili do inkubátora. Jedná sa o LIFE BUTTON a Woo Academy. </w:t>
      </w:r>
    </w:p>
    <w:p w:rsidR="00F83826" w:rsidRPr="00EF2265" w:rsidRDefault="00F83826" w:rsidP="00E86605">
      <w:pPr>
        <w:pStyle w:val="Odsekzoznamu"/>
        <w:ind w:left="0"/>
        <w:rPr>
          <w:rFonts w:ascii="Times New Roman" w:hAnsi="Times New Roman"/>
          <w:sz w:val="20"/>
          <w:szCs w:val="20"/>
        </w:rPr>
      </w:pPr>
    </w:p>
    <w:p w:rsidR="00F83826" w:rsidRPr="00EF2265" w:rsidRDefault="00F83826" w:rsidP="00E86605">
      <w:pPr>
        <w:pStyle w:val="Odsekzoznamu"/>
        <w:ind w:left="0"/>
        <w:rPr>
          <w:rFonts w:ascii="Times New Roman" w:hAnsi="Times New Roman"/>
          <w:color w:val="000000"/>
          <w:sz w:val="20"/>
          <w:szCs w:val="20"/>
        </w:rPr>
      </w:pPr>
      <w:r w:rsidRPr="00EF2265">
        <w:rPr>
          <w:rFonts w:ascii="Times New Roman" w:hAnsi="Times New Roman"/>
          <w:color w:val="000000"/>
          <w:sz w:val="20"/>
          <w:szCs w:val="20"/>
        </w:rPr>
        <w:t>Do programu Start-up kancelária v roku 2018 nastúpilo 14 osôb so 6 projektami. 4 start-upy ukončili svoj projekt a neprešli do programu InQb. K 31.10.2018 sa nachádzajú v UTI 2 start-upy.</w:t>
      </w:r>
    </w:p>
    <w:p w:rsidR="00F83826" w:rsidRPr="00EF2265" w:rsidRDefault="00F83826" w:rsidP="00E86605">
      <w:pPr>
        <w:pStyle w:val="Odsekzoznamu"/>
        <w:ind w:left="0"/>
        <w:rPr>
          <w:rFonts w:ascii="Times New Roman" w:hAnsi="Times New Roman"/>
          <w:sz w:val="20"/>
          <w:szCs w:val="20"/>
        </w:rPr>
      </w:pPr>
      <w:r w:rsidRPr="00EF2265">
        <w:rPr>
          <w:rFonts w:ascii="Times New Roman" w:hAnsi="Times New Roman"/>
          <w:sz w:val="20"/>
          <w:szCs w:val="20"/>
        </w:rPr>
        <w:t xml:space="preserve">Priemerná obsadenosť priestorov inkubátora za celé obdobie fungovania je 79,9 %. Za rok 2018 to bolo 70,7 %. </w:t>
      </w:r>
    </w:p>
    <w:p w:rsidR="00F83826" w:rsidRPr="00EF2265" w:rsidRDefault="00F83826" w:rsidP="00E86605">
      <w:pPr>
        <w:pStyle w:val="Odsekzoznamu"/>
        <w:ind w:left="0"/>
        <w:rPr>
          <w:rFonts w:ascii="Times New Roman" w:hAnsi="Times New Roman"/>
          <w:sz w:val="20"/>
          <w:szCs w:val="20"/>
        </w:rPr>
      </w:pPr>
    </w:p>
    <w:p w:rsidR="00F83826" w:rsidRPr="00EF2265" w:rsidRDefault="00F83826" w:rsidP="00E86605">
      <w:pPr>
        <w:pStyle w:val="Odsekzoznamu"/>
        <w:ind w:left="0"/>
        <w:rPr>
          <w:rFonts w:ascii="Times New Roman" w:hAnsi="Times New Roman"/>
          <w:color w:val="000000"/>
          <w:sz w:val="20"/>
          <w:szCs w:val="20"/>
        </w:rPr>
      </w:pPr>
      <w:r w:rsidRPr="00EF2265">
        <w:rPr>
          <w:rFonts w:ascii="Times New Roman" w:hAnsi="Times New Roman"/>
          <w:color w:val="000000"/>
          <w:sz w:val="20"/>
          <w:szCs w:val="20"/>
        </w:rPr>
        <w:t>V roku 2018 inkubátor pokračoval v generálnom partnerstve s Nadáciu ESET a s partnerstvom so spoločnosťou SAP spol. s r.o. Okrem týchto strategických partnerov získal aj ďalších partnerov, medzi ktorých patria: Google, Nemecká obchodná komora, HUB, NEULOGY, NEXTERIA, Nadácia PONTIS, Slovak-American Foundation, SPEEDINVEST, INVESTEERS, FORBES,  Greventan, Študentský časopis OKO a Škrt.  Vďaka tejto spolupráci mohol inkubátor zorganizovať väčšie množstvo podujatí na lepšej úrovni a začať realizovať aj nové služby a aktivity spomenuté nižšie.</w:t>
      </w:r>
    </w:p>
    <w:p w:rsidR="00F83826" w:rsidRPr="00EF2265" w:rsidRDefault="00F83826" w:rsidP="00E86605">
      <w:pPr>
        <w:pStyle w:val="Odsekzoznamu"/>
        <w:ind w:left="0"/>
        <w:rPr>
          <w:rFonts w:ascii="Times New Roman" w:hAnsi="Times New Roman"/>
          <w:color w:val="000000"/>
          <w:sz w:val="20"/>
          <w:szCs w:val="20"/>
        </w:rPr>
      </w:pPr>
    </w:p>
    <w:p w:rsidR="00F83826" w:rsidRPr="00EF2265" w:rsidRDefault="00F83826" w:rsidP="00E86605">
      <w:pPr>
        <w:pStyle w:val="Odsekzoznamu"/>
        <w:ind w:left="0"/>
        <w:rPr>
          <w:rFonts w:ascii="Times New Roman" w:hAnsi="Times New Roman"/>
          <w:sz w:val="20"/>
          <w:szCs w:val="20"/>
        </w:rPr>
      </w:pPr>
      <w:r w:rsidRPr="00EF2265">
        <w:rPr>
          <w:rFonts w:ascii="Times New Roman" w:hAnsi="Times New Roman"/>
          <w:sz w:val="20"/>
          <w:szCs w:val="20"/>
        </w:rPr>
        <w:t>V roku 2018 Univerzitný technologický inkubátor aktualizoval sieť mentorov, ktorí sú k dispozícii na odborné konzultácie pre inkubované firmy v programe InQb a frekventantom v Start-up kancelárii, pričom poskytujú svoje služby bezplatne vo vymedzenom rozsahu.</w:t>
      </w:r>
    </w:p>
    <w:p w:rsidR="00F83826" w:rsidRPr="00EF2265" w:rsidRDefault="00F83826" w:rsidP="00E86605">
      <w:pPr>
        <w:jc w:val="left"/>
        <w:rPr>
          <w:rFonts w:ascii="Times New Roman" w:eastAsia="Times New Roman" w:hAnsi="Times New Roman"/>
          <w:sz w:val="20"/>
          <w:szCs w:val="20"/>
        </w:rPr>
      </w:pPr>
      <w:r w:rsidRPr="00EF2265">
        <w:rPr>
          <w:rFonts w:ascii="Times New Roman" w:hAnsi="Times New Roman"/>
          <w:sz w:val="20"/>
          <w:szCs w:val="20"/>
        </w:rPr>
        <w:t xml:space="preserve">UTI STU usporiadal v roku 2018 spolu 48 podujatí pre podnikateľov, študentov aj širšiu verejnosť. Napríklad biznis raňajky, </w:t>
      </w:r>
      <w:r w:rsidRPr="00EF2265">
        <w:rPr>
          <w:rFonts w:ascii="Times New Roman" w:eastAsia="Times New Roman" w:hAnsi="Times New Roman"/>
          <w:sz w:val="20"/>
          <w:szCs w:val="20"/>
        </w:rPr>
        <w:t>odborné semináre a workshopy z oblasti marketingu, mediálnej a online komunikácie, financiách, daniach a odvodoch malých a stredných podnikov, deň otvorených dverí, exkurzie, fórum InQb, atď. Medzi obľúbené podujatia patrí TECH INNO DAY, v roku 2018 zorganizoval tím inkubátora 5. ročník výstavy technických inovácií. UTI získal rôzne ocenenia napríklad na medzinárodnej start-upovej súťaži Central European Startup Awards získal 2. miesto v kategórii Najlepší akceleračný program a 3. miesto v kategórii Najlepšie co-work centrum.</w:t>
      </w:r>
    </w:p>
    <w:p w:rsidR="00F83826" w:rsidRPr="00EF2265" w:rsidRDefault="00F83826" w:rsidP="00E86605">
      <w:pPr>
        <w:jc w:val="left"/>
        <w:rPr>
          <w:rFonts w:ascii="Times New Roman" w:eastAsia="Times New Roman" w:hAnsi="Times New Roman"/>
          <w:sz w:val="20"/>
          <w:szCs w:val="20"/>
        </w:rPr>
      </w:pPr>
      <w:bookmarkStart w:id="204" w:name="_Toc450247182"/>
    </w:p>
    <w:p w:rsidR="00F83826" w:rsidRPr="000F29D6" w:rsidRDefault="00F83826" w:rsidP="00E86605">
      <w:pPr>
        <w:pStyle w:val="Nadpis3"/>
        <w:keepLines w:val="0"/>
        <w:numPr>
          <w:ilvl w:val="2"/>
          <w:numId w:val="29"/>
        </w:numPr>
        <w:spacing w:before="240" w:after="60" w:line="240" w:lineRule="auto"/>
        <w:rPr>
          <w:rFonts w:ascii="Times New Roman" w:hAnsi="Times New Roman" w:cs="Times New Roman"/>
          <w:color w:val="auto"/>
          <w:sz w:val="20"/>
          <w:szCs w:val="20"/>
        </w:rPr>
      </w:pPr>
      <w:bookmarkStart w:id="205" w:name="_Toc4590000"/>
      <w:r w:rsidRPr="000F29D6">
        <w:rPr>
          <w:rFonts w:ascii="Times New Roman" w:hAnsi="Times New Roman" w:cs="Times New Roman"/>
          <w:color w:val="auto"/>
          <w:sz w:val="20"/>
          <w:szCs w:val="20"/>
        </w:rPr>
        <w:lastRenderedPageBreak/>
        <w:t>STU Scientific</w:t>
      </w:r>
      <w:bookmarkEnd w:id="204"/>
      <w:bookmarkEnd w:id="205"/>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noProof/>
          <w:sz w:val="20"/>
          <w:szCs w:val="20"/>
        </w:rPr>
      </w:pPr>
      <w:r w:rsidRPr="00EF2265">
        <w:rPr>
          <w:rFonts w:ascii="Times New Roman" w:hAnsi="Times New Roman"/>
          <w:noProof/>
          <w:sz w:val="20"/>
          <w:szCs w:val="20"/>
        </w:rPr>
        <w:t>Transfer poznatkov z akademickej pôdy do hospodárskej praxe prostredníctvom spin-off spoločností s majetkovou účasťou univerzity je jedným zo spôsobov ekonomického zhodnocovania duševného vlastníctva. V prípade STU podporu pri zakladaní a rozvoji spin-off spoločností poskytuje špecializované pracovisko univerzity – STU Scientific, s. r. o.</w:t>
      </w:r>
    </w:p>
    <w:p w:rsidR="00F83826" w:rsidRPr="00EF2265" w:rsidRDefault="00F83826" w:rsidP="00E86605">
      <w:pPr>
        <w:jc w:val="left"/>
        <w:rPr>
          <w:rFonts w:ascii="Times New Roman" w:hAnsi="Times New Roman"/>
          <w:b/>
          <w:noProof/>
          <w:sz w:val="20"/>
          <w:szCs w:val="20"/>
        </w:rPr>
      </w:pPr>
      <w:r w:rsidRPr="00EF2265">
        <w:rPr>
          <w:rFonts w:ascii="Times New Roman" w:hAnsi="Times New Roman"/>
          <w:b/>
          <w:noProof/>
          <w:sz w:val="20"/>
          <w:szCs w:val="20"/>
        </w:rPr>
        <w:t xml:space="preserve">V priebehu roka 2018 pracovalo v prostredí STU 5 inovatívnych spin-off spoločností </w:t>
      </w:r>
      <w:r w:rsidRPr="00EF2265">
        <w:rPr>
          <w:rFonts w:ascii="Times New Roman" w:hAnsi="Times New Roman"/>
          <w:noProof/>
          <w:sz w:val="20"/>
          <w:szCs w:val="20"/>
        </w:rPr>
        <w:t>s majetkovou účasťou STU, ktoré založili pracovníci STU na základe výsledkov vlastného výskumu.</w:t>
      </w:r>
      <w:r w:rsidRPr="00EF2265">
        <w:rPr>
          <w:rFonts w:ascii="Times New Roman" w:hAnsi="Times New Roman"/>
          <w:b/>
          <w:noProof/>
          <w:sz w:val="20"/>
          <w:szCs w:val="20"/>
        </w:rPr>
        <w:t xml:space="preserve"> </w:t>
      </w:r>
    </w:p>
    <w:p w:rsidR="00F83826" w:rsidRPr="00EF2265" w:rsidRDefault="00F83826" w:rsidP="00E86605">
      <w:pPr>
        <w:jc w:val="left"/>
        <w:rPr>
          <w:rFonts w:ascii="Times New Roman" w:hAnsi="Times New Roman"/>
          <w:noProof/>
          <w:sz w:val="20"/>
          <w:szCs w:val="20"/>
        </w:rPr>
      </w:pPr>
    </w:p>
    <w:p w:rsidR="00F83826" w:rsidRPr="00EF2265" w:rsidRDefault="00F83826" w:rsidP="00E86605">
      <w:pPr>
        <w:jc w:val="left"/>
        <w:rPr>
          <w:rFonts w:ascii="Times New Roman" w:eastAsia="Times New Roman" w:hAnsi="Times New Roman"/>
          <w:b/>
          <w:bCs/>
          <w:noProof/>
          <w:sz w:val="20"/>
          <w:szCs w:val="20"/>
          <w:lang w:eastAsia="sk-SK"/>
        </w:rPr>
      </w:pPr>
      <w:r w:rsidRPr="00EF2265">
        <w:rPr>
          <w:rFonts w:ascii="Times New Roman" w:eastAsia="Times New Roman" w:hAnsi="Times New Roman"/>
          <w:b/>
          <w:bCs/>
          <w:noProof/>
          <w:sz w:val="20"/>
          <w:szCs w:val="20"/>
          <w:lang w:eastAsia="sk-SK"/>
        </w:rPr>
        <w:t>Spin-off spoločnosti a ich aktivity v roku 2018:</w:t>
      </w:r>
    </w:p>
    <w:p w:rsidR="00F83826" w:rsidRPr="00EF2265" w:rsidRDefault="00F83826" w:rsidP="00E86605">
      <w:pPr>
        <w:jc w:val="left"/>
        <w:rPr>
          <w:rFonts w:ascii="Times New Roman" w:eastAsia="Times New Roman" w:hAnsi="Times New Roman"/>
          <w:b/>
          <w:bCs/>
          <w:noProof/>
          <w:sz w:val="20"/>
          <w:szCs w:val="20"/>
          <w:lang w:eastAsia="sk-SK"/>
        </w:rPr>
      </w:pPr>
    </w:p>
    <w:p w:rsidR="00F83826" w:rsidRPr="00EF2265" w:rsidRDefault="00F83826" w:rsidP="00E86605">
      <w:pPr>
        <w:jc w:val="left"/>
        <w:rPr>
          <w:rFonts w:ascii="Times New Roman" w:eastAsia="Times New Roman" w:hAnsi="Times New Roman"/>
          <w:noProof/>
          <w:sz w:val="20"/>
          <w:szCs w:val="20"/>
          <w:lang w:eastAsia="sk-SK"/>
        </w:rPr>
      </w:pPr>
      <w:r w:rsidRPr="00EF2265">
        <w:rPr>
          <w:rFonts w:ascii="Times New Roman" w:eastAsia="Times New Roman" w:hAnsi="Times New Roman"/>
          <w:b/>
          <w:bCs/>
          <w:noProof/>
          <w:sz w:val="20"/>
          <w:szCs w:val="20"/>
          <w:lang w:eastAsia="sk-SK"/>
        </w:rPr>
        <w:t>Hydrotechnika STU, s.r.o.:</w:t>
      </w:r>
    </w:p>
    <w:p w:rsidR="00F83826" w:rsidRPr="00EF2265" w:rsidRDefault="00F83826" w:rsidP="00E86605">
      <w:pPr>
        <w:jc w:val="left"/>
        <w:rPr>
          <w:rStyle w:val="PsacstrojHTML"/>
          <w:rFonts w:ascii="Times New Roman" w:eastAsiaTheme="minorHAnsi" w:hAnsi="Times New Roman" w:cs="Times New Roman"/>
        </w:rPr>
      </w:pPr>
      <w:r w:rsidRPr="00EF2265">
        <w:rPr>
          <w:rStyle w:val="PsacstrojHTML"/>
          <w:rFonts w:ascii="Times New Roman" w:eastAsiaTheme="minorHAnsi" w:hAnsi="Times New Roman" w:cs="Times New Roman"/>
        </w:rPr>
        <w:t xml:space="preserve">Spoločnosť riešila v uvedenom období dve objednávky, ktoré sa týkali nasledovných činností: </w:t>
      </w:r>
      <w:r w:rsidRPr="00EF2265">
        <w:rPr>
          <w:rFonts w:ascii="Times New Roman" w:hAnsi="Times New Roman"/>
          <w:sz w:val="20"/>
          <w:szCs w:val="20"/>
        </w:rPr>
        <w:br/>
      </w:r>
      <w:r w:rsidRPr="00EF2265">
        <w:rPr>
          <w:rStyle w:val="PsacstrojHTML"/>
          <w:rFonts w:ascii="Times New Roman" w:eastAsiaTheme="minorHAnsi" w:hAnsi="Times New Roman" w:cs="Times New Roman"/>
        </w:rPr>
        <w:t>• rekonštrukcie dispečerského systému Slovenských elektrární – závodu Vodné elektrárne (Hydromodel) - poskytovanie servisných služieb,</w:t>
      </w:r>
    </w:p>
    <w:p w:rsidR="00F83826" w:rsidRPr="00EF2265" w:rsidRDefault="00F83826" w:rsidP="00E86605">
      <w:pPr>
        <w:jc w:val="left"/>
        <w:rPr>
          <w:rStyle w:val="PsacstrojHTML"/>
          <w:rFonts w:ascii="Times New Roman" w:eastAsiaTheme="minorHAnsi" w:hAnsi="Times New Roman" w:cs="Times New Roman"/>
        </w:rPr>
      </w:pPr>
      <w:r w:rsidRPr="00EF2265">
        <w:rPr>
          <w:rStyle w:val="PsacstrojHTML"/>
          <w:rFonts w:ascii="Times New Roman" w:eastAsiaTheme="minorHAnsi" w:hAnsi="Times New Roman" w:cs="Times New Roman"/>
        </w:rPr>
        <w:t>• stanovenia kapacity navrhovaného drenážneho systému na zimnom štadióne v Žiari nad Hronom.</w:t>
      </w:r>
      <w:r w:rsidRPr="00EF2265">
        <w:rPr>
          <w:rFonts w:ascii="Times New Roman" w:hAnsi="Times New Roman"/>
          <w:sz w:val="20"/>
          <w:szCs w:val="20"/>
        </w:rPr>
        <w:br/>
      </w:r>
      <w:r w:rsidRPr="00EF2265">
        <w:rPr>
          <w:rStyle w:val="PsacstrojHTML"/>
          <w:rFonts w:ascii="Times New Roman" w:eastAsiaTheme="minorHAnsi" w:hAnsi="Times New Roman" w:cs="Times New Roman"/>
        </w:rPr>
        <w:t>Hlavnú náplň v uvedenom období tvorila príprava projektov súvisiacich s inováciou a modernizáciou plavebných komôr stupňa Gabčíkovo a vodnou cestou na Dunaji, ktoré by sa mali realizovať od roku 2019.</w:t>
      </w:r>
    </w:p>
    <w:p w:rsidR="00F83826" w:rsidRPr="00EF2265" w:rsidRDefault="00F83826" w:rsidP="00E86605">
      <w:pPr>
        <w:jc w:val="left"/>
        <w:rPr>
          <w:rStyle w:val="PsacstrojHTML"/>
          <w:rFonts w:ascii="Times New Roman" w:eastAsiaTheme="minorHAnsi" w:hAnsi="Times New Roman" w:cs="Times New Roman"/>
        </w:rPr>
      </w:pPr>
      <w:r w:rsidRPr="00EF2265">
        <w:rPr>
          <w:rStyle w:val="PsacstrojHTML"/>
          <w:rFonts w:ascii="Times New Roman" w:eastAsiaTheme="minorHAnsi" w:hAnsi="Times New Roman" w:cs="Times New Roman"/>
        </w:rPr>
        <w:t xml:space="preserve">Do činnosti spoločnosti bolo zapojených 5 pracovníkov katedry vrátane spoločníkov a 2 doktorandi. </w:t>
      </w:r>
      <w:r w:rsidRPr="00EF2265">
        <w:rPr>
          <w:rFonts w:ascii="Times New Roman" w:hAnsi="Times New Roman"/>
          <w:sz w:val="20"/>
          <w:szCs w:val="20"/>
        </w:rPr>
        <w:br/>
      </w:r>
      <w:r w:rsidRPr="00EF2265">
        <w:rPr>
          <w:rStyle w:val="PsacstrojHTML"/>
          <w:rFonts w:ascii="Times New Roman" w:eastAsiaTheme="minorHAnsi" w:hAnsi="Times New Roman" w:cs="Times New Roman"/>
        </w:rPr>
        <w:t>Námety a najmä podklady z riešených úloh (napr. zamerania, hydrologické údaje, iné údaje) sa priebežne využívajú aj v pedagogickej činnosti, najmä v rámci prednáškovej činnosti a diplomových a bakalárskych prác.</w:t>
      </w:r>
    </w:p>
    <w:p w:rsidR="00F83826" w:rsidRPr="00EF2265" w:rsidRDefault="00F83826" w:rsidP="00E86605">
      <w:pPr>
        <w:jc w:val="left"/>
        <w:rPr>
          <w:rFonts w:ascii="Times New Roman" w:eastAsia="Times New Roman" w:hAnsi="Times New Roman"/>
          <w:b/>
          <w:bCs/>
          <w:noProof/>
          <w:sz w:val="20"/>
          <w:szCs w:val="20"/>
          <w:lang w:eastAsia="sk-SK"/>
        </w:rPr>
      </w:pPr>
    </w:p>
    <w:p w:rsidR="00F83826" w:rsidRPr="00EF2265" w:rsidRDefault="00F83826" w:rsidP="00E86605">
      <w:pPr>
        <w:jc w:val="left"/>
        <w:rPr>
          <w:rFonts w:ascii="Times New Roman" w:eastAsia="Times New Roman" w:hAnsi="Times New Roman"/>
          <w:b/>
          <w:bCs/>
          <w:noProof/>
          <w:sz w:val="20"/>
          <w:szCs w:val="20"/>
          <w:lang w:eastAsia="sk-SK"/>
        </w:rPr>
      </w:pPr>
      <w:r w:rsidRPr="00EF2265">
        <w:rPr>
          <w:rFonts w:ascii="Times New Roman" w:eastAsia="Times New Roman" w:hAnsi="Times New Roman"/>
          <w:b/>
          <w:bCs/>
          <w:noProof/>
          <w:sz w:val="20"/>
          <w:szCs w:val="20"/>
          <w:lang w:eastAsia="sk-SK"/>
        </w:rPr>
        <w:t>SMME-STU, s.r.o.:</w:t>
      </w:r>
    </w:p>
    <w:p w:rsidR="00F83826" w:rsidRPr="00EF2265" w:rsidRDefault="00F83826" w:rsidP="00E86605">
      <w:pPr>
        <w:jc w:val="left"/>
        <w:rPr>
          <w:rFonts w:ascii="Times New Roman" w:eastAsia="Times New Roman" w:hAnsi="Times New Roman"/>
          <w:noProof/>
          <w:sz w:val="20"/>
          <w:szCs w:val="20"/>
          <w:lang w:eastAsia="sk-SK"/>
        </w:rPr>
      </w:pPr>
      <w:r w:rsidRPr="00EF2265">
        <w:rPr>
          <w:rFonts w:ascii="Times New Roman" w:hAnsi="Times New Roman"/>
          <w:sz w:val="20"/>
          <w:szCs w:val="20"/>
        </w:rPr>
        <w:t>V roku 2018 sa pracovníci SMME STU, s.r.o., zabezpečovali vedenie odbornej praxe študentov SPŠE Hálova 9 Bratislava v laboratóriách Ústavu automobilovej mechatroniky (ÚAMT) FEI, STU. Prax pre 7 študentov (záujemcov o štúdium na FEI) v priebehu jedného polroka 2017 (letný semester), 1x týždenne na základe zmluvy medzi riaditeľkou SPŠE Hálova 9  a SMME-STU, s.r.o.  Zmluva bola podpísaná na základe memoranda o spolupráci medzi riaditeľom ÚAMT, FEI a riaditeľkou SPŠE Halova 9, Bratislava.</w:t>
      </w:r>
    </w:p>
    <w:p w:rsidR="00F83826" w:rsidRPr="00EF2265" w:rsidRDefault="00F83826" w:rsidP="00E86605">
      <w:pPr>
        <w:pStyle w:val="Normlnywebov"/>
        <w:spacing w:beforeAutospacing="0" w:afterAutospacing="0"/>
        <w:jc w:val="left"/>
        <w:rPr>
          <w:sz w:val="20"/>
          <w:szCs w:val="20"/>
        </w:rPr>
      </w:pPr>
      <w:r w:rsidRPr="00EF2265">
        <w:rPr>
          <w:sz w:val="20"/>
          <w:szCs w:val="20"/>
        </w:rPr>
        <w:t>Okrem odborného pôsobenia jedným z cieľov aktivity bolo získanie záujmu študentov SPŠE Hálova 9 o štúdium na FEI, STU v Bratislave. V akademickom r. 2018/2019 nastúpilo na štúdium FEI STU 6 študentov zo Strednej priemyselnej školy elektrotechnickej, Hálova 9, Bratislava.</w:t>
      </w:r>
    </w:p>
    <w:p w:rsidR="00F83826" w:rsidRPr="00EF2265" w:rsidRDefault="00F83826" w:rsidP="00E86605">
      <w:pPr>
        <w:pStyle w:val="Normlnywebov"/>
        <w:spacing w:beforeAutospacing="0" w:afterAutospacing="0"/>
        <w:jc w:val="left"/>
        <w:rPr>
          <w:sz w:val="20"/>
          <w:szCs w:val="20"/>
        </w:rPr>
      </w:pPr>
      <w:r w:rsidRPr="00EF2265">
        <w:rPr>
          <w:sz w:val="20"/>
          <w:szCs w:val="20"/>
        </w:rPr>
        <w:t xml:space="preserve">V priebehu roka 2018 bolo hlavným zámerom činnosti SMME-STU, s.r.o., v spolupráci s Ústavom automobilovej mechatroniky, FEI STU, dokončiť výstavbu kvalitnej a špecificky zameranej materiálnej základne pre riešenie technických projektov v oblasti rozvoja pohonných systémov elektromobilov ako nevyhnutnej podmienky pre zapojenie SMME-STU, s.r.o., do riešenia výskumných  projektov vo výzvach pre Bratislavský kraj. </w:t>
      </w:r>
    </w:p>
    <w:p w:rsidR="00F83826" w:rsidRPr="00EF2265" w:rsidRDefault="00F83826" w:rsidP="00E86605">
      <w:pPr>
        <w:pStyle w:val="Normlnywebov"/>
        <w:spacing w:beforeAutospacing="0" w:afterAutospacing="0"/>
        <w:jc w:val="left"/>
        <w:rPr>
          <w:sz w:val="20"/>
          <w:szCs w:val="20"/>
        </w:rPr>
      </w:pPr>
      <w:r w:rsidRPr="00EF2265">
        <w:rPr>
          <w:sz w:val="20"/>
          <w:szCs w:val="20"/>
        </w:rPr>
        <w:t>Zmluvný výskum: Inovácia inovatívneho elektrického pohonu s aplikáciou do malého motocykla, návrh metodiky merania charakteristík gumo-kovového uloženia elektromotora.</w:t>
      </w: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 xml:space="preserve">Riešené témy diplomových prác, resp. na pracovisku riešené doktorandské práce. Témy diplomových prác boli zamerané predovšetkým do oblastí rozvoja elektromobility v podmienkach Ústavu automobilovej mechatroniky, FEI STU v Bratislave. </w:t>
      </w: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Patria sem nasledujúce diplomové práce:</w:t>
      </w: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Riadenie výkonu PEM palivového článku. Spracovateľ: Ing. Filip Lopatka, vedúci: Viktor Ferencey, rok obhajoby: 2018.</w:t>
      </w: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Vplyv strát na generované napätie PEM palivového článku. Spracovateľ: Ing. Kristián Ondrejička, vedúci: Viktor Ferencey, rok obhajoby: 2018.</w:t>
      </w: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Riešené doktorandské práce od 01. 10. 2018:</w:t>
      </w:r>
    </w:p>
    <w:p w:rsidR="00F83826" w:rsidRPr="00EF2265" w:rsidRDefault="00F83826" w:rsidP="00E86605">
      <w:pPr>
        <w:pStyle w:val="Bezriadkovania"/>
        <w:rPr>
          <w:rFonts w:ascii="Times New Roman" w:hAnsi="Times New Roman" w:cs="Times New Roman"/>
          <w:sz w:val="20"/>
          <w:szCs w:val="20"/>
        </w:rPr>
      </w:pPr>
      <w:r w:rsidRPr="00EF2265">
        <w:rPr>
          <w:rFonts w:ascii="Times New Roman" w:hAnsi="Times New Roman" w:cs="Times New Roman"/>
          <w:sz w:val="20"/>
          <w:szCs w:val="20"/>
        </w:rPr>
        <w:t>Energetická bilancia kombinovaných zdrojových systémov pre elektromobily. Riešiteľ: Ing. Kristián Ondrejička.</w:t>
      </w:r>
    </w:p>
    <w:p w:rsidR="00F83826" w:rsidRPr="00EF2265" w:rsidRDefault="00F83826" w:rsidP="00E86605">
      <w:pPr>
        <w:jc w:val="left"/>
        <w:rPr>
          <w:rStyle w:val="PsacstrojHTML"/>
          <w:rFonts w:ascii="Times New Roman" w:eastAsiaTheme="minorHAnsi" w:hAnsi="Times New Roman" w:cs="Times New Roman"/>
          <w:noProof/>
        </w:rPr>
      </w:pPr>
    </w:p>
    <w:p w:rsidR="00F83826" w:rsidRPr="00EF2265" w:rsidRDefault="00F83826" w:rsidP="00E86605">
      <w:pPr>
        <w:jc w:val="left"/>
        <w:rPr>
          <w:rFonts w:ascii="Times New Roman" w:eastAsia="Times New Roman" w:hAnsi="Times New Roman"/>
          <w:noProof/>
          <w:sz w:val="20"/>
          <w:szCs w:val="20"/>
          <w:lang w:eastAsia="sk-SK"/>
        </w:rPr>
      </w:pPr>
      <w:r w:rsidRPr="00EF2265">
        <w:rPr>
          <w:rFonts w:ascii="Times New Roman" w:eastAsia="Times New Roman" w:hAnsi="Times New Roman"/>
          <w:b/>
          <w:bCs/>
          <w:noProof/>
          <w:sz w:val="20"/>
          <w:szCs w:val="20"/>
          <w:lang w:eastAsia="sk-SK"/>
        </w:rPr>
        <w:t>STUVITAL, s.r.o.:</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Spoločnosť v danom období spolupracovala na projektoch s partnermi z prostredia domácich a zahraničných súkromných spoločností, pre ktoré poskytovala služby v oblasti vývoja potravinárskych produktov, biotechnologických aplikácií a vývoji preparátov na báze mikroorganizmov. V roku 2018 boli riešené obsahovo špecializované témy s rozvíjajúcimi sa spoločnosťami v SR, taktiež sa aktuálne finalizujú existujúce dlhodobé spolupráce ako aj spolupráce so zahraničnými partnermi. Spoločnosť ukončila aktivity v priestoroch FCHPT STU a presťahovala sa do nových priestorov v Seredi, ktoré lepšie vyhovujú jej potrebám. Spolupráca s FCHPT STU je rozvíjaná aj naďalej, hlavne s individuálnymi pracoviskami, ktoré obsahovo a personálne súvisia s činnosťou a históriou spoločnosti. V roku 2018 spoločnosť významne zapájala do svojich aktivít študentov 3. - 5. ročníka na FCHPT STU (celkovo praxovali v spoločnosti na platených miestach 4 študenti). V roku 2019 má STUVITAL, s.r.o., ambíciu začať produkovať aj vlastné výrobky, ale len za podmienky napojenia výrobných </w:t>
      </w:r>
      <w:r w:rsidRPr="00EF2265">
        <w:rPr>
          <w:rFonts w:ascii="Times New Roman" w:eastAsia="Times New Roman" w:hAnsi="Times New Roman"/>
          <w:sz w:val="20"/>
          <w:szCs w:val="20"/>
          <w:lang w:eastAsia="sk-SK"/>
        </w:rPr>
        <w:lastRenderedPageBreak/>
        <w:t>aktivít na aktivity svojich dlhodobých partnerov. Pre rok 2019 sa pripravuje kampaň/koncept spolupráce s MSP na Slovensku.</w:t>
      </w:r>
    </w:p>
    <w:p w:rsidR="00F83826" w:rsidRPr="00EF2265" w:rsidRDefault="00F83826" w:rsidP="00E86605">
      <w:pPr>
        <w:jc w:val="left"/>
        <w:rPr>
          <w:rFonts w:ascii="Times New Roman" w:eastAsia="Times New Roman" w:hAnsi="Times New Roman"/>
          <w:b/>
          <w:bCs/>
          <w:noProof/>
          <w:sz w:val="20"/>
          <w:szCs w:val="20"/>
          <w:lang w:eastAsia="sk-SK"/>
        </w:rPr>
      </w:pPr>
    </w:p>
    <w:p w:rsidR="00F83826" w:rsidRPr="00EF2265" w:rsidRDefault="00F83826" w:rsidP="00E86605">
      <w:pPr>
        <w:jc w:val="left"/>
        <w:rPr>
          <w:rFonts w:ascii="Times New Roman" w:eastAsia="Times New Roman" w:hAnsi="Times New Roman"/>
          <w:noProof/>
          <w:sz w:val="20"/>
          <w:szCs w:val="20"/>
          <w:lang w:eastAsia="sk-SK"/>
        </w:rPr>
      </w:pPr>
      <w:r w:rsidRPr="00EF2265">
        <w:rPr>
          <w:rFonts w:ascii="Times New Roman" w:eastAsia="Times New Roman" w:hAnsi="Times New Roman"/>
          <w:b/>
          <w:bCs/>
          <w:noProof/>
          <w:sz w:val="20"/>
          <w:szCs w:val="20"/>
          <w:lang w:eastAsia="sk-SK"/>
        </w:rPr>
        <w:t xml:space="preserve">ENFEI, s.r.o.: </w:t>
      </w:r>
    </w:p>
    <w:p w:rsidR="00F83826" w:rsidRPr="00EF2265" w:rsidRDefault="00F83826" w:rsidP="00E86605">
      <w:pPr>
        <w:jc w:val="left"/>
        <w:rPr>
          <w:rFonts w:ascii="Times New Roman" w:eastAsia="Times New Roman" w:hAnsi="Times New Roman"/>
          <w:noProof/>
          <w:sz w:val="20"/>
          <w:szCs w:val="20"/>
          <w:lang w:eastAsia="sk-SK"/>
        </w:rPr>
      </w:pPr>
      <w:r w:rsidRPr="00EF2265">
        <w:rPr>
          <w:rFonts w:ascii="Times New Roman" w:eastAsia="Times New Roman" w:hAnsi="Times New Roman"/>
          <w:sz w:val="20"/>
          <w:szCs w:val="20"/>
        </w:rPr>
        <w:t>Spoločnosť sa v uplynulom období venovala výskumu a experimentálnym meraniam mechanického a prúdového namáhania lanových spojok, ich diagnostike a hodnoteniu ich stavu.</w:t>
      </w:r>
    </w:p>
    <w:p w:rsidR="00F83826" w:rsidRPr="00EF2265" w:rsidRDefault="00F83826" w:rsidP="00E86605">
      <w:pPr>
        <w:jc w:val="left"/>
        <w:rPr>
          <w:rFonts w:ascii="Times New Roman" w:eastAsia="Times New Roman" w:hAnsi="Times New Roman"/>
          <w:sz w:val="20"/>
          <w:szCs w:val="20"/>
        </w:rPr>
      </w:pPr>
      <w:r w:rsidRPr="00EF2265">
        <w:rPr>
          <w:rFonts w:ascii="Times New Roman" w:eastAsia="Times New Roman" w:hAnsi="Times New Roman"/>
          <w:sz w:val="20"/>
          <w:szCs w:val="20"/>
        </w:rPr>
        <w:t>Hlavnou témou vo výskumnej časti bolo analytické modelovanie lanových spojok pri ich mechanickom zaťažení a trvalom zaťažení maximálnymi dovolenými hodnotami elektrického prúdu. Experimentálne merania boli zamerané na meranie mechanického namáhania, meranie priebehu teploty vodiča a spojky spolu s parametrami ich okolia (hlavne teplota, prechodové odpory, gradienty teplôt medzi plášťom a jadrom lana a spojky) pri rozličnom mechanickom zaťažení a rozličnom zaťažení elektrickým prúdom. Ďalej sa vykonávali termovízne merania. Na meracej aparatúre sa vytvorili reálne prevádzkové stavy a stav kritický, keď došlo k pretrhnutiu alebo vyvlečeniu lana, resp. roztrhnutiu spojky pri rôznych hodnotách elektrického prúdu. Merania boli vykonané na vzorkách pozostávajúcich z lán AlFe 350/6 a z lisovanej spojky pre tento typ lana, typu 166 635. Následne sa porovnávali výsledky experimentu s analytickými a simulačnými výsledkami počítačových modelov.</w:t>
      </w:r>
    </w:p>
    <w:p w:rsidR="00F83826" w:rsidRPr="00EF2265" w:rsidRDefault="00F83826" w:rsidP="00E86605">
      <w:pPr>
        <w:jc w:val="left"/>
        <w:rPr>
          <w:rFonts w:ascii="Times New Roman" w:eastAsia="Times New Roman" w:hAnsi="Times New Roman"/>
          <w:sz w:val="20"/>
          <w:szCs w:val="20"/>
        </w:rPr>
      </w:pPr>
      <w:r w:rsidRPr="00EF2265">
        <w:rPr>
          <w:rFonts w:ascii="Times New Roman" w:eastAsia="Times New Roman" w:hAnsi="Times New Roman"/>
          <w:sz w:val="20"/>
          <w:szCs w:val="20"/>
        </w:rPr>
        <w:t>Na riešení uvedených úloh sa podieľali pracovníci Fakulty elektrotechniky a informatiky Slovenskej technickej univerzity v Bratislave.</w:t>
      </w:r>
    </w:p>
    <w:p w:rsidR="00F83826" w:rsidRPr="00EF2265" w:rsidRDefault="00F83826" w:rsidP="00E86605">
      <w:pPr>
        <w:jc w:val="left"/>
        <w:rPr>
          <w:rFonts w:ascii="Times New Roman" w:eastAsia="Times New Roman" w:hAnsi="Times New Roman"/>
          <w:b/>
          <w:bCs/>
          <w:noProof/>
          <w:sz w:val="20"/>
          <w:szCs w:val="20"/>
          <w:lang w:eastAsia="sk-SK"/>
        </w:rPr>
      </w:pPr>
    </w:p>
    <w:p w:rsidR="00F83826" w:rsidRPr="00EF2265" w:rsidRDefault="00F83826" w:rsidP="00E86605">
      <w:pPr>
        <w:jc w:val="left"/>
        <w:rPr>
          <w:rFonts w:ascii="Times New Roman" w:eastAsia="Times New Roman" w:hAnsi="Times New Roman"/>
          <w:b/>
          <w:bCs/>
          <w:noProof/>
          <w:sz w:val="20"/>
          <w:szCs w:val="20"/>
          <w:lang w:eastAsia="sk-SK"/>
        </w:rPr>
      </w:pPr>
      <w:r w:rsidRPr="00EF2265">
        <w:rPr>
          <w:rFonts w:ascii="Times New Roman" w:eastAsia="Times New Roman" w:hAnsi="Times New Roman"/>
          <w:b/>
          <w:bCs/>
          <w:noProof/>
          <w:sz w:val="20"/>
          <w:szCs w:val="20"/>
          <w:lang w:eastAsia="sk-SK"/>
        </w:rPr>
        <w:t>IVMA STU, s.r.o.:</w:t>
      </w:r>
    </w:p>
    <w:p w:rsidR="00F83826" w:rsidRPr="00EF2265" w:rsidRDefault="00F83826" w:rsidP="00E86605">
      <w:pPr>
        <w:jc w:val="left"/>
        <w:rPr>
          <w:rFonts w:ascii="Times New Roman" w:hAnsi="Times New Roman"/>
          <w:color w:val="222222"/>
          <w:sz w:val="20"/>
          <w:szCs w:val="20"/>
          <w:shd w:val="clear" w:color="auto" w:fill="FFFFFF"/>
        </w:rPr>
      </w:pPr>
      <w:r w:rsidRPr="00EF2265">
        <w:rPr>
          <w:rFonts w:ascii="Times New Roman" w:hAnsi="Times New Roman"/>
          <w:color w:val="222222"/>
          <w:sz w:val="20"/>
          <w:szCs w:val="20"/>
          <w:shd w:val="clear" w:color="auto" w:fill="FFFFFF"/>
        </w:rPr>
        <w:t>V tomto období spoločnosť pokračovala v riešení úloh, ktoré jej vyplývali z riešenia úloh v roku 2017.</w:t>
      </w:r>
    </w:p>
    <w:p w:rsidR="00F83826" w:rsidRPr="00EF2265" w:rsidRDefault="00F83826" w:rsidP="00E86605">
      <w:pPr>
        <w:jc w:val="left"/>
        <w:rPr>
          <w:rFonts w:ascii="Times New Roman" w:hAnsi="Times New Roman"/>
          <w:color w:val="222222"/>
          <w:sz w:val="20"/>
          <w:szCs w:val="20"/>
          <w:shd w:val="clear" w:color="auto" w:fill="FFFFFF"/>
        </w:rPr>
      </w:pPr>
      <w:r w:rsidRPr="00EF2265">
        <w:rPr>
          <w:rFonts w:ascii="Times New Roman" w:hAnsi="Times New Roman"/>
          <w:color w:val="222222"/>
          <w:sz w:val="20"/>
          <w:szCs w:val="20"/>
          <w:shd w:val="clear" w:color="auto" w:fill="FFFFFF"/>
        </w:rPr>
        <w:t>Ako nová úloha bola riešená problematika prípravy nových elektród pre bodové odporové zváranie pozinkovaných plechov. V tejto súvislosti bola spolupráca s Ústavom technológií a materiálov SjF. Podieľali sme sa v našom laboratóriu na príprave vzoriek pre 2 diplomové práce. V rámci prípravy experimentálnych vzoriek bola použitá metóda elektro iskrovej depozície. Boli odskúšané rôzne vrstvy na báze W, Ta, Ni a časticových kompozitných materiálov  Cu +TiB2, Al + TiB2, Ni + TiB2 a  W + TiB2 s rôznym objemovým podielom TiB2.</w:t>
      </w:r>
    </w:p>
    <w:p w:rsidR="00F83826" w:rsidRPr="00EF2265" w:rsidRDefault="00F83826" w:rsidP="00E86605">
      <w:pPr>
        <w:jc w:val="left"/>
        <w:rPr>
          <w:rFonts w:ascii="Times New Roman" w:hAnsi="Times New Roman"/>
          <w:color w:val="222222"/>
          <w:sz w:val="20"/>
          <w:szCs w:val="20"/>
          <w:shd w:val="clear" w:color="auto" w:fill="FFFFFF"/>
        </w:rPr>
      </w:pPr>
      <w:r w:rsidRPr="00EF2265">
        <w:rPr>
          <w:rFonts w:ascii="Times New Roman" w:hAnsi="Times New Roman"/>
          <w:color w:val="222222"/>
          <w:sz w:val="20"/>
          <w:szCs w:val="20"/>
          <w:shd w:val="clear" w:color="auto" w:fill="FFFFFF"/>
        </w:rPr>
        <w:t>Vzhľadom na využitie elektród pre bodové odporové zváranie pozinkovaných plechov v praxi bola nadviazaná spolupráca s Matador Automotive a.s., Vráble. V súčasnosti výsledky tejto spolupráce možno charakterizovať plánovaným spoločným projektom, o ktorý sa budeme v budúcnosti uchádzať žiadosťami o finančnú podporu cestou projektov financovaných APVV a výzvami MH SR.</w:t>
      </w:r>
    </w:p>
    <w:p w:rsidR="00F83826" w:rsidRPr="00EF2265" w:rsidRDefault="00F83826" w:rsidP="00E86605">
      <w:pPr>
        <w:jc w:val="left"/>
        <w:rPr>
          <w:rFonts w:ascii="Times New Roman" w:hAnsi="Times New Roman"/>
          <w:color w:val="222222"/>
          <w:sz w:val="20"/>
          <w:szCs w:val="20"/>
          <w:shd w:val="clear" w:color="auto" w:fill="FFFFFF"/>
        </w:rPr>
      </w:pPr>
      <w:r w:rsidRPr="00EF2265">
        <w:rPr>
          <w:rFonts w:ascii="Times New Roman" w:hAnsi="Times New Roman"/>
          <w:color w:val="222222"/>
          <w:sz w:val="20"/>
          <w:szCs w:val="20"/>
          <w:shd w:val="clear" w:color="auto" w:fill="FFFFFF"/>
        </w:rPr>
        <w:t>V tomto roku bol podaný projekt APVV s názvom Elektroiskrová depozícia funkčných vrstiev (APVV-18-0441). Predkladaný projekt rieši problematiku fyzikálnej metalurgie procesu elektro iskrovej depozície (ESD) funkčných vrstiev. Experimentálne práce budú zamerané na prípravu sústav vrstva-substrát. Výber pracovných elektród ESD je na báze kovov, zliatin kovov a cermetov pripravených metódou spark plasma sintering (SPS). Ako substráty sú zliatiny na báze Al, Ti. Experimentálny materiál je hodnotený s cieľom identifikácie jednotlivých fyzikálne metalurgických a mechanických procesov pri ESD. Naša spoločnosť sa prioritne venuje štúdiu a určeniu fyzikálne metalurgických a mechanických procesov tvorby vrstiev metódou elektroiskrového nanášania. Projekt rieši komplexne problematiku elektroiskrového nanášania funkčných vrstiev, podobne, ako je to známe v oblasti navárania a iných metód prípravy vrstiev, respektíve povlakov. Svetovo originálnym je, že okrem zvyčajných elektród navrhujeme a používame kompozitné elektródy a cermety.</w:t>
      </w:r>
    </w:p>
    <w:p w:rsidR="00F83826" w:rsidRPr="00EF2265" w:rsidRDefault="00F83826" w:rsidP="00E86605">
      <w:pPr>
        <w:jc w:val="left"/>
        <w:rPr>
          <w:rFonts w:ascii="Times New Roman" w:hAnsi="Times New Roman"/>
          <w:color w:val="222222"/>
          <w:sz w:val="20"/>
          <w:szCs w:val="20"/>
          <w:shd w:val="clear" w:color="auto" w:fill="FFFFFF"/>
        </w:rPr>
      </w:pPr>
      <w:r w:rsidRPr="00EF2265">
        <w:rPr>
          <w:rFonts w:ascii="Times New Roman" w:hAnsi="Times New Roman"/>
          <w:color w:val="222222"/>
          <w:sz w:val="20"/>
          <w:szCs w:val="20"/>
          <w:shd w:val="clear" w:color="auto" w:fill="FFFFFF"/>
        </w:rPr>
        <w:t>V rámci praxe boli riešené nasledovné úlohy výskumu a vývoja:</w:t>
      </w:r>
    </w:p>
    <w:p w:rsidR="00F83826" w:rsidRPr="00EF2265" w:rsidRDefault="00F83826" w:rsidP="00E86605">
      <w:pPr>
        <w:jc w:val="left"/>
        <w:rPr>
          <w:rFonts w:ascii="Times New Roman" w:hAnsi="Times New Roman"/>
          <w:color w:val="222222"/>
          <w:sz w:val="20"/>
          <w:szCs w:val="20"/>
          <w:shd w:val="clear" w:color="auto" w:fill="FFFFFF"/>
        </w:rPr>
      </w:pPr>
      <w:r w:rsidRPr="00EF2265">
        <w:rPr>
          <w:rFonts w:ascii="Times New Roman" w:hAnsi="Times New Roman"/>
          <w:color w:val="222222"/>
          <w:sz w:val="20"/>
          <w:szCs w:val="20"/>
          <w:shd w:val="clear" w:color="auto" w:fill="FFFFFF"/>
        </w:rPr>
        <w:t>Semikron a.s, Vrbové – riešenie problému praskania vysokovýkonných tyristorových čipov pri ich montáži lisovaním.</w:t>
      </w:r>
    </w:p>
    <w:p w:rsidR="00F83826" w:rsidRPr="00EF2265" w:rsidRDefault="00F83826" w:rsidP="00E86605">
      <w:pPr>
        <w:jc w:val="left"/>
        <w:rPr>
          <w:rFonts w:ascii="Times New Roman" w:hAnsi="Times New Roman"/>
          <w:color w:val="222222"/>
          <w:sz w:val="20"/>
          <w:szCs w:val="20"/>
          <w:shd w:val="clear" w:color="auto" w:fill="FFFFFF"/>
        </w:rPr>
      </w:pPr>
      <w:r w:rsidRPr="00EF2265">
        <w:rPr>
          <w:rFonts w:ascii="Times New Roman" w:hAnsi="Times New Roman"/>
          <w:color w:val="222222"/>
          <w:sz w:val="20"/>
          <w:szCs w:val="20"/>
          <w:shd w:val="clear" w:color="auto" w:fill="FFFFFF"/>
        </w:rPr>
        <w:t>Dru a.s., Zvolen – identifikácia nájdených nečistôt v potravinárskych výrobkoch počas výroby.</w:t>
      </w:r>
    </w:p>
    <w:p w:rsidR="00F83826" w:rsidRPr="00EF2265" w:rsidRDefault="00F83826" w:rsidP="00E86605">
      <w:pPr>
        <w:jc w:val="left"/>
        <w:rPr>
          <w:rFonts w:ascii="Times New Roman" w:hAnsi="Times New Roman"/>
          <w:sz w:val="20"/>
          <w:szCs w:val="20"/>
        </w:rPr>
      </w:pPr>
      <w:r w:rsidRPr="00EF2265">
        <w:rPr>
          <w:rFonts w:ascii="Times New Roman" w:hAnsi="Times New Roman"/>
          <w:color w:val="222222"/>
          <w:sz w:val="20"/>
          <w:szCs w:val="20"/>
          <w:shd w:val="clear" w:color="auto" w:fill="FFFFFF"/>
        </w:rPr>
        <w:t>JPK Integral plus, Bratislava – riešenie problému životnosti foriem používaných na výrobu betónových obkladov a dlažieb.</w:t>
      </w:r>
    </w:p>
    <w:p w:rsidR="00F83826" w:rsidRPr="00EF2265" w:rsidRDefault="00F83826" w:rsidP="00E86605">
      <w:pPr>
        <w:spacing w:before="240"/>
        <w:jc w:val="left"/>
        <w:rPr>
          <w:rFonts w:ascii="Times New Roman" w:hAnsi="Times New Roman"/>
          <w:sz w:val="20"/>
          <w:szCs w:val="20"/>
        </w:rPr>
      </w:pPr>
      <w:r w:rsidRPr="00EF2265">
        <w:rPr>
          <w:rFonts w:ascii="Times New Roman" w:hAnsi="Times New Roman"/>
          <w:sz w:val="20"/>
          <w:szCs w:val="20"/>
        </w:rPr>
        <w:t xml:space="preserve">V priebehu roka 2018 prebiehali rokovania so záujemcami z Fakulty informatiky a informačných technológií STU ohľadom založenia nového univerzitného spin-off-u.  Dňa 12.12.2018 bola podpísaná Notárska zápisnica o právnom úkone, ktorej súčasťou je Zakladateľská zmluva jednoduchej spoločnosti na akcie s názvom </w:t>
      </w:r>
      <w:r w:rsidRPr="00EF2265">
        <w:rPr>
          <w:rFonts w:ascii="Times New Roman" w:hAnsi="Times New Roman"/>
          <w:b/>
          <w:sz w:val="20"/>
          <w:szCs w:val="20"/>
        </w:rPr>
        <w:t>UXtweak j.s.a.</w:t>
      </w:r>
      <w:r w:rsidRPr="00EF2265">
        <w:rPr>
          <w:rFonts w:ascii="Times New Roman" w:hAnsi="Times New Roman"/>
          <w:sz w:val="20"/>
          <w:szCs w:val="20"/>
        </w:rPr>
        <w:t xml:space="preserve"> Zakladateľmi je päť fyzických osôb a STU Scientific, s.r.o.</w:t>
      </w:r>
    </w:p>
    <w:p w:rsidR="00F83826" w:rsidRPr="00EF2265" w:rsidRDefault="00F83826" w:rsidP="00E86605">
      <w:pPr>
        <w:pStyle w:val="Default"/>
        <w:spacing w:after="120"/>
        <w:rPr>
          <w:rFonts w:ascii="Times New Roman" w:hAnsi="Times New Roman" w:cs="Times New Roman"/>
          <w:sz w:val="20"/>
          <w:szCs w:val="20"/>
          <w:lang w:val="sk-SK"/>
        </w:rPr>
      </w:pPr>
      <w:r w:rsidRPr="00EF2265">
        <w:rPr>
          <w:rFonts w:ascii="Times New Roman" w:hAnsi="Times New Roman" w:cs="Times New Roman"/>
          <w:sz w:val="20"/>
          <w:szCs w:val="20"/>
          <w:lang w:val="sk-SK"/>
        </w:rPr>
        <w:t>Spoločnosť s názvom UXtweak j.s.a. vyvíja a ponúka online nástroje a služby na testovanie použiteľnosti softvéru z pohľadu používateľského zážitku. Plánuje poskytovať komplexné služby v oblasti analýzy, návrhu, realizácie a vyhodnotenia štúdií zameraných na používateľský zážitok softvérových aplikácií a systémov. Tiež sa zameria na poradenstvo pri implementácii zistení z používateľských štúdií a poradenstvo pri návrhu softvéru cieleného na používateľa, s dôrazom na jednoduchosť, grafickú prívetivosť, intuitívnosť a použiteľnosť. Skúma automatické metódy na analýzu a vyhodnotenie správania sa používateľov v prostredí Webu a identifikáciu problémov použiteľnosti so zapojením metód umelej inteligencie. Svoje skúsenosti a výsledky výskumu aplikuje tiež vo svojich online nástrojoch.</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lastRenderedPageBreak/>
        <w:t xml:space="preserve">Víziou spoločnosti je ponúkať komplexné služby v oblasti testovania používateľského zážitku - všetko v jednom (angl. all-in-one), kde okrem softvérovej UX platformy, klientom bude k dispozícii analytický tím, ktorý zabezpečí kompletnú používateľskú štúdiu, najmä kvantitatívneho charakteru v online prostredí, s ohľadom na potreby klienta, počnúc analýzou potrieb/prostredia, návrhom štúdie, realizáciou, vyhodnotením a končiac prezentáciou zistení, resp. pomoc s ich implementáciou. </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Okrem uvedených aktivít spoločnosť STU Scientific, s.r.o., v rámci vydavateľskej činnosti a organizačného poradenstva zabezpečovala grafické návrhy, výrobu a tlač reklamných a propagačných predmetov s logom STU, certifikátov, propagačno-prezentačných plagátov, informačných tabúľ pre projekty spolufinancované zo štrukturálnych fondov. Spoločnosť organizovala viaceré worskhopy a exkurzie v UTI, spolupodieľala sa na organizačnom zabezpečení medzinárodnej konferencie MME Smolenice 2018 a Vianočného programu VUS Technik s názvom Prajeme Vám...</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Naďalej prostredníctvom e-shopu je zabezpečovaný predaj reklamných predmetov, tvorba web stránok, správa domén a hostingov pre univerzitné spin-off spoločnosti. </w:t>
      </w:r>
    </w:p>
    <w:p w:rsidR="00F83826" w:rsidRDefault="00F83826" w:rsidP="00E86605">
      <w:pPr>
        <w:jc w:val="left"/>
        <w:rPr>
          <w:rStyle w:val="h1a"/>
          <w:rFonts w:ascii="Times New Roman" w:hAnsi="Times New Roman"/>
          <w:sz w:val="20"/>
          <w:szCs w:val="20"/>
        </w:rPr>
      </w:pPr>
      <w:r w:rsidRPr="00EF2265">
        <w:rPr>
          <w:rStyle w:val="PsacstrojHTML"/>
          <w:rFonts w:ascii="Times New Roman" w:eastAsiaTheme="minorHAnsi" w:hAnsi="Times New Roman" w:cs="Times New Roman"/>
        </w:rPr>
        <w:t xml:space="preserve">Počas uvedeného obdobia sa spoločnosť aktívne zúčastňovala prípravy veľkého projektu ACCORD, pričom zabezpečovala spoluprácu so spoločnosťou WYG Savjetovanje d.o.o., Zagreb, pri príprave Štúdie uskutočniteľnosti uvedeného projektu. Okrem prípravy podkladov pre FS, CBA a FA boli v spolupráci s Okresným úradom BA zabezpečené stanoviská k Natura 2 000 a hodnotenie vplyvov na životné prostredie v zmysle zákona </w:t>
      </w:r>
      <w:r w:rsidRPr="00EF2265">
        <w:rPr>
          <w:rFonts w:ascii="Times New Roman" w:hAnsi="Times New Roman"/>
          <w:sz w:val="20"/>
          <w:szCs w:val="20"/>
        </w:rPr>
        <w:t xml:space="preserve">č. 24/2006 Z. z. </w:t>
      </w:r>
      <w:r w:rsidRPr="00EF2265">
        <w:rPr>
          <w:rStyle w:val="h1a"/>
          <w:rFonts w:ascii="Times New Roman" w:hAnsi="Times New Roman"/>
          <w:sz w:val="20"/>
          <w:szCs w:val="20"/>
        </w:rPr>
        <w:t>Zákon o posudzovaní vplyvov na životné prostredie a o zmene a doplnení niektorých zákonov.</w:t>
      </w:r>
    </w:p>
    <w:p w:rsidR="00BE3E2D" w:rsidRPr="00EF2265" w:rsidRDefault="00BE3E2D" w:rsidP="00E86605">
      <w:pPr>
        <w:jc w:val="left"/>
        <w:rPr>
          <w:rStyle w:val="h1a"/>
          <w:rFonts w:ascii="Times New Roman" w:hAnsi="Times New Roman"/>
          <w:sz w:val="20"/>
          <w:szCs w:val="20"/>
        </w:rPr>
      </w:pPr>
    </w:p>
    <w:p w:rsidR="00F83826" w:rsidRPr="00EF2265" w:rsidRDefault="00F83826" w:rsidP="00E86605">
      <w:pPr>
        <w:jc w:val="left"/>
        <w:rPr>
          <w:rFonts w:ascii="Times New Roman" w:eastAsia="Times New Roman" w:hAnsi="Times New Roman"/>
          <w:sz w:val="20"/>
          <w:szCs w:val="20"/>
        </w:rPr>
      </w:pPr>
      <w:r w:rsidRPr="00EF2265">
        <w:rPr>
          <w:rFonts w:ascii="Times New Roman" w:eastAsia="Times New Roman" w:hAnsi="Times New Roman"/>
          <w:sz w:val="20"/>
          <w:szCs w:val="20"/>
          <w:lang w:eastAsia="sk-SK"/>
        </w:rPr>
        <w:t> </w:t>
      </w:r>
    </w:p>
    <w:p w:rsidR="00F83826" w:rsidRPr="00BE3E2D" w:rsidRDefault="00F83826" w:rsidP="00E86605">
      <w:pPr>
        <w:pStyle w:val="Nadpis2"/>
        <w:keepLines w:val="0"/>
        <w:numPr>
          <w:ilvl w:val="1"/>
          <w:numId w:val="29"/>
        </w:numPr>
        <w:tabs>
          <w:tab w:val="clear" w:pos="567"/>
        </w:tabs>
        <w:spacing w:after="0"/>
        <w:rPr>
          <w:rFonts w:ascii="Times New Roman" w:hAnsi="Times New Roman" w:cs="Times New Roman"/>
          <w:i/>
          <w:color w:val="auto"/>
          <w:sz w:val="20"/>
          <w:szCs w:val="20"/>
        </w:rPr>
      </w:pPr>
      <w:bookmarkStart w:id="206" w:name="_Toc448261585"/>
      <w:r w:rsidRPr="00BE3E2D">
        <w:rPr>
          <w:rFonts w:ascii="Times New Roman" w:hAnsi="Times New Roman" w:cs="Times New Roman"/>
          <w:color w:val="auto"/>
          <w:sz w:val="20"/>
          <w:szCs w:val="20"/>
        </w:rPr>
        <w:t xml:space="preserve"> </w:t>
      </w:r>
      <w:bookmarkStart w:id="207" w:name="_Toc4590001"/>
      <w:r w:rsidRPr="00BE3E2D">
        <w:rPr>
          <w:rFonts w:ascii="Times New Roman" w:hAnsi="Times New Roman" w:cs="Times New Roman"/>
          <w:color w:val="auto"/>
          <w:sz w:val="20"/>
          <w:szCs w:val="20"/>
        </w:rPr>
        <w:t>Podporné služby výskumu</w:t>
      </w:r>
      <w:bookmarkEnd w:id="206"/>
      <w:bookmarkEnd w:id="207"/>
    </w:p>
    <w:p w:rsidR="00F83826" w:rsidRPr="00EF2265" w:rsidRDefault="00F83826" w:rsidP="00E86605">
      <w:pPr>
        <w:jc w:val="left"/>
        <w:rPr>
          <w:rFonts w:ascii="Times New Roman" w:hAnsi="Times New Roman"/>
          <w:sz w:val="20"/>
          <w:szCs w:val="20"/>
        </w:rPr>
      </w:pPr>
    </w:p>
    <w:p w:rsidR="00F83826" w:rsidRPr="00EF2265" w:rsidRDefault="00F83826" w:rsidP="00E86605">
      <w:pPr>
        <w:pStyle w:val="Odsekzoznamu"/>
        <w:numPr>
          <w:ilvl w:val="0"/>
          <w:numId w:val="11"/>
        </w:numPr>
        <w:autoSpaceDE w:val="0"/>
        <w:autoSpaceDN w:val="0"/>
        <w:adjustRightInd w:val="0"/>
        <w:spacing w:after="0" w:line="240" w:lineRule="auto"/>
        <w:ind w:left="426"/>
        <w:rPr>
          <w:rFonts w:ascii="Times New Roman" w:hAnsi="Times New Roman"/>
          <w:b/>
          <w:sz w:val="20"/>
          <w:szCs w:val="20"/>
        </w:rPr>
      </w:pPr>
      <w:r w:rsidRPr="00EF2265">
        <w:rPr>
          <w:rFonts w:ascii="Times New Roman" w:hAnsi="Times New Roman"/>
          <w:b/>
          <w:sz w:val="20"/>
          <w:szCs w:val="20"/>
        </w:rPr>
        <w:t>On-line informačný systém granty.stuba.sk</w:t>
      </w:r>
    </w:p>
    <w:p w:rsidR="00F83826" w:rsidRPr="00EF2265" w:rsidRDefault="00F83826" w:rsidP="00E86605">
      <w:pPr>
        <w:jc w:val="left"/>
        <w:rPr>
          <w:rFonts w:ascii="Times New Roman" w:eastAsia="Times New Roman" w:hAnsi="Times New Roman"/>
          <w:sz w:val="20"/>
          <w:szCs w:val="20"/>
        </w:rPr>
      </w:pPr>
      <w:r w:rsidRPr="00EF2265">
        <w:rPr>
          <w:rFonts w:ascii="Times New Roman" w:eastAsia="Times New Roman" w:hAnsi="Times New Roman"/>
          <w:sz w:val="20"/>
          <w:szCs w:val="20"/>
        </w:rPr>
        <w:t>Internetová stránka granty.stuba.sk zahájila činnosť v nadväznosti na svojho predchodcu v roku 2014. Jej cieľom je poskytovať prehľad o aktuálnych informáciách týkajúcich sa domácich a zahraničných grantových schém. Zameriava sa najmä na informácie o dostupných domácich a zahraničných zdrojoch financovania výskumnej a vzdelávacej činnosti, ako sú otvorené výzvy rámcových programov a možnosti mobility výskumných pracovníkov. Informuje aj o zaujímavých podujatiach a novinkách v tejto oblasti.</w:t>
      </w:r>
    </w:p>
    <w:p w:rsidR="00F83826" w:rsidRPr="00EF2265" w:rsidRDefault="00F83826" w:rsidP="00E86605">
      <w:pPr>
        <w:jc w:val="left"/>
        <w:rPr>
          <w:rFonts w:ascii="Times New Roman" w:eastAsia="Times New Roman" w:hAnsi="Times New Roman"/>
          <w:sz w:val="20"/>
          <w:szCs w:val="20"/>
        </w:rPr>
      </w:pPr>
    </w:p>
    <w:p w:rsidR="00F83826" w:rsidRPr="00EF2265" w:rsidRDefault="00F83826" w:rsidP="00E86605">
      <w:pPr>
        <w:pStyle w:val="Odsekzoznamu"/>
        <w:numPr>
          <w:ilvl w:val="0"/>
          <w:numId w:val="14"/>
        </w:numPr>
        <w:autoSpaceDE w:val="0"/>
        <w:autoSpaceDN w:val="0"/>
        <w:adjustRightInd w:val="0"/>
        <w:spacing w:after="0"/>
        <w:ind w:left="426"/>
        <w:rPr>
          <w:rFonts w:ascii="Times New Roman" w:hAnsi="Times New Roman"/>
          <w:b/>
          <w:sz w:val="20"/>
          <w:szCs w:val="20"/>
        </w:rPr>
      </w:pPr>
      <w:r w:rsidRPr="00EF2265">
        <w:rPr>
          <w:rFonts w:ascii="Times New Roman" w:hAnsi="Times New Roman"/>
          <w:b/>
          <w:sz w:val="20"/>
          <w:szCs w:val="20"/>
        </w:rPr>
        <w:t>Program prefinancovania MVTS</w:t>
      </w:r>
    </w:p>
    <w:p w:rsidR="00F83826" w:rsidRPr="00EF2265" w:rsidRDefault="00F83826" w:rsidP="00E86605">
      <w:pPr>
        <w:autoSpaceDE w:val="0"/>
        <w:autoSpaceDN w:val="0"/>
        <w:adjustRightInd w:val="0"/>
        <w:jc w:val="left"/>
        <w:rPr>
          <w:rFonts w:ascii="Times New Roman" w:hAnsi="Times New Roman"/>
          <w:bCs/>
          <w:sz w:val="20"/>
          <w:szCs w:val="20"/>
        </w:rPr>
      </w:pPr>
      <w:r w:rsidRPr="00EF2265">
        <w:rPr>
          <w:rFonts w:ascii="Times New Roman" w:hAnsi="Times New Roman"/>
          <w:bCs/>
          <w:sz w:val="20"/>
          <w:szCs w:val="20"/>
        </w:rPr>
        <w:t>Program fungujúci od roku 2008 umožňuje prefinancovanie výskumných projektov medzinárodnej vedecko-technickej spolupráce, hlavne projektov rámcových programov EÚ ako aj domácich schém.</w:t>
      </w:r>
    </w:p>
    <w:p w:rsidR="00F83826" w:rsidRPr="00EF2265" w:rsidRDefault="00F83826" w:rsidP="00E86605">
      <w:pPr>
        <w:autoSpaceDE w:val="0"/>
        <w:autoSpaceDN w:val="0"/>
        <w:adjustRightInd w:val="0"/>
        <w:jc w:val="left"/>
        <w:rPr>
          <w:rFonts w:ascii="Times New Roman" w:hAnsi="Times New Roman"/>
          <w:bCs/>
          <w:sz w:val="20"/>
          <w:szCs w:val="20"/>
        </w:rPr>
      </w:pPr>
      <w:r w:rsidRPr="00EF2265">
        <w:rPr>
          <w:rFonts w:ascii="Times New Roman" w:hAnsi="Times New Roman"/>
          <w:bCs/>
          <w:sz w:val="20"/>
          <w:szCs w:val="20"/>
        </w:rPr>
        <w:t>V rámci programu STU poskytuje za výhodných podmienok prefinancovanie výskumných projektov MVTS. Podpora je účelovou návratnou finančnou výpomocou a umožňuje výskumníkom zapájať sa do grantových schém, ktoré neumožňujú zálohový systém financovania projektov a neexistuje možnosť prefinancovať projekt z vlastných zdrojov pracoviska.</w:t>
      </w:r>
    </w:p>
    <w:p w:rsidR="00F83826" w:rsidRPr="00EF2265" w:rsidRDefault="00F83826" w:rsidP="00E86605">
      <w:pPr>
        <w:autoSpaceDE w:val="0"/>
        <w:autoSpaceDN w:val="0"/>
        <w:adjustRightInd w:val="0"/>
        <w:jc w:val="left"/>
        <w:rPr>
          <w:rFonts w:ascii="Times New Roman" w:hAnsi="Times New Roman"/>
          <w:bCs/>
          <w:sz w:val="20"/>
          <w:szCs w:val="20"/>
        </w:rPr>
      </w:pPr>
      <w:r w:rsidRPr="00EF2265">
        <w:rPr>
          <w:rFonts w:ascii="Times New Roman" w:hAnsi="Times New Roman"/>
          <w:bCs/>
          <w:sz w:val="20"/>
          <w:szCs w:val="20"/>
        </w:rPr>
        <w:t xml:space="preserve">Program výskumníkom umožňuje prefinancovať prípravu projektovej dokumentácie, ako aj realizovať samotné aktivity projektu. </w:t>
      </w:r>
    </w:p>
    <w:p w:rsidR="00F83826" w:rsidRPr="00EF2265" w:rsidRDefault="00F83826" w:rsidP="00E86605">
      <w:pPr>
        <w:pStyle w:val="Odsekzoznamu"/>
        <w:numPr>
          <w:ilvl w:val="0"/>
          <w:numId w:val="14"/>
        </w:numPr>
        <w:autoSpaceDE w:val="0"/>
        <w:autoSpaceDN w:val="0"/>
        <w:adjustRightInd w:val="0"/>
        <w:spacing w:after="0"/>
        <w:ind w:left="426"/>
        <w:rPr>
          <w:rFonts w:ascii="Times New Roman" w:hAnsi="Times New Roman"/>
          <w:sz w:val="20"/>
          <w:szCs w:val="20"/>
        </w:rPr>
      </w:pPr>
      <w:r w:rsidRPr="00EF2265">
        <w:rPr>
          <w:rFonts w:ascii="Times New Roman" w:hAnsi="Times New Roman"/>
          <w:b/>
          <w:sz w:val="20"/>
          <w:szCs w:val="20"/>
        </w:rPr>
        <w:t>Program na podporu zapájania STU do projektov medzinárodnej vedecko-technickej spolupráce</w:t>
      </w:r>
      <w:r w:rsidRPr="00EF2265">
        <w:rPr>
          <w:rFonts w:ascii="Times New Roman" w:hAnsi="Times New Roman"/>
          <w:sz w:val="20"/>
          <w:szCs w:val="20"/>
        </w:rPr>
        <w:t xml:space="preserve"> (Motivačný program)</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Od roku 2008 je vytvorený program na podporu motivácie jednotlivcov na podávanie projektov MVTS. V rámci tohto programu rektor priznáva mimoriadnu odmenu zamestnancom, resp. študentom STU, ktorí vypracujú a/alebo dohodnú účasť kolektívu STU na projekte medzinárodnej vedecko-technickej spolupráce financovanom z prostriedkov zahraničných schém, ktoré sú posudzované financujúcim orgánom. Projekty MVTS, zahrnuté do tohto programu, musia mať charakter vedeckých, technických alebo umeleckých projektov podporujúcich medzinárodnú spoluprácu, musia zapájať do projektu minimálne jedno pracovisko STU a musia finančne podporovať činnosť tohto pracoviska zo zahraničných zdrojov, ako sú napr. Rámcové programy Európskej únie pre výskum a vývoj (H2020), Nórsky finančný mechanizmus, NATO a pod.</w:t>
      </w:r>
    </w:p>
    <w:p w:rsidR="00F83826" w:rsidRPr="00405E1E" w:rsidRDefault="00F83826" w:rsidP="00E86605">
      <w:pPr>
        <w:pStyle w:val="Nadpis3"/>
        <w:keepLines w:val="0"/>
        <w:numPr>
          <w:ilvl w:val="2"/>
          <w:numId w:val="29"/>
        </w:numPr>
        <w:spacing w:before="240" w:after="60" w:line="240" w:lineRule="auto"/>
        <w:rPr>
          <w:rFonts w:ascii="Times New Roman" w:hAnsi="Times New Roman" w:cs="Times New Roman"/>
          <w:color w:val="auto"/>
          <w:sz w:val="20"/>
          <w:szCs w:val="20"/>
        </w:rPr>
      </w:pPr>
      <w:bookmarkStart w:id="208" w:name="_Toc4590002"/>
      <w:r w:rsidRPr="00405E1E">
        <w:rPr>
          <w:rFonts w:ascii="Times New Roman" w:hAnsi="Times New Roman" w:cs="Times New Roman"/>
          <w:color w:val="auto"/>
          <w:sz w:val="20"/>
          <w:szCs w:val="20"/>
        </w:rPr>
        <w:t>Univerzitná knižnica STU</w:t>
      </w:r>
      <w:bookmarkEnd w:id="208"/>
    </w:p>
    <w:p w:rsidR="00F83826" w:rsidRPr="00EF2265" w:rsidRDefault="00F83826" w:rsidP="00E86605">
      <w:pPr>
        <w:jc w:val="left"/>
        <w:outlineLvl w:val="0"/>
        <w:rPr>
          <w:rFonts w:ascii="Times New Roman" w:hAnsi="Times New Roman"/>
          <w:b/>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Úlohou Univerzitnej knižnice STU je informačné zabezpečenie na podporu štúdia a na podporu vedecko-výskumnej činnosti na STU. Pracovisko slúži ako koordinátor aktivít akademických knižníc na STU. Služby a aktivity sú zverejnené na webovej stránke STU – Virtuálna knižnica. Aj v roku 2018 sa budovali a sprístupňovali odborné databázy multiodborových a odborových informačných zdrojov, ktoré pokrývajú vo vysokej kvalite všetky vedné odbory, ktoré sú predmetom riešenia v rámci celej univerzity. Jedná sa o digitálnu knižnicu. </w:t>
      </w:r>
    </w:p>
    <w:p w:rsidR="00F83826" w:rsidRPr="00EF2265" w:rsidRDefault="00F83826" w:rsidP="00E86605">
      <w:pPr>
        <w:jc w:val="left"/>
        <w:rPr>
          <w:rFonts w:ascii="Times New Roman" w:hAnsi="Times New Roman"/>
          <w:sz w:val="20"/>
          <w:szCs w:val="20"/>
        </w:rPr>
      </w:pPr>
    </w:p>
    <w:p w:rsidR="00405E1E" w:rsidRDefault="00405E1E" w:rsidP="00E86605">
      <w:pPr>
        <w:jc w:val="left"/>
        <w:rPr>
          <w:rFonts w:ascii="Times New Roman" w:hAnsi="Times New Roman"/>
          <w:b/>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b/>
          <w:sz w:val="20"/>
          <w:szCs w:val="20"/>
        </w:rPr>
        <w:t>Databázy</w:t>
      </w:r>
      <w:r w:rsidRPr="00EF2265">
        <w:rPr>
          <w:rFonts w:ascii="Times New Roman" w:hAnsi="Times New Roman"/>
          <w:sz w:val="20"/>
          <w:szCs w:val="20"/>
        </w:rPr>
        <w:t xml:space="preserve">: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Science Direct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SpringerLink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Wiley Online Library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EBSCOhost (Academic Search Complete a Business Source Complete)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IEEE/IET Electronic Library (IEEE Xplore)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Engineering Village - Compendex </w:t>
      </w:r>
    </w:p>
    <w:p w:rsidR="00F83826" w:rsidRPr="00EF2265" w:rsidRDefault="00F83826" w:rsidP="00E86605">
      <w:pPr>
        <w:ind w:hanging="360"/>
        <w:jc w:val="left"/>
        <w:rPr>
          <w:rFonts w:ascii="Times New Roman" w:hAnsi="Times New Roman"/>
          <w:sz w:val="20"/>
          <w:szCs w:val="20"/>
        </w:rPr>
      </w:pPr>
      <w:r w:rsidRPr="00EF2265">
        <w:rPr>
          <w:rFonts w:ascii="Times New Roman" w:hAnsi="Times New Roman"/>
          <w:sz w:val="20"/>
          <w:szCs w:val="20"/>
        </w:rPr>
        <w:t xml:space="preserve">      </w:t>
      </w:r>
      <w:r w:rsidRPr="00EF2265">
        <w:rPr>
          <w:rFonts w:ascii="Times New Roman" w:hAnsi="Times New Roman"/>
          <w:sz w:val="20"/>
          <w:szCs w:val="20"/>
        </w:rPr>
        <w:tab/>
        <w:t xml:space="preserve">CRCnet BASE  - open access database - journals </w:t>
      </w:r>
    </w:p>
    <w:p w:rsidR="00F83826" w:rsidRPr="00EF2265" w:rsidRDefault="00F83826" w:rsidP="00E86605">
      <w:pPr>
        <w:ind w:hanging="360"/>
        <w:jc w:val="left"/>
        <w:rPr>
          <w:rFonts w:ascii="Times New Roman" w:hAnsi="Times New Roman"/>
          <w:sz w:val="20"/>
          <w:szCs w:val="20"/>
        </w:rPr>
      </w:pPr>
      <w:r w:rsidRPr="00EF2265">
        <w:rPr>
          <w:rFonts w:ascii="Times New Roman" w:hAnsi="Times New Roman"/>
          <w:sz w:val="20"/>
          <w:szCs w:val="20"/>
        </w:rPr>
        <w:t xml:space="preserve">      </w:t>
      </w:r>
      <w:r w:rsidRPr="00EF2265">
        <w:rPr>
          <w:rFonts w:ascii="Times New Roman" w:hAnsi="Times New Roman"/>
          <w:sz w:val="20"/>
          <w:szCs w:val="20"/>
        </w:rPr>
        <w:tab/>
        <w:t xml:space="preserve">CRC open access database e - books  </w:t>
      </w:r>
    </w:p>
    <w:p w:rsidR="00F83826" w:rsidRPr="00EF2265" w:rsidRDefault="00F83826" w:rsidP="00E86605">
      <w:pPr>
        <w:ind w:hanging="360"/>
        <w:jc w:val="left"/>
        <w:rPr>
          <w:rFonts w:ascii="Times New Roman" w:hAnsi="Times New Roman"/>
          <w:sz w:val="20"/>
          <w:szCs w:val="20"/>
        </w:rPr>
      </w:pPr>
      <w:r w:rsidRPr="00EF2265">
        <w:rPr>
          <w:rFonts w:ascii="Times New Roman" w:hAnsi="Times New Roman"/>
          <w:sz w:val="20"/>
          <w:szCs w:val="20"/>
        </w:rPr>
        <w:t xml:space="preserve">      </w:t>
      </w:r>
      <w:r w:rsidRPr="00EF2265">
        <w:rPr>
          <w:rFonts w:ascii="Times New Roman" w:hAnsi="Times New Roman"/>
          <w:sz w:val="20"/>
          <w:szCs w:val="20"/>
        </w:rPr>
        <w:tab/>
        <w:t>Institute of Physics (IoP)</w:t>
      </w:r>
    </w:p>
    <w:p w:rsidR="00F83826" w:rsidRPr="00EF2265" w:rsidRDefault="00F83826" w:rsidP="00E86605">
      <w:pPr>
        <w:ind w:hanging="360"/>
        <w:jc w:val="left"/>
        <w:rPr>
          <w:rFonts w:ascii="Times New Roman" w:hAnsi="Times New Roman"/>
          <w:sz w:val="20"/>
          <w:szCs w:val="20"/>
        </w:rPr>
      </w:pPr>
      <w:r w:rsidRPr="00EF2265">
        <w:rPr>
          <w:rFonts w:ascii="Times New Roman" w:hAnsi="Times New Roman"/>
          <w:sz w:val="20"/>
          <w:szCs w:val="20"/>
        </w:rPr>
        <w:t xml:space="preserve">      </w:t>
      </w:r>
      <w:r w:rsidRPr="00EF2265">
        <w:rPr>
          <w:rFonts w:ascii="Times New Roman" w:hAnsi="Times New Roman"/>
          <w:sz w:val="20"/>
          <w:szCs w:val="20"/>
        </w:rPr>
        <w:tab/>
        <w:t>SAGE Material Science collection</w:t>
      </w:r>
    </w:p>
    <w:p w:rsidR="00F83826" w:rsidRPr="00EF2265" w:rsidRDefault="00F83826" w:rsidP="00E86605">
      <w:pPr>
        <w:ind w:hanging="360"/>
        <w:jc w:val="left"/>
        <w:rPr>
          <w:rFonts w:ascii="Times New Roman" w:hAnsi="Times New Roman"/>
          <w:sz w:val="20"/>
          <w:szCs w:val="20"/>
        </w:rPr>
      </w:pPr>
      <w:r w:rsidRPr="00EF2265">
        <w:rPr>
          <w:rFonts w:ascii="Times New Roman" w:hAnsi="Times New Roman"/>
          <w:sz w:val="20"/>
          <w:szCs w:val="20"/>
        </w:rPr>
        <w:tab/>
        <w:t xml:space="preserve">STN online – on line prístup k plnotextovým normám STN </w:t>
      </w:r>
    </w:p>
    <w:p w:rsidR="00F83826" w:rsidRPr="00EF2265" w:rsidRDefault="00F83826" w:rsidP="00E86605">
      <w:pPr>
        <w:ind w:hanging="360"/>
        <w:jc w:val="left"/>
        <w:rPr>
          <w:rFonts w:ascii="Times New Roman" w:hAnsi="Times New Roman"/>
          <w:sz w:val="20"/>
          <w:szCs w:val="20"/>
        </w:rPr>
      </w:pPr>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 xml:space="preserve">Citačné databázy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Clarivate analytics (Web of Science + JCR)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SCOPUS </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V roku 2017 zahájil prevádzku CREPČ 2 (Centrálny register publikačnej činnosti 2) a </w:t>
      </w:r>
      <w:r w:rsidRPr="00EF2265">
        <w:rPr>
          <w:rStyle w:val="Siln"/>
          <w:rFonts w:ascii="Times New Roman" w:hAnsi="Times New Roman"/>
          <w:sz w:val="20"/>
          <w:szCs w:val="20"/>
        </w:rPr>
        <w:t>Centrálny register evidencie umeleckej činnosti (CREUČ)</w:t>
      </w:r>
      <w:r w:rsidRPr="00EF2265">
        <w:rPr>
          <w:rFonts w:ascii="Times New Roman" w:hAnsi="Times New Roman"/>
          <w:sz w:val="20"/>
          <w:szCs w:val="20"/>
        </w:rPr>
        <w:t xml:space="preserve">. Registre vznikli ako rozvojový projekt Ministerstva školstva, vedy, výskumu a športu SR. </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Cieľom je </w:t>
      </w:r>
    </w:p>
    <w:p w:rsidR="00F83826" w:rsidRPr="00EF2265" w:rsidRDefault="00F83826" w:rsidP="00E86605">
      <w:pPr>
        <w:numPr>
          <w:ilvl w:val="0"/>
          <w:numId w:val="22"/>
        </w:numPr>
        <w:jc w:val="left"/>
        <w:rPr>
          <w:rFonts w:ascii="Times New Roman" w:hAnsi="Times New Roman"/>
          <w:sz w:val="20"/>
          <w:szCs w:val="20"/>
        </w:rPr>
      </w:pPr>
      <w:r w:rsidRPr="00EF2265">
        <w:rPr>
          <w:rFonts w:ascii="Times New Roman" w:hAnsi="Times New Roman"/>
          <w:sz w:val="20"/>
          <w:szCs w:val="20"/>
        </w:rPr>
        <w:t>komplexná automatizovaná evidencia publikačnej a umeleckej činnosti,</w:t>
      </w:r>
    </w:p>
    <w:p w:rsidR="00F83826" w:rsidRPr="00EF2265" w:rsidRDefault="00F83826" w:rsidP="00E86605">
      <w:pPr>
        <w:numPr>
          <w:ilvl w:val="0"/>
          <w:numId w:val="23"/>
        </w:numPr>
        <w:jc w:val="left"/>
        <w:rPr>
          <w:rFonts w:ascii="Times New Roman" w:hAnsi="Times New Roman"/>
          <w:sz w:val="20"/>
          <w:szCs w:val="20"/>
        </w:rPr>
      </w:pPr>
      <w:r w:rsidRPr="00EF2265">
        <w:rPr>
          <w:rFonts w:ascii="Times New Roman" w:hAnsi="Times New Roman"/>
          <w:sz w:val="20"/>
          <w:szCs w:val="20"/>
        </w:rPr>
        <w:t>vytvorenie unikátneho informačného zdroja pre odbornú i laickú verejnosť,</w:t>
      </w:r>
    </w:p>
    <w:p w:rsidR="00F83826" w:rsidRPr="00EF2265" w:rsidRDefault="00F83826" w:rsidP="00E86605">
      <w:pPr>
        <w:numPr>
          <w:ilvl w:val="0"/>
          <w:numId w:val="24"/>
        </w:numPr>
        <w:jc w:val="left"/>
        <w:rPr>
          <w:rFonts w:ascii="Times New Roman" w:hAnsi="Times New Roman"/>
          <w:sz w:val="20"/>
          <w:szCs w:val="20"/>
        </w:rPr>
      </w:pPr>
      <w:r w:rsidRPr="00EF2265">
        <w:rPr>
          <w:rFonts w:ascii="Times New Roman" w:hAnsi="Times New Roman"/>
          <w:sz w:val="20"/>
          <w:szCs w:val="20"/>
        </w:rPr>
        <w:t xml:space="preserve">poskytovanie podkladov pre výpočet štátnej dotácie verejným vysokým školám v SR. </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Univerzitná knižnica v roku 2018 realizovala aj vzdelávacie akcie a semináre, školenia a kurzy pre doktorandov a taktiež pre poslucháčov prvých ročníkov exkurzie spojené s oboznámením študentov s náplňou práce akademických knižníc STU. Popri podpore pre rozvoj informačnej gramotnosti študentov sa pracovníci AK sústreďujú na prácu so začínajúcimi doktorandmi. Pre doktorandov sú určené kurzy, na ktoré sa prihlasujú buď individuálne alebo v skupinách. Poskytujú sa im adresné a na mieru šité informácie, ktorých cieľom je poskytovanie informačnej podpory pre výkon ich vedeckej práce a pomoc pri ich uvádzaní do akademickej sféry ako budúcich výskumníkov a autorov vedeckých publikácií.</w:t>
      </w:r>
    </w:p>
    <w:p w:rsidR="00F83826" w:rsidRPr="00EF2265" w:rsidRDefault="00F83826" w:rsidP="00E86605">
      <w:pPr>
        <w:jc w:val="left"/>
        <w:rPr>
          <w:rFonts w:ascii="Times New Roman" w:hAnsi="Times New Roman"/>
          <w:sz w:val="20"/>
          <w:szCs w:val="20"/>
        </w:rPr>
      </w:pPr>
    </w:p>
    <w:p w:rsidR="00F83826" w:rsidRPr="00EF2265" w:rsidRDefault="00F83826" w:rsidP="00E86605">
      <w:pPr>
        <w:pStyle w:val="Nadpis2"/>
        <w:keepLines w:val="0"/>
        <w:numPr>
          <w:ilvl w:val="1"/>
          <w:numId w:val="29"/>
        </w:numPr>
        <w:tabs>
          <w:tab w:val="clear" w:pos="567"/>
        </w:tabs>
        <w:spacing w:after="0"/>
        <w:rPr>
          <w:rFonts w:ascii="Times New Roman" w:hAnsi="Times New Roman" w:cs="Times New Roman"/>
          <w:i/>
          <w:sz w:val="20"/>
          <w:szCs w:val="20"/>
        </w:rPr>
      </w:pPr>
      <w:bookmarkStart w:id="209" w:name="_Toc448261587"/>
      <w:r w:rsidRPr="00EF2265">
        <w:rPr>
          <w:rFonts w:ascii="Times New Roman" w:hAnsi="Times New Roman" w:cs="Times New Roman"/>
          <w:sz w:val="20"/>
          <w:szCs w:val="20"/>
        </w:rPr>
        <w:t xml:space="preserve"> </w:t>
      </w:r>
      <w:bookmarkStart w:id="210" w:name="_Toc4590003"/>
      <w:r w:rsidRPr="00EF2265">
        <w:rPr>
          <w:rFonts w:ascii="Times New Roman" w:hAnsi="Times New Roman" w:cs="Times New Roman"/>
          <w:sz w:val="20"/>
          <w:szCs w:val="20"/>
        </w:rPr>
        <w:t>Výskumná činnosť nepodporovaná z grantov</w:t>
      </w:r>
      <w:bookmarkEnd w:id="209"/>
      <w:bookmarkEnd w:id="210"/>
    </w:p>
    <w:p w:rsidR="00F83826" w:rsidRPr="00EF2265" w:rsidRDefault="00F83826" w:rsidP="00E86605">
      <w:pPr>
        <w:jc w:val="left"/>
        <w:rPr>
          <w:rFonts w:ascii="Times New Roman" w:hAnsi="Times New Roman"/>
          <w:sz w:val="20"/>
          <w:szCs w:val="20"/>
        </w:rPr>
      </w:pPr>
    </w:p>
    <w:p w:rsidR="00F83826" w:rsidRPr="00EF2265" w:rsidRDefault="00F83826" w:rsidP="00E86605">
      <w:pPr>
        <w:autoSpaceDE w:val="0"/>
        <w:autoSpaceDN w:val="0"/>
        <w:adjustRightInd w:val="0"/>
        <w:jc w:val="left"/>
        <w:rPr>
          <w:rFonts w:ascii="Times New Roman" w:hAnsi="Times New Roman"/>
          <w:sz w:val="20"/>
          <w:szCs w:val="20"/>
        </w:rPr>
      </w:pPr>
      <w:r w:rsidRPr="00EF2265">
        <w:rPr>
          <w:rFonts w:ascii="Times New Roman" w:hAnsi="Times New Roman"/>
          <w:sz w:val="20"/>
          <w:szCs w:val="20"/>
        </w:rPr>
        <w:t>Slovenská technická univerzita v Bratislave dlhé desaťročia spolupracuje s priemyselnou praxou v oblasti poskytovania inovatívnych a netradičných riešení pre priamu aplikáciu v hospodárskej sfére, ktoré spravidla vychádzajú z prioritných tém výskumu pracovísk univerzity. Pracoviská fakúlt riešia pre domáce a zahraničné hospodárske subjekty výskumné projekty najmä formou podnikateľskej činnosti, ktorá sa realizuje najčastejšie formou Zmluvy o dielo. Zmluvný výskum sa spravidla uskutočňuje ako projekt, ktorý sa získava súťažnou formou. Tento má často exaktne definovaný predmet plnenia a formu výstupu a jeho výsledky sa obyčajne odovzdávajú oponentúrou výsledkov.</w:t>
      </w:r>
    </w:p>
    <w:p w:rsidR="00F83826" w:rsidRPr="00EF2265" w:rsidRDefault="00F83826" w:rsidP="00E86605">
      <w:pPr>
        <w:autoSpaceDE w:val="0"/>
        <w:autoSpaceDN w:val="0"/>
        <w:adjustRightInd w:val="0"/>
        <w:jc w:val="left"/>
        <w:rPr>
          <w:rFonts w:ascii="Times New Roman" w:hAnsi="Times New Roman"/>
          <w:noProof/>
          <w:sz w:val="20"/>
          <w:szCs w:val="20"/>
          <w:highlight w:val="yellow"/>
        </w:rPr>
      </w:pPr>
      <w:r w:rsidRPr="00EF2265">
        <w:rPr>
          <w:rFonts w:ascii="Times New Roman" w:hAnsi="Times New Roman"/>
          <w:noProof/>
          <w:sz w:val="20"/>
          <w:szCs w:val="20"/>
        </w:rPr>
        <w:t>V roku 2018 sa na STU riešilo 251 projektov zmluvného výskumu pre priemyselnú prax, čo je o 83 projektov menej ako v roku 2017 a celkový objem zmluvných financií oproti roku 2017 sa znížil o 20 %. Jednotlivé projekty sú prehľadne uvedené v tabuľke 19 prílohy výročnej správy STU. Prehľad počtu zmluvných výskumných projektov na pracoviskách fakúlt je v tabuľke 5.9. V tabuľke 5.10 sú uvedené finančné objemy uhradených zmluvných výskumných projektov fakúlt v roku 2018.</w:t>
      </w:r>
    </w:p>
    <w:p w:rsidR="00F83826" w:rsidRPr="00EF2265" w:rsidRDefault="00F83826" w:rsidP="00E86605">
      <w:pPr>
        <w:autoSpaceDE w:val="0"/>
        <w:autoSpaceDN w:val="0"/>
        <w:adjustRightInd w:val="0"/>
        <w:jc w:val="left"/>
        <w:rPr>
          <w:rFonts w:ascii="Times New Roman" w:hAnsi="Times New Roman"/>
          <w:noProof/>
          <w:sz w:val="20"/>
          <w:szCs w:val="20"/>
        </w:rPr>
      </w:pPr>
    </w:p>
    <w:p w:rsidR="00F83826" w:rsidRPr="00EF2265" w:rsidRDefault="00F83826" w:rsidP="00E86605">
      <w:pPr>
        <w:autoSpaceDE w:val="0"/>
        <w:autoSpaceDN w:val="0"/>
        <w:adjustRightInd w:val="0"/>
        <w:jc w:val="left"/>
        <w:rPr>
          <w:rFonts w:ascii="Times New Roman" w:hAnsi="Times New Roman"/>
          <w:b/>
          <w:noProof/>
          <w:sz w:val="20"/>
          <w:szCs w:val="20"/>
        </w:rPr>
      </w:pPr>
      <w:r w:rsidRPr="00EF2265">
        <w:rPr>
          <w:rFonts w:ascii="Times New Roman" w:hAnsi="Times New Roman"/>
          <w:b/>
          <w:noProof/>
          <w:sz w:val="20"/>
          <w:szCs w:val="20"/>
        </w:rPr>
        <w:t>Tabuľka 5.9: Prehľad počtu zmluvných výskumných projektov STU v roku 2018</w:t>
      </w:r>
    </w:p>
    <w:tbl>
      <w:tblPr>
        <w:tblW w:w="8880" w:type="dxa"/>
        <w:tblInd w:w="65" w:type="dxa"/>
        <w:tblCellMar>
          <w:left w:w="70" w:type="dxa"/>
          <w:right w:w="70" w:type="dxa"/>
        </w:tblCellMar>
        <w:tblLook w:val="04A0" w:firstRow="1" w:lastRow="0" w:firstColumn="1" w:lastColumn="0" w:noHBand="0" w:noVBand="1"/>
      </w:tblPr>
      <w:tblGrid>
        <w:gridCol w:w="1100"/>
        <w:gridCol w:w="1000"/>
        <w:gridCol w:w="1060"/>
        <w:gridCol w:w="1240"/>
        <w:gridCol w:w="960"/>
        <w:gridCol w:w="1140"/>
        <w:gridCol w:w="1100"/>
        <w:gridCol w:w="1280"/>
      </w:tblGrid>
      <w:tr w:rsidR="00F83826" w:rsidRPr="00EF2265" w:rsidTr="00B15B10">
        <w:trPr>
          <w:trHeight w:val="300"/>
        </w:trPr>
        <w:tc>
          <w:tcPr>
            <w:tcW w:w="1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83826" w:rsidRPr="00EF2265" w:rsidRDefault="00F83826" w:rsidP="00E86605">
            <w:pPr>
              <w:jc w:val="left"/>
              <w:rPr>
                <w:rFonts w:ascii="Times New Roman" w:eastAsia="Times New Roman" w:hAnsi="Times New Roman"/>
                <w:b/>
                <w:bCs/>
                <w:noProof/>
                <w:sz w:val="20"/>
                <w:szCs w:val="20"/>
                <w:lang w:eastAsia="sk-SK"/>
              </w:rPr>
            </w:pPr>
            <w:r w:rsidRPr="00EF2265">
              <w:rPr>
                <w:rFonts w:ascii="Times New Roman" w:eastAsia="Times New Roman" w:hAnsi="Times New Roman"/>
                <w:b/>
                <w:bCs/>
                <w:noProof/>
                <w:sz w:val="20"/>
                <w:szCs w:val="20"/>
                <w:lang w:eastAsia="sk-SK"/>
              </w:rPr>
              <w:t>SvF</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rsidR="00F83826" w:rsidRPr="00EF2265" w:rsidRDefault="00F83826" w:rsidP="00E86605">
            <w:pPr>
              <w:jc w:val="left"/>
              <w:rPr>
                <w:rFonts w:ascii="Times New Roman" w:eastAsia="Times New Roman" w:hAnsi="Times New Roman"/>
                <w:b/>
                <w:bCs/>
                <w:noProof/>
                <w:sz w:val="20"/>
                <w:szCs w:val="20"/>
                <w:lang w:eastAsia="sk-SK"/>
              </w:rPr>
            </w:pPr>
            <w:r w:rsidRPr="00EF2265">
              <w:rPr>
                <w:rFonts w:ascii="Times New Roman" w:eastAsia="Times New Roman" w:hAnsi="Times New Roman"/>
                <w:b/>
                <w:bCs/>
                <w:noProof/>
                <w:sz w:val="20"/>
                <w:szCs w:val="20"/>
                <w:lang w:eastAsia="sk-SK"/>
              </w:rPr>
              <w:t>SjF</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F83826" w:rsidRPr="00EF2265" w:rsidRDefault="00F83826" w:rsidP="00E86605">
            <w:pPr>
              <w:jc w:val="left"/>
              <w:rPr>
                <w:rFonts w:ascii="Times New Roman" w:eastAsia="Times New Roman" w:hAnsi="Times New Roman"/>
                <w:b/>
                <w:bCs/>
                <w:noProof/>
                <w:sz w:val="20"/>
                <w:szCs w:val="20"/>
                <w:lang w:eastAsia="sk-SK"/>
              </w:rPr>
            </w:pPr>
            <w:r w:rsidRPr="00EF2265">
              <w:rPr>
                <w:rFonts w:ascii="Times New Roman" w:eastAsia="Times New Roman" w:hAnsi="Times New Roman"/>
                <w:b/>
                <w:bCs/>
                <w:noProof/>
                <w:sz w:val="20"/>
                <w:szCs w:val="20"/>
                <w:lang w:eastAsia="sk-SK"/>
              </w:rPr>
              <w:t>FEI</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rsidR="00F83826" w:rsidRPr="00EF2265" w:rsidRDefault="00F83826" w:rsidP="00E86605">
            <w:pPr>
              <w:jc w:val="left"/>
              <w:rPr>
                <w:rFonts w:ascii="Times New Roman" w:eastAsia="Times New Roman" w:hAnsi="Times New Roman"/>
                <w:b/>
                <w:bCs/>
                <w:noProof/>
                <w:sz w:val="20"/>
                <w:szCs w:val="20"/>
                <w:lang w:eastAsia="sk-SK"/>
              </w:rPr>
            </w:pPr>
            <w:r w:rsidRPr="00EF2265">
              <w:rPr>
                <w:rFonts w:ascii="Times New Roman" w:eastAsia="Times New Roman" w:hAnsi="Times New Roman"/>
                <w:b/>
                <w:bCs/>
                <w:noProof/>
                <w:sz w:val="20"/>
                <w:szCs w:val="20"/>
                <w:lang w:eastAsia="sk-SK"/>
              </w:rPr>
              <w:t>FCHPT</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F83826" w:rsidRPr="00EF2265" w:rsidRDefault="00F83826" w:rsidP="00E86605">
            <w:pPr>
              <w:jc w:val="left"/>
              <w:rPr>
                <w:rFonts w:ascii="Times New Roman" w:eastAsia="Times New Roman" w:hAnsi="Times New Roman"/>
                <w:b/>
                <w:bCs/>
                <w:noProof/>
                <w:sz w:val="20"/>
                <w:szCs w:val="20"/>
                <w:lang w:eastAsia="sk-SK"/>
              </w:rPr>
            </w:pPr>
            <w:r w:rsidRPr="00EF2265">
              <w:rPr>
                <w:rFonts w:ascii="Times New Roman" w:eastAsia="Times New Roman" w:hAnsi="Times New Roman"/>
                <w:b/>
                <w:bCs/>
                <w:noProof/>
                <w:sz w:val="20"/>
                <w:szCs w:val="20"/>
                <w:lang w:eastAsia="sk-SK"/>
              </w:rPr>
              <w:t>FA</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rsidR="00F83826" w:rsidRPr="00EF2265" w:rsidRDefault="00F83826" w:rsidP="00E86605">
            <w:pPr>
              <w:jc w:val="left"/>
              <w:rPr>
                <w:rFonts w:ascii="Times New Roman" w:eastAsia="Times New Roman" w:hAnsi="Times New Roman"/>
                <w:b/>
                <w:bCs/>
                <w:noProof/>
                <w:sz w:val="20"/>
                <w:szCs w:val="20"/>
                <w:lang w:eastAsia="sk-SK"/>
              </w:rPr>
            </w:pPr>
            <w:r w:rsidRPr="00EF2265">
              <w:rPr>
                <w:rFonts w:ascii="Times New Roman" w:eastAsia="Times New Roman" w:hAnsi="Times New Roman"/>
                <w:b/>
                <w:bCs/>
                <w:noProof/>
                <w:sz w:val="20"/>
                <w:szCs w:val="20"/>
                <w:lang w:eastAsia="sk-SK"/>
              </w:rPr>
              <w:t>MTF</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rsidR="00F83826" w:rsidRPr="00EF2265" w:rsidRDefault="00F83826" w:rsidP="00E86605">
            <w:pPr>
              <w:jc w:val="left"/>
              <w:rPr>
                <w:rFonts w:ascii="Times New Roman" w:eastAsia="Times New Roman" w:hAnsi="Times New Roman"/>
                <w:b/>
                <w:bCs/>
                <w:noProof/>
                <w:sz w:val="20"/>
                <w:szCs w:val="20"/>
                <w:lang w:eastAsia="sk-SK"/>
              </w:rPr>
            </w:pPr>
            <w:r w:rsidRPr="00EF2265">
              <w:rPr>
                <w:rFonts w:ascii="Times New Roman" w:eastAsia="Times New Roman" w:hAnsi="Times New Roman"/>
                <w:b/>
                <w:bCs/>
                <w:noProof/>
                <w:sz w:val="20"/>
                <w:szCs w:val="20"/>
                <w:lang w:eastAsia="sk-SK"/>
              </w:rPr>
              <w:t>FIIT</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F83826" w:rsidRPr="00EF2265" w:rsidRDefault="00F83826" w:rsidP="00E86605">
            <w:pPr>
              <w:jc w:val="left"/>
              <w:rPr>
                <w:rFonts w:ascii="Times New Roman" w:eastAsia="Times New Roman" w:hAnsi="Times New Roman"/>
                <w:b/>
                <w:bCs/>
                <w:noProof/>
                <w:color w:val="000000"/>
                <w:sz w:val="20"/>
                <w:szCs w:val="20"/>
                <w:lang w:eastAsia="sk-SK"/>
              </w:rPr>
            </w:pPr>
            <w:r w:rsidRPr="00EF2265">
              <w:rPr>
                <w:rFonts w:ascii="Times New Roman" w:eastAsia="Times New Roman" w:hAnsi="Times New Roman"/>
                <w:b/>
                <w:bCs/>
                <w:noProof/>
                <w:color w:val="000000"/>
                <w:sz w:val="20"/>
                <w:szCs w:val="20"/>
                <w:lang w:eastAsia="sk-SK"/>
              </w:rPr>
              <w:t>Spolu</w:t>
            </w:r>
          </w:p>
        </w:tc>
      </w:tr>
      <w:tr w:rsidR="00F83826" w:rsidRPr="00EF2265" w:rsidTr="00B15B10">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17</w:t>
            </w:r>
          </w:p>
        </w:tc>
        <w:tc>
          <w:tcPr>
            <w:tcW w:w="1000" w:type="dxa"/>
            <w:tcBorders>
              <w:top w:val="nil"/>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13</w:t>
            </w:r>
          </w:p>
        </w:tc>
        <w:tc>
          <w:tcPr>
            <w:tcW w:w="1060" w:type="dxa"/>
            <w:tcBorders>
              <w:top w:val="nil"/>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30</w:t>
            </w:r>
          </w:p>
        </w:tc>
        <w:tc>
          <w:tcPr>
            <w:tcW w:w="960" w:type="dxa"/>
            <w:tcBorders>
              <w:top w:val="nil"/>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5</w:t>
            </w:r>
          </w:p>
        </w:tc>
        <w:tc>
          <w:tcPr>
            <w:tcW w:w="1140" w:type="dxa"/>
            <w:tcBorders>
              <w:top w:val="nil"/>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180</w:t>
            </w:r>
          </w:p>
        </w:tc>
        <w:tc>
          <w:tcPr>
            <w:tcW w:w="1100" w:type="dxa"/>
            <w:tcBorders>
              <w:top w:val="nil"/>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2</w:t>
            </w:r>
          </w:p>
        </w:tc>
        <w:tc>
          <w:tcPr>
            <w:tcW w:w="1280" w:type="dxa"/>
            <w:tcBorders>
              <w:top w:val="nil"/>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251</w:t>
            </w:r>
          </w:p>
        </w:tc>
      </w:tr>
    </w:tbl>
    <w:p w:rsidR="00F83826" w:rsidRPr="00EF2265" w:rsidRDefault="00F83826" w:rsidP="00E86605">
      <w:pPr>
        <w:autoSpaceDE w:val="0"/>
        <w:autoSpaceDN w:val="0"/>
        <w:adjustRightInd w:val="0"/>
        <w:jc w:val="left"/>
        <w:rPr>
          <w:rFonts w:ascii="Times New Roman" w:hAnsi="Times New Roman"/>
          <w:noProof/>
          <w:sz w:val="20"/>
          <w:szCs w:val="20"/>
        </w:rPr>
      </w:pPr>
    </w:p>
    <w:p w:rsidR="00F83826" w:rsidRPr="00EF2265" w:rsidRDefault="00F83826" w:rsidP="00E86605">
      <w:pPr>
        <w:autoSpaceDE w:val="0"/>
        <w:autoSpaceDN w:val="0"/>
        <w:adjustRightInd w:val="0"/>
        <w:jc w:val="left"/>
        <w:rPr>
          <w:rFonts w:ascii="Times New Roman" w:hAnsi="Times New Roman"/>
          <w:b/>
          <w:noProof/>
          <w:sz w:val="20"/>
          <w:szCs w:val="20"/>
        </w:rPr>
      </w:pPr>
      <w:r w:rsidRPr="00EF2265">
        <w:rPr>
          <w:rFonts w:ascii="Times New Roman" w:hAnsi="Times New Roman"/>
          <w:b/>
          <w:noProof/>
          <w:sz w:val="20"/>
          <w:szCs w:val="20"/>
        </w:rPr>
        <w:t>Tabuľka 5.10: Prehľad finančných úhrad za zmluvné výskumné projekty STU v roku 2018</w:t>
      </w:r>
    </w:p>
    <w:tbl>
      <w:tblPr>
        <w:tblW w:w="8936" w:type="dxa"/>
        <w:tblInd w:w="65" w:type="dxa"/>
        <w:tblCellMar>
          <w:left w:w="70" w:type="dxa"/>
          <w:right w:w="70" w:type="dxa"/>
        </w:tblCellMar>
        <w:tblLook w:val="04A0" w:firstRow="1" w:lastRow="0" w:firstColumn="1" w:lastColumn="0" w:noHBand="0" w:noVBand="1"/>
      </w:tblPr>
      <w:tblGrid>
        <w:gridCol w:w="998"/>
        <w:gridCol w:w="1134"/>
        <w:gridCol w:w="992"/>
        <w:gridCol w:w="1276"/>
        <w:gridCol w:w="1134"/>
        <w:gridCol w:w="1134"/>
        <w:gridCol w:w="992"/>
        <w:gridCol w:w="1276"/>
      </w:tblGrid>
      <w:tr w:rsidR="00F83826" w:rsidRPr="00EF2265" w:rsidTr="00B15B10">
        <w:trPr>
          <w:trHeight w:val="300"/>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SvF</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SjF</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FEI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FCHPT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MTF</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FIIT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826" w:rsidRPr="00EF2265" w:rsidRDefault="00F83826" w:rsidP="00E86605">
            <w:pPr>
              <w:jc w:val="left"/>
              <w:rPr>
                <w:rFonts w:ascii="Times New Roman" w:eastAsia="Times New Roman" w:hAnsi="Times New Roman"/>
                <w:b/>
                <w:bCs/>
                <w:color w:val="000000"/>
                <w:sz w:val="20"/>
                <w:szCs w:val="20"/>
                <w:lang w:eastAsia="sk-SK"/>
              </w:rPr>
            </w:pPr>
            <w:r w:rsidRPr="00EF2265">
              <w:rPr>
                <w:rFonts w:ascii="Times New Roman" w:eastAsia="Times New Roman" w:hAnsi="Times New Roman"/>
                <w:b/>
                <w:bCs/>
                <w:color w:val="000000"/>
                <w:sz w:val="20"/>
                <w:szCs w:val="20"/>
                <w:lang w:eastAsia="sk-SK"/>
              </w:rPr>
              <w:t>Spolu</w:t>
            </w:r>
          </w:p>
        </w:tc>
      </w:tr>
      <w:tr w:rsidR="00F83826" w:rsidRPr="00EF2265" w:rsidTr="00B15B10">
        <w:trPr>
          <w:trHeight w:val="30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223 171 €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154 795 €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60 552 €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173 771 €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37 959 €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 xml:space="preserve">  275 738 €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eastAsia="Times New Roman" w:hAnsi="Times New Roman"/>
                <w:color w:val="000000"/>
                <w:sz w:val="20"/>
                <w:szCs w:val="20"/>
                <w:lang w:eastAsia="sk-SK"/>
              </w:rPr>
            </w:pPr>
            <w:r w:rsidRPr="00EF2265">
              <w:rPr>
                <w:rFonts w:ascii="Times New Roman" w:eastAsia="Times New Roman" w:hAnsi="Times New Roman"/>
                <w:color w:val="000000"/>
                <w:sz w:val="20"/>
                <w:szCs w:val="20"/>
                <w:lang w:eastAsia="sk-SK"/>
              </w:rPr>
              <w:t>13 725 €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826" w:rsidRPr="00EF2265" w:rsidRDefault="00F83826" w:rsidP="00E86605">
            <w:pPr>
              <w:jc w:val="left"/>
              <w:rPr>
                <w:rFonts w:ascii="Times New Roman" w:hAnsi="Times New Roman"/>
                <w:color w:val="000000"/>
                <w:sz w:val="20"/>
                <w:szCs w:val="20"/>
              </w:rPr>
            </w:pPr>
            <w:r w:rsidRPr="00EF2265">
              <w:rPr>
                <w:rFonts w:ascii="Times New Roman" w:hAnsi="Times New Roman"/>
                <w:color w:val="000000"/>
                <w:sz w:val="20"/>
                <w:szCs w:val="20"/>
              </w:rPr>
              <w:t>939 710 €</w:t>
            </w:r>
          </w:p>
        </w:tc>
      </w:tr>
    </w:tbl>
    <w:p w:rsidR="00F83826" w:rsidRPr="00EF2265" w:rsidRDefault="00F83826" w:rsidP="00E86605">
      <w:pPr>
        <w:autoSpaceDE w:val="0"/>
        <w:autoSpaceDN w:val="0"/>
        <w:adjustRightInd w:val="0"/>
        <w:jc w:val="left"/>
        <w:rPr>
          <w:rFonts w:ascii="Times New Roman" w:hAnsi="Times New Roman"/>
          <w:sz w:val="20"/>
          <w:szCs w:val="20"/>
        </w:rPr>
      </w:pPr>
    </w:p>
    <w:p w:rsidR="00F83826" w:rsidRPr="00405E1E" w:rsidRDefault="00F83826" w:rsidP="00E86605">
      <w:pPr>
        <w:pStyle w:val="Nadpis2"/>
        <w:keepLines w:val="0"/>
        <w:numPr>
          <w:ilvl w:val="0"/>
          <w:numId w:val="30"/>
        </w:numPr>
        <w:tabs>
          <w:tab w:val="clear" w:pos="567"/>
        </w:tabs>
        <w:spacing w:before="240" w:after="60"/>
        <w:ind w:left="426"/>
        <w:rPr>
          <w:rFonts w:ascii="Times New Roman" w:hAnsi="Times New Roman" w:cs="Times New Roman"/>
          <w:i/>
          <w:sz w:val="24"/>
          <w:szCs w:val="24"/>
        </w:rPr>
      </w:pPr>
      <w:bookmarkStart w:id="211" w:name="_Toc4590004"/>
      <w:r w:rsidRPr="00405E1E">
        <w:rPr>
          <w:rFonts w:ascii="Times New Roman" w:hAnsi="Times New Roman" w:cs="Times New Roman"/>
          <w:sz w:val="24"/>
          <w:szCs w:val="24"/>
        </w:rPr>
        <w:lastRenderedPageBreak/>
        <w:t>Habilitačné konania a konania na vymenúvanie profesorov</w:t>
      </w:r>
      <w:bookmarkEnd w:id="211"/>
    </w:p>
    <w:p w:rsidR="00F83826" w:rsidRPr="00EF2265" w:rsidRDefault="00F83826" w:rsidP="00E86605">
      <w:pPr>
        <w:ind w:left="360"/>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Na zasadnutiach Vedeckej rady STU (VR STU) boli prerokované návrhy na vymenovanie za profesora, ktoré predkladali dekani fakúlt. Spolu bolo prerokovaných 8 návrhov (tab. č. 6.1). Schválené návrhy boli predsedom VR STU postúpené na MŠVVaŠ SR. V roku 2018 rektor STU vymenoval 20 docentov, z toho 2 docenti boli z iných organizácií (tab. č. 6.2).</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Tabuľka č. 6.1: Prehľad návrhov na vymenovanie za profesora na VR STU podľa fakúlt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855"/>
        <w:gridCol w:w="1018"/>
        <w:gridCol w:w="1018"/>
        <w:gridCol w:w="1023"/>
        <w:gridCol w:w="1018"/>
        <w:gridCol w:w="1020"/>
        <w:gridCol w:w="1020"/>
        <w:gridCol w:w="1020"/>
      </w:tblGrid>
      <w:tr w:rsidR="00F83826" w:rsidRPr="00EF2265" w:rsidTr="00B15B10">
        <w:trPr>
          <w:trHeight w:val="286"/>
        </w:trPr>
        <w:tc>
          <w:tcPr>
            <w:tcW w:w="129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VR STU</w:t>
            </w:r>
          </w:p>
        </w:tc>
        <w:tc>
          <w:tcPr>
            <w:tcW w:w="855"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SvF</w:t>
            </w:r>
          </w:p>
        </w:tc>
        <w:tc>
          <w:tcPr>
            <w:tcW w:w="1018"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SjF</w:t>
            </w:r>
          </w:p>
        </w:tc>
        <w:tc>
          <w:tcPr>
            <w:tcW w:w="1018"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FEI</w:t>
            </w:r>
          </w:p>
        </w:tc>
        <w:tc>
          <w:tcPr>
            <w:tcW w:w="1023"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FCHPT</w:t>
            </w:r>
          </w:p>
        </w:tc>
        <w:tc>
          <w:tcPr>
            <w:tcW w:w="1018"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FA</w:t>
            </w:r>
          </w:p>
        </w:tc>
        <w:tc>
          <w:tcPr>
            <w:tcW w:w="102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MTF</w:t>
            </w:r>
          </w:p>
        </w:tc>
        <w:tc>
          <w:tcPr>
            <w:tcW w:w="102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FIIT</w:t>
            </w:r>
          </w:p>
        </w:tc>
        <w:tc>
          <w:tcPr>
            <w:tcW w:w="102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STU</w:t>
            </w:r>
          </w:p>
        </w:tc>
      </w:tr>
      <w:tr w:rsidR="00F83826" w:rsidRPr="00EF2265" w:rsidTr="00B15B10">
        <w:tc>
          <w:tcPr>
            <w:tcW w:w="129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14.3.2018</w:t>
            </w:r>
          </w:p>
        </w:tc>
        <w:tc>
          <w:tcPr>
            <w:tcW w:w="855" w:type="dxa"/>
            <w:shd w:val="clear" w:color="auto" w:fill="auto"/>
          </w:tcPr>
          <w:p w:rsidR="00F83826" w:rsidRPr="00EF2265" w:rsidRDefault="00F83826" w:rsidP="00E86605">
            <w:pPr>
              <w:jc w:val="left"/>
              <w:rPr>
                <w:rFonts w:ascii="Times New Roman" w:hAnsi="Times New Roman"/>
                <w:sz w:val="20"/>
                <w:szCs w:val="20"/>
              </w:rPr>
            </w:pPr>
          </w:p>
        </w:tc>
        <w:tc>
          <w:tcPr>
            <w:tcW w:w="1018" w:type="dxa"/>
            <w:shd w:val="clear" w:color="auto" w:fill="auto"/>
          </w:tcPr>
          <w:p w:rsidR="00F83826" w:rsidRPr="00EF2265" w:rsidRDefault="00F83826" w:rsidP="00E86605">
            <w:pPr>
              <w:jc w:val="left"/>
              <w:rPr>
                <w:rFonts w:ascii="Times New Roman" w:hAnsi="Times New Roman"/>
                <w:sz w:val="20"/>
                <w:szCs w:val="20"/>
              </w:rPr>
            </w:pPr>
          </w:p>
        </w:tc>
        <w:tc>
          <w:tcPr>
            <w:tcW w:w="1018"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1023" w:type="dxa"/>
            <w:shd w:val="clear" w:color="auto" w:fill="auto"/>
          </w:tcPr>
          <w:p w:rsidR="00F83826" w:rsidRPr="00EF2265" w:rsidRDefault="00F83826" w:rsidP="00E86605">
            <w:pPr>
              <w:jc w:val="left"/>
              <w:rPr>
                <w:rFonts w:ascii="Times New Roman" w:hAnsi="Times New Roman"/>
                <w:sz w:val="20"/>
                <w:szCs w:val="20"/>
              </w:rPr>
            </w:pPr>
          </w:p>
        </w:tc>
        <w:tc>
          <w:tcPr>
            <w:tcW w:w="1018" w:type="dxa"/>
            <w:shd w:val="clear" w:color="auto" w:fill="auto"/>
          </w:tcPr>
          <w:p w:rsidR="00F83826" w:rsidRPr="00EF2265" w:rsidRDefault="00F83826" w:rsidP="00E86605">
            <w:pPr>
              <w:jc w:val="left"/>
              <w:rPr>
                <w:rFonts w:ascii="Times New Roman" w:hAnsi="Times New Roman"/>
                <w:sz w:val="20"/>
                <w:szCs w:val="20"/>
              </w:rPr>
            </w:pPr>
          </w:p>
        </w:tc>
        <w:tc>
          <w:tcPr>
            <w:tcW w:w="1020" w:type="dxa"/>
            <w:shd w:val="clear" w:color="auto" w:fill="auto"/>
          </w:tcPr>
          <w:p w:rsidR="00F83826" w:rsidRPr="00EF2265" w:rsidRDefault="00F83826" w:rsidP="00E86605">
            <w:pPr>
              <w:jc w:val="left"/>
              <w:rPr>
                <w:rFonts w:ascii="Times New Roman" w:hAnsi="Times New Roman"/>
                <w:sz w:val="20"/>
                <w:szCs w:val="20"/>
              </w:rPr>
            </w:pPr>
          </w:p>
        </w:tc>
        <w:tc>
          <w:tcPr>
            <w:tcW w:w="1020" w:type="dxa"/>
            <w:shd w:val="clear" w:color="auto" w:fill="auto"/>
          </w:tcPr>
          <w:p w:rsidR="00F83826" w:rsidRPr="00EF2265" w:rsidRDefault="00F83826" w:rsidP="00E86605">
            <w:pPr>
              <w:jc w:val="left"/>
              <w:rPr>
                <w:rFonts w:ascii="Times New Roman" w:hAnsi="Times New Roman"/>
                <w:sz w:val="20"/>
                <w:szCs w:val="20"/>
              </w:rPr>
            </w:pPr>
          </w:p>
        </w:tc>
        <w:tc>
          <w:tcPr>
            <w:tcW w:w="102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r>
      <w:tr w:rsidR="00F83826" w:rsidRPr="00EF2265" w:rsidTr="00B15B10">
        <w:tc>
          <w:tcPr>
            <w:tcW w:w="129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13.6.2018</w:t>
            </w:r>
          </w:p>
        </w:tc>
        <w:tc>
          <w:tcPr>
            <w:tcW w:w="855"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3</w:t>
            </w:r>
          </w:p>
        </w:tc>
        <w:tc>
          <w:tcPr>
            <w:tcW w:w="1018"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1018"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1023" w:type="dxa"/>
            <w:shd w:val="clear" w:color="auto" w:fill="auto"/>
          </w:tcPr>
          <w:p w:rsidR="00F83826" w:rsidRPr="00EF2265" w:rsidRDefault="00F83826" w:rsidP="00E86605">
            <w:pPr>
              <w:jc w:val="left"/>
              <w:rPr>
                <w:rFonts w:ascii="Times New Roman" w:hAnsi="Times New Roman"/>
                <w:sz w:val="20"/>
                <w:szCs w:val="20"/>
              </w:rPr>
            </w:pPr>
          </w:p>
        </w:tc>
        <w:tc>
          <w:tcPr>
            <w:tcW w:w="1018" w:type="dxa"/>
            <w:shd w:val="clear" w:color="auto" w:fill="auto"/>
          </w:tcPr>
          <w:p w:rsidR="00F83826" w:rsidRPr="00EF2265" w:rsidRDefault="00F83826" w:rsidP="00E86605">
            <w:pPr>
              <w:jc w:val="left"/>
              <w:rPr>
                <w:rFonts w:ascii="Times New Roman" w:hAnsi="Times New Roman"/>
                <w:sz w:val="20"/>
                <w:szCs w:val="20"/>
              </w:rPr>
            </w:pPr>
          </w:p>
        </w:tc>
        <w:tc>
          <w:tcPr>
            <w:tcW w:w="1020" w:type="dxa"/>
            <w:shd w:val="clear" w:color="auto" w:fill="auto"/>
          </w:tcPr>
          <w:p w:rsidR="00F83826" w:rsidRPr="00EF2265" w:rsidRDefault="00F83826" w:rsidP="00E86605">
            <w:pPr>
              <w:jc w:val="left"/>
              <w:rPr>
                <w:rFonts w:ascii="Times New Roman" w:hAnsi="Times New Roman"/>
                <w:sz w:val="20"/>
                <w:szCs w:val="20"/>
              </w:rPr>
            </w:pPr>
          </w:p>
        </w:tc>
        <w:tc>
          <w:tcPr>
            <w:tcW w:w="1020" w:type="dxa"/>
            <w:shd w:val="clear" w:color="auto" w:fill="auto"/>
          </w:tcPr>
          <w:p w:rsidR="00F83826" w:rsidRPr="00EF2265" w:rsidRDefault="00F83826" w:rsidP="00E86605">
            <w:pPr>
              <w:jc w:val="left"/>
              <w:rPr>
                <w:rFonts w:ascii="Times New Roman" w:hAnsi="Times New Roman"/>
                <w:sz w:val="20"/>
                <w:szCs w:val="20"/>
              </w:rPr>
            </w:pPr>
          </w:p>
        </w:tc>
        <w:tc>
          <w:tcPr>
            <w:tcW w:w="102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5</w:t>
            </w:r>
          </w:p>
        </w:tc>
      </w:tr>
      <w:tr w:rsidR="00F83826" w:rsidRPr="00EF2265" w:rsidTr="00B15B10">
        <w:tc>
          <w:tcPr>
            <w:tcW w:w="129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7.11.2018</w:t>
            </w:r>
          </w:p>
        </w:tc>
        <w:tc>
          <w:tcPr>
            <w:tcW w:w="855" w:type="dxa"/>
            <w:shd w:val="clear" w:color="auto" w:fill="auto"/>
          </w:tcPr>
          <w:p w:rsidR="00F83826" w:rsidRPr="00EF2265" w:rsidRDefault="00F83826" w:rsidP="00E86605">
            <w:pPr>
              <w:jc w:val="left"/>
              <w:rPr>
                <w:rFonts w:ascii="Times New Roman" w:hAnsi="Times New Roman"/>
                <w:sz w:val="20"/>
                <w:szCs w:val="20"/>
              </w:rPr>
            </w:pPr>
          </w:p>
        </w:tc>
        <w:tc>
          <w:tcPr>
            <w:tcW w:w="1018" w:type="dxa"/>
            <w:shd w:val="clear" w:color="auto" w:fill="auto"/>
          </w:tcPr>
          <w:p w:rsidR="00F83826" w:rsidRPr="00EF2265" w:rsidRDefault="00F83826" w:rsidP="00E86605">
            <w:pPr>
              <w:jc w:val="left"/>
              <w:rPr>
                <w:rFonts w:ascii="Times New Roman" w:hAnsi="Times New Roman"/>
                <w:sz w:val="20"/>
                <w:szCs w:val="20"/>
              </w:rPr>
            </w:pPr>
          </w:p>
        </w:tc>
        <w:tc>
          <w:tcPr>
            <w:tcW w:w="1018" w:type="dxa"/>
            <w:shd w:val="clear" w:color="auto" w:fill="auto"/>
          </w:tcPr>
          <w:p w:rsidR="00F83826" w:rsidRPr="00EF2265" w:rsidRDefault="00F83826" w:rsidP="00E86605">
            <w:pPr>
              <w:jc w:val="left"/>
              <w:rPr>
                <w:rFonts w:ascii="Times New Roman" w:hAnsi="Times New Roman"/>
                <w:sz w:val="20"/>
                <w:szCs w:val="20"/>
              </w:rPr>
            </w:pPr>
          </w:p>
        </w:tc>
        <w:tc>
          <w:tcPr>
            <w:tcW w:w="1023"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1018" w:type="dxa"/>
            <w:shd w:val="clear" w:color="auto" w:fill="auto"/>
          </w:tcPr>
          <w:p w:rsidR="00F83826" w:rsidRPr="00EF2265" w:rsidRDefault="00F83826" w:rsidP="00E86605">
            <w:pPr>
              <w:jc w:val="left"/>
              <w:rPr>
                <w:rFonts w:ascii="Times New Roman" w:hAnsi="Times New Roman"/>
                <w:sz w:val="20"/>
                <w:szCs w:val="20"/>
              </w:rPr>
            </w:pPr>
          </w:p>
        </w:tc>
        <w:tc>
          <w:tcPr>
            <w:tcW w:w="1020" w:type="dxa"/>
            <w:shd w:val="clear" w:color="auto" w:fill="auto"/>
          </w:tcPr>
          <w:p w:rsidR="00F83826" w:rsidRPr="00EF2265" w:rsidRDefault="00F83826" w:rsidP="00E86605">
            <w:pPr>
              <w:jc w:val="left"/>
              <w:rPr>
                <w:rFonts w:ascii="Times New Roman" w:hAnsi="Times New Roman"/>
                <w:sz w:val="20"/>
                <w:szCs w:val="20"/>
              </w:rPr>
            </w:pPr>
          </w:p>
        </w:tc>
        <w:tc>
          <w:tcPr>
            <w:tcW w:w="102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102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2</w:t>
            </w:r>
          </w:p>
        </w:tc>
      </w:tr>
      <w:tr w:rsidR="00F83826" w:rsidRPr="00EF2265" w:rsidTr="00B15B10">
        <w:tc>
          <w:tcPr>
            <w:tcW w:w="129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Spolu</w:t>
            </w:r>
          </w:p>
        </w:tc>
        <w:tc>
          <w:tcPr>
            <w:tcW w:w="855"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3</w:t>
            </w:r>
          </w:p>
        </w:tc>
        <w:tc>
          <w:tcPr>
            <w:tcW w:w="1018"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1018"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2</w:t>
            </w:r>
          </w:p>
        </w:tc>
        <w:tc>
          <w:tcPr>
            <w:tcW w:w="1023"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1018" w:type="dxa"/>
            <w:shd w:val="clear" w:color="auto" w:fill="auto"/>
          </w:tcPr>
          <w:p w:rsidR="00F83826" w:rsidRPr="00EF2265" w:rsidRDefault="00F83826" w:rsidP="00E86605">
            <w:pPr>
              <w:jc w:val="left"/>
              <w:rPr>
                <w:rFonts w:ascii="Times New Roman" w:hAnsi="Times New Roman"/>
                <w:sz w:val="20"/>
                <w:szCs w:val="20"/>
              </w:rPr>
            </w:pPr>
          </w:p>
        </w:tc>
        <w:tc>
          <w:tcPr>
            <w:tcW w:w="1020" w:type="dxa"/>
            <w:shd w:val="clear" w:color="auto" w:fill="auto"/>
          </w:tcPr>
          <w:p w:rsidR="00F83826" w:rsidRPr="00EF2265" w:rsidRDefault="00F83826" w:rsidP="00E86605">
            <w:pPr>
              <w:jc w:val="left"/>
              <w:rPr>
                <w:rFonts w:ascii="Times New Roman" w:hAnsi="Times New Roman"/>
                <w:sz w:val="20"/>
                <w:szCs w:val="20"/>
              </w:rPr>
            </w:pPr>
          </w:p>
        </w:tc>
        <w:tc>
          <w:tcPr>
            <w:tcW w:w="102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102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8</w:t>
            </w:r>
          </w:p>
        </w:tc>
      </w:tr>
    </w:tbl>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Tabuľka č. 6.2: Prehľad vymenovaných docentov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861"/>
        <w:gridCol w:w="852"/>
        <w:gridCol w:w="856"/>
        <w:gridCol w:w="957"/>
        <w:gridCol w:w="846"/>
        <w:gridCol w:w="880"/>
        <w:gridCol w:w="869"/>
        <w:gridCol w:w="863"/>
        <w:gridCol w:w="873"/>
      </w:tblGrid>
      <w:tr w:rsidR="00F83826" w:rsidRPr="00EF2265" w:rsidTr="00B15B10">
        <w:tc>
          <w:tcPr>
            <w:tcW w:w="1311"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Docenti</w:t>
            </w:r>
          </w:p>
        </w:tc>
        <w:tc>
          <w:tcPr>
            <w:tcW w:w="861"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SvF</w:t>
            </w:r>
          </w:p>
        </w:tc>
        <w:tc>
          <w:tcPr>
            <w:tcW w:w="852"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SjF</w:t>
            </w:r>
          </w:p>
        </w:tc>
        <w:tc>
          <w:tcPr>
            <w:tcW w:w="85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FEI</w:t>
            </w:r>
          </w:p>
        </w:tc>
        <w:tc>
          <w:tcPr>
            <w:tcW w:w="957"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FCHPT</w:t>
            </w:r>
          </w:p>
        </w:tc>
        <w:tc>
          <w:tcPr>
            <w:tcW w:w="84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FA</w:t>
            </w:r>
          </w:p>
        </w:tc>
        <w:tc>
          <w:tcPr>
            <w:tcW w:w="88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MTF</w:t>
            </w:r>
          </w:p>
        </w:tc>
        <w:tc>
          <w:tcPr>
            <w:tcW w:w="869"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FIIT</w:t>
            </w:r>
          </w:p>
        </w:tc>
        <w:tc>
          <w:tcPr>
            <w:tcW w:w="863"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ÚM</w:t>
            </w:r>
          </w:p>
        </w:tc>
        <w:tc>
          <w:tcPr>
            <w:tcW w:w="873"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STU</w:t>
            </w:r>
          </w:p>
        </w:tc>
      </w:tr>
      <w:tr w:rsidR="00F83826" w:rsidRPr="00EF2265" w:rsidTr="00B15B10">
        <w:tc>
          <w:tcPr>
            <w:tcW w:w="1311"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13.6.2018</w:t>
            </w:r>
          </w:p>
        </w:tc>
        <w:tc>
          <w:tcPr>
            <w:tcW w:w="861"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4</w:t>
            </w:r>
          </w:p>
        </w:tc>
        <w:tc>
          <w:tcPr>
            <w:tcW w:w="852" w:type="dxa"/>
            <w:shd w:val="clear" w:color="auto" w:fill="auto"/>
          </w:tcPr>
          <w:p w:rsidR="00F83826" w:rsidRPr="00EF2265" w:rsidRDefault="00F83826" w:rsidP="00E86605">
            <w:pPr>
              <w:jc w:val="left"/>
              <w:rPr>
                <w:rFonts w:ascii="Times New Roman" w:hAnsi="Times New Roman"/>
                <w:sz w:val="20"/>
                <w:szCs w:val="20"/>
              </w:rPr>
            </w:pPr>
          </w:p>
        </w:tc>
        <w:tc>
          <w:tcPr>
            <w:tcW w:w="85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957"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84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880" w:type="dxa"/>
            <w:shd w:val="clear" w:color="auto" w:fill="auto"/>
          </w:tcPr>
          <w:p w:rsidR="00F83826" w:rsidRPr="00EF2265" w:rsidRDefault="00F83826" w:rsidP="00E86605">
            <w:pPr>
              <w:jc w:val="left"/>
              <w:rPr>
                <w:rFonts w:ascii="Times New Roman" w:hAnsi="Times New Roman"/>
                <w:sz w:val="20"/>
                <w:szCs w:val="20"/>
              </w:rPr>
            </w:pPr>
          </w:p>
        </w:tc>
        <w:tc>
          <w:tcPr>
            <w:tcW w:w="869"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2</w:t>
            </w:r>
          </w:p>
        </w:tc>
        <w:tc>
          <w:tcPr>
            <w:tcW w:w="863" w:type="dxa"/>
            <w:shd w:val="clear" w:color="auto" w:fill="auto"/>
          </w:tcPr>
          <w:p w:rsidR="00F83826" w:rsidRPr="00EF2265" w:rsidRDefault="00F83826" w:rsidP="00E86605">
            <w:pPr>
              <w:jc w:val="left"/>
              <w:rPr>
                <w:rFonts w:ascii="Times New Roman" w:hAnsi="Times New Roman"/>
                <w:sz w:val="20"/>
                <w:szCs w:val="20"/>
              </w:rPr>
            </w:pPr>
          </w:p>
        </w:tc>
        <w:tc>
          <w:tcPr>
            <w:tcW w:w="873"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9</w:t>
            </w:r>
          </w:p>
        </w:tc>
      </w:tr>
      <w:tr w:rsidR="00F83826" w:rsidRPr="00EF2265" w:rsidTr="00B15B10">
        <w:tc>
          <w:tcPr>
            <w:tcW w:w="1311"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30.10.2018</w:t>
            </w:r>
          </w:p>
        </w:tc>
        <w:tc>
          <w:tcPr>
            <w:tcW w:w="861" w:type="dxa"/>
            <w:shd w:val="clear" w:color="auto" w:fill="auto"/>
          </w:tcPr>
          <w:p w:rsidR="00F83826" w:rsidRPr="00EF2265" w:rsidRDefault="00F83826" w:rsidP="00E86605">
            <w:pPr>
              <w:jc w:val="left"/>
              <w:rPr>
                <w:rFonts w:ascii="Times New Roman" w:hAnsi="Times New Roman"/>
                <w:sz w:val="20"/>
                <w:szCs w:val="20"/>
              </w:rPr>
            </w:pPr>
          </w:p>
        </w:tc>
        <w:tc>
          <w:tcPr>
            <w:tcW w:w="852"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856" w:type="dxa"/>
            <w:shd w:val="clear" w:color="auto" w:fill="auto"/>
          </w:tcPr>
          <w:p w:rsidR="00F83826" w:rsidRPr="00EF2265" w:rsidRDefault="00F83826" w:rsidP="00E86605">
            <w:pPr>
              <w:jc w:val="left"/>
              <w:rPr>
                <w:rFonts w:ascii="Times New Roman" w:hAnsi="Times New Roman"/>
                <w:sz w:val="20"/>
                <w:szCs w:val="20"/>
              </w:rPr>
            </w:pPr>
          </w:p>
        </w:tc>
        <w:tc>
          <w:tcPr>
            <w:tcW w:w="957" w:type="dxa"/>
            <w:shd w:val="clear" w:color="auto" w:fill="auto"/>
          </w:tcPr>
          <w:p w:rsidR="00F83826" w:rsidRPr="00EF2265" w:rsidRDefault="00F83826" w:rsidP="00E86605">
            <w:pPr>
              <w:jc w:val="left"/>
              <w:rPr>
                <w:rFonts w:ascii="Times New Roman" w:hAnsi="Times New Roman"/>
                <w:sz w:val="20"/>
                <w:szCs w:val="20"/>
              </w:rPr>
            </w:pPr>
          </w:p>
        </w:tc>
        <w:tc>
          <w:tcPr>
            <w:tcW w:w="846" w:type="dxa"/>
            <w:shd w:val="clear" w:color="auto" w:fill="auto"/>
          </w:tcPr>
          <w:p w:rsidR="00F83826" w:rsidRPr="00EF2265" w:rsidRDefault="00F83826" w:rsidP="00E86605">
            <w:pPr>
              <w:jc w:val="left"/>
              <w:rPr>
                <w:rFonts w:ascii="Times New Roman" w:hAnsi="Times New Roman"/>
                <w:sz w:val="20"/>
                <w:szCs w:val="20"/>
              </w:rPr>
            </w:pPr>
          </w:p>
        </w:tc>
        <w:tc>
          <w:tcPr>
            <w:tcW w:w="880" w:type="dxa"/>
            <w:shd w:val="clear" w:color="auto" w:fill="auto"/>
          </w:tcPr>
          <w:p w:rsidR="00F83826" w:rsidRPr="00EF2265" w:rsidRDefault="00F83826" w:rsidP="00E86605">
            <w:pPr>
              <w:jc w:val="left"/>
              <w:rPr>
                <w:rFonts w:ascii="Times New Roman" w:hAnsi="Times New Roman"/>
                <w:sz w:val="20"/>
                <w:szCs w:val="20"/>
              </w:rPr>
            </w:pPr>
          </w:p>
        </w:tc>
        <w:tc>
          <w:tcPr>
            <w:tcW w:w="869" w:type="dxa"/>
            <w:shd w:val="clear" w:color="auto" w:fill="auto"/>
          </w:tcPr>
          <w:p w:rsidR="00F83826" w:rsidRPr="00EF2265" w:rsidRDefault="00F83826" w:rsidP="00E86605">
            <w:pPr>
              <w:jc w:val="left"/>
              <w:rPr>
                <w:rFonts w:ascii="Times New Roman" w:hAnsi="Times New Roman"/>
                <w:sz w:val="20"/>
                <w:szCs w:val="20"/>
              </w:rPr>
            </w:pPr>
          </w:p>
        </w:tc>
        <w:tc>
          <w:tcPr>
            <w:tcW w:w="863" w:type="dxa"/>
            <w:shd w:val="clear" w:color="auto" w:fill="auto"/>
          </w:tcPr>
          <w:p w:rsidR="00F83826" w:rsidRPr="00EF2265" w:rsidRDefault="00F83826" w:rsidP="00E86605">
            <w:pPr>
              <w:jc w:val="left"/>
              <w:rPr>
                <w:rFonts w:ascii="Times New Roman" w:hAnsi="Times New Roman"/>
                <w:sz w:val="20"/>
                <w:szCs w:val="20"/>
              </w:rPr>
            </w:pPr>
          </w:p>
        </w:tc>
        <w:tc>
          <w:tcPr>
            <w:tcW w:w="873"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r>
      <w:tr w:rsidR="00F83826" w:rsidRPr="00EF2265" w:rsidTr="00B15B10">
        <w:tc>
          <w:tcPr>
            <w:tcW w:w="1311"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19.12.2018</w:t>
            </w:r>
          </w:p>
        </w:tc>
        <w:tc>
          <w:tcPr>
            <w:tcW w:w="861"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5</w:t>
            </w:r>
          </w:p>
        </w:tc>
        <w:tc>
          <w:tcPr>
            <w:tcW w:w="852"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2</w:t>
            </w:r>
          </w:p>
        </w:tc>
        <w:tc>
          <w:tcPr>
            <w:tcW w:w="85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957" w:type="dxa"/>
            <w:shd w:val="clear" w:color="auto" w:fill="auto"/>
          </w:tcPr>
          <w:p w:rsidR="00F83826" w:rsidRPr="00EF2265" w:rsidRDefault="00F83826" w:rsidP="00E86605">
            <w:pPr>
              <w:jc w:val="left"/>
              <w:rPr>
                <w:rFonts w:ascii="Times New Roman" w:hAnsi="Times New Roman"/>
                <w:sz w:val="20"/>
                <w:szCs w:val="20"/>
              </w:rPr>
            </w:pPr>
          </w:p>
        </w:tc>
        <w:tc>
          <w:tcPr>
            <w:tcW w:w="846" w:type="dxa"/>
            <w:shd w:val="clear" w:color="auto" w:fill="auto"/>
          </w:tcPr>
          <w:p w:rsidR="00F83826" w:rsidRPr="00EF2265" w:rsidRDefault="00F83826" w:rsidP="00E86605">
            <w:pPr>
              <w:jc w:val="left"/>
              <w:rPr>
                <w:rFonts w:ascii="Times New Roman" w:hAnsi="Times New Roman"/>
                <w:sz w:val="20"/>
                <w:szCs w:val="20"/>
              </w:rPr>
            </w:pPr>
          </w:p>
        </w:tc>
        <w:tc>
          <w:tcPr>
            <w:tcW w:w="88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2</w:t>
            </w:r>
          </w:p>
        </w:tc>
        <w:tc>
          <w:tcPr>
            <w:tcW w:w="869" w:type="dxa"/>
            <w:shd w:val="clear" w:color="auto" w:fill="auto"/>
          </w:tcPr>
          <w:p w:rsidR="00F83826" w:rsidRPr="00EF2265" w:rsidRDefault="00F83826" w:rsidP="00E86605">
            <w:pPr>
              <w:jc w:val="left"/>
              <w:rPr>
                <w:rFonts w:ascii="Times New Roman" w:hAnsi="Times New Roman"/>
                <w:sz w:val="20"/>
                <w:szCs w:val="20"/>
              </w:rPr>
            </w:pPr>
          </w:p>
        </w:tc>
        <w:tc>
          <w:tcPr>
            <w:tcW w:w="863" w:type="dxa"/>
            <w:shd w:val="clear" w:color="auto" w:fill="auto"/>
          </w:tcPr>
          <w:p w:rsidR="00F83826" w:rsidRPr="00EF2265" w:rsidRDefault="00F83826" w:rsidP="00E86605">
            <w:pPr>
              <w:jc w:val="left"/>
              <w:rPr>
                <w:rFonts w:ascii="Times New Roman" w:hAnsi="Times New Roman"/>
                <w:sz w:val="20"/>
                <w:szCs w:val="20"/>
              </w:rPr>
            </w:pPr>
          </w:p>
        </w:tc>
        <w:tc>
          <w:tcPr>
            <w:tcW w:w="873"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10</w:t>
            </w:r>
          </w:p>
        </w:tc>
      </w:tr>
      <w:tr w:rsidR="00F83826" w:rsidRPr="00EF2265" w:rsidTr="00B15B10">
        <w:tc>
          <w:tcPr>
            <w:tcW w:w="1311"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Spolu</w:t>
            </w:r>
          </w:p>
        </w:tc>
        <w:tc>
          <w:tcPr>
            <w:tcW w:w="861"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9</w:t>
            </w:r>
          </w:p>
        </w:tc>
        <w:tc>
          <w:tcPr>
            <w:tcW w:w="852"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3</w:t>
            </w:r>
          </w:p>
        </w:tc>
        <w:tc>
          <w:tcPr>
            <w:tcW w:w="85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2</w:t>
            </w:r>
          </w:p>
        </w:tc>
        <w:tc>
          <w:tcPr>
            <w:tcW w:w="957"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846"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880"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2</w:t>
            </w:r>
          </w:p>
        </w:tc>
        <w:tc>
          <w:tcPr>
            <w:tcW w:w="869"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2</w:t>
            </w:r>
          </w:p>
        </w:tc>
        <w:tc>
          <w:tcPr>
            <w:tcW w:w="863" w:type="dxa"/>
            <w:shd w:val="clear" w:color="auto" w:fill="auto"/>
          </w:tcPr>
          <w:p w:rsidR="00F83826" w:rsidRPr="00EF2265" w:rsidRDefault="00F83826" w:rsidP="00E86605">
            <w:pPr>
              <w:jc w:val="left"/>
              <w:rPr>
                <w:rFonts w:ascii="Times New Roman" w:hAnsi="Times New Roman"/>
                <w:sz w:val="20"/>
                <w:szCs w:val="20"/>
              </w:rPr>
            </w:pPr>
          </w:p>
        </w:tc>
        <w:tc>
          <w:tcPr>
            <w:tcW w:w="873" w:type="dxa"/>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20</w:t>
            </w:r>
          </w:p>
        </w:tc>
      </w:tr>
    </w:tbl>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UDELENIE TITULU „doctor honoris causa“</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Na zasadnutí Vedeckej rady STU dňa 14.3.2018 bol prerokovaný a schválený návrh na udelenie titulu „doctor honoris causa“prof. Bebo Whiteovi. Rektor STU prof. Robert Redhammer odovzdal čestný titul prof. Whiteovi na slávnostnom zasadnutí Vedeckej rady STU dňa 17.4.2018.</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Na zasadnutí Vedeckej rady STU dňa 13.6.2018 bol prerokovaný a schválený návrh na udelenie titulu „doctor honoris causa“prof. Dr. Danielovi Wayne Armstrongovi. Rektor STU prof. Robert Redhammer odovzdal čestný titul prof. Armstrongovi na slávnostnom zasadnutí Vedeckej rady STU dňa 5.11.2018.</w:t>
      </w:r>
    </w:p>
    <w:p w:rsidR="00F83826" w:rsidRPr="00EF2265" w:rsidRDefault="00F83826" w:rsidP="00E86605">
      <w:pPr>
        <w:jc w:val="left"/>
        <w:rPr>
          <w:rFonts w:ascii="Times New Roman" w:hAnsi="Times New Roman"/>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Vedecká rada STU prerokovala a schválila 1 návrh na uzatvorenie pracovného pomeru na miesto vysokoškolského učiteľa vo funkcii </w:t>
      </w:r>
      <w:r w:rsidRPr="00EF2265">
        <w:rPr>
          <w:rFonts w:ascii="Times New Roman" w:hAnsi="Times New Roman"/>
          <w:b/>
          <w:sz w:val="20"/>
          <w:szCs w:val="20"/>
        </w:rPr>
        <w:t>„hosťujúci profesor“</w:t>
      </w:r>
      <w:r w:rsidRPr="00EF2265">
        <w:rPr>
          <w:rFonts w:ascii="Times New Roman" w:hAnsi="Times New Roman"/>
          <w:sz w:val="20"/>
          <w:szCs w:val="20"/>
        </w:rPr>
        <w:t xml:space="preserve"> a to:</w:t>
      </w:r>
    </w:p>
    <w:p w:rsidR="00F83826" w:rsidRPr="00EF2265" w:rsidRDefault="00F83826" w:rsidP="00E86605">
      <w:pPr>
        <w:jc w:val="left"/>
        <w:rPr>
          <w:rFonts w:ascii="Times New Roman" w:hAnsi="Times New Roman"/>
          <w:sz w:val="20"/>
          <w:szCs w:val="20"/>
          <w:u w:val="single"/>
        </w:rPr>
      </w:pPr>
      <w:r w:rsidRPr="00EF2265">
        <w:rPr>
          <w:rFonts w:ascii="Times New Roman" w:hAnsi="Times New Roman"/>
          <w:sz w:val="20"/>
          <w:szCs w:val="20"/>
          <w:u w:val="single"/>
        </w:rPr>
        <w:t>13.  6.  2018</w:t>
      </w:r>
      <w:r w:rsidRPr="00EF2265">
        <w:rPr>
          <w:rFonts w:ascii="Times New Roman" w:hAnsi="Times New Roman"/>
          <w:sz w:val="20"/>
          <w:szCs w:val="20"/>
          <w:u w:val="single"/>
        </w:rPr>
        <w:br/>
      </w:r>
      <w:r w:rsidRPr="00EF2265">
        <w:rPr>
          <w:rFonts w:ascii="Times New Roman" w:hAnsi="Times New Roman"/>
          <w:sz w:val="20"/>
          <w:szCs w:val="20"/>
        </w:rPr>
        <w:t>prof. Dipl. Ing. Martin Wollensak</w:t>
      </w:r>
      <w:r w:rsidRPr="00EF2265">
        <w:rPr>
          <w:rFonts w:ascii="Times New Roman" w:hAnsi="Times New Roman"/>
          <w:bCs/>
          <w:sz w:val="20"/>
          <w:szCs w:val="20"/>
        </w:rPr>
        <w:t xml:space="preserve"> – FA STU</w:t>
      </w:r>
      <w:r w:rsidRPr="00EF2265">
        <w:rPr>
          <w:rFonts w:ascii="Times New Roman" w:hAnsi="Times New Roman"/>
          <w:sz w:val="20"/>
          <w:szCs w:val="20"/>
        </w:rPr>
        <w:t xml:space="preserve"> </w:t>
      </w:r>
    </w:p>
    <w:p w:rsidR="00F83826" w:rsidRPr="00EF2265" w:rsidRDefault="00F83826" w:rsidP="00E86605">
      <w:pPr>
        <w:jc w:val="left"/>
        <w:rPr>
          <w:rFonts w:ascii="Times New Roman" w:hAnsi="Times New Roman"/>
          <w:sz w:val="20"/>
          <w:szCs w:val="20"/>
          <w:u w:val="single"/>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Na Vedeckej rade STU bolo prerokovaných a schválených 7 návrhov na udelenie čestného titulu „</w:t>
      </w:r>
      <w:r w:rsidRPr="00EF2265">
        <w:rPr>
          <w:rFonts w:ascii="Times New Roman" w:hAnsi="Times New Roman"/>
          <w:b/>
          <w:sz w:val="20"/>
          <w:szCs w:val="20"/>
        </w:rPr>
        <w:t>profesor emeritus</w:t>
      </w:r>
      <w:r w:rsidRPr="00EF2265">
        <w:rPr>
          <w:rFonts w:ascii="Times New Roman" w:hAnsi="Times New Roman"/>
          <w:sz w:val="20"/>
          <w:szCs w:val="20"/>
        </w:rPr>
        <w:t>“. Prehľad podľa jednotlivých súčastí uvádza tab. č. 6.3. Menný zoznam je nasledovný:</w:t>
      </w:r>
    </w:p>
    <w:p w:rsidR="00F83826" w:rsidRPr="00EF2265" w:rsidRDefault="00F83826" w:rsidP="00E86605">
      <w:pPr>
        <w:jc w:val="left"/>
        <w:rPr>
          <w:rFonts w:ascii="Times New Roman" w:hAnsi="Times New Roman"/>
          <w:sz w:val="20"/>
          <w:szCs w:val="20"/>
          <w:u w:val="single"/>
        </w:rPr>
      </w:pPr>
      <w:r w:rsidRPr="00EF2265">
        <w:rPr>
          <w:rFonts w:ascii="Times New Roman" w:hAnsi="Times New Roman"/>
          <w:sz w:val="20"/>
          <w:szCs w:val="20"/>
          <w:u w:val="single"/>
        </w:rPr>
        <w:t>14. 3. 2018</w:t>
      </w:r>
      <w:r w:rsidRPr="00EF2265">
        <w:rPr>
          <w:rFonts w:ascii="Times New Roman" w:hAnsi="Times New Roman"/>
          <w:sz w:val="20"/>
          <w:szCs w:val="20"/>
          <w:u w:val="single"/>
        </w:rPr>
        <w:br/>
      </w:r>
      <w:r w:rsidRPr="00EF2265">
        <w:rPr>
          <w:rFonts w:ascii="Times New Roman" w:hAnsi="Times New Roman"/>
          <w:bCs/>
          <w:sz w:val="20"/>
          <w:szCs w:val="20"/>
        </w:rPr>
        <w:t>prof. Ing. Peter Turček, PhD.</w:t>
      </w:r>
    </w:p>
    <w:p w:rsidR="00F83826" w:rsidRPr="00EF2265" w:rsidRDefault="00F83826" w:rsidP="00E86605">
      <w:pPr>
        <w:jc w:val="left"/>
        <w:rPr>
          <w:rFonts w:ascii="Times New Roman" w:hAnsi="Times New Roman"/>
          <w:bCs/>
          <w:sz w:val="20"/>
          <w:szCs w:val="20"/>
        </w:rPr>
      </w:pPr>
      <w:r w:rsidRPr="00EF2265">
        <w:rPr>
          <w:rFonts w:ascii="Times New Roman" w:hAnsi="Times New Roman"/>
          <w:sz w:val="20"/>
          <w:szCs w:val="20"/>
          <w:u w:val="single"/>
        </w:rPr>
        <w:t>13. 6. 2018</w:t>
      </w:r>
      <w:r w:rsidRPr="00EF2265">
        <w:rPr>
          <w:rFonts w:ascii="Times New Roman" w:hAnsi="Times New Roman"/>
          <w:sz w:val="20"/>
          <w:szCs w:val="20"/>
        </w:rPr>
        <w:br/>
      </w:r>
      <w:r w:rsidRPr="00EF2265">
        <w:rPr>
          <w:rFonts w:ascii="Times New Roman" w:hAnsi="Times New Roman"/>
          <w:bCs/>
          <w:sz w:val="20"/>
          <w:szCs w:val="20"/>
        </w:rPr>
        <w:t>prof. Ing. Anton Puškár, PhD.</w:t>
      </w:r>
    </w:p>
    <w:p w:rsidR="00F83826" w:rsidRPr="00EF2265" w:rsidRDefault="00F83826" w:rsidP="00E86605">
      <w:pPr>
        <w:tabs>
          <w:tab w:val="left" w:pos="284"/>
          <w:tab w:val="left" w:pos="7371"/>
          <w:tab w:val="left" w:pos="7797"/>
          <w:tab w:val="left" w:pos="8647"/>
        </w:tabs>
        <w:jc w:val="left"/>
        <w:rPr>
          <w:rFonts w:ascii="Times New Roman" w:eastAsia="Times New Roman" w:hAnsi="Times New Roman"/>
          <w:sz w:val="20"/>
          <w:szCs w:val="20"/>
          <w:lang w:eastAsia="sk-SK"/>
        </w:rPr>
      </w:pPr>
      <w:r w:rsidRPr="00EF2265">
        <w:rPr>
          <w:rFonts w:ascii="Times New Roman" w:hAnsi="Times New Roman"/>
          <w:sz w:val="20"/>
          <w:szCs w:val="20"/>
          <w:u w:val="single"/>
        </w:rPr>
        <w:t xml:space="preserve"> 7. 11. 2018</w:t>
      </w:r>
      <w:r w:rsidRPr="00EF2265">
        <w:rPr>
          <w:rFonts w:ascii="Times New Roman" w:hAnsi="Times New Roman"/>
          <w:sz w:val="20"/>
          <w:szCs w:val="20"/>
          <w:u w:val="single"/>
        </w:rPr>
        <w:br/>
      </w:r>
      <w:r w:rsidRPr="00EF2265">
        <w:rPr>
          <w:rFonts w:ascii="Times New Roman" w:eastAsia="Times New Roman" w:hAnsi="Times New Roman"/>
          <w:sz w:val="20"/>
          <w:szCs w:val="20"/>
          <w:lang w:eastAsia="sk-SK"/>
        </w:rPr>
        <w:t xml:space="preserve">prof. RNDr. Daniela Hudecová, CSc. </w:t>
      </w:r>
      <w:r w:rsidRPr="00EF2265">
        <w:rPr>
          <w:rFonts w:ascii="Times New Roman" w:eastAsia="Times New Roman" w:hAnsi="Times New Roman"/>
          <w:sz w:val="20"/>
          <w:szCs w:val="20"/>
          <w:lang w:eastAsia="sk-SK"/>
        </w:rPr>
        <w:br/>
        <w:t xml:space="preserve">prof. Ing. Jozef Šima, DrSc.  </w:t>
      </w:r>
      <w:r w:rsidRPr="00EF2265">
        <w:rPr>
          <w:rFonts w:ascii="Times New Roman" w:eastAsia="Times New Roman" w:hAnsi="Times New Roman"/>
          <w:sz w:val="20"/>
          <w:szCs w:val="20"/>
          <w:lang w:eastAsia="sk-SK"/>
        </w:rPr>
        <w:br/>
        <w:t xml:space="preserve">prof. RNDr. Ľudovít Varečka, DrSc. </w:t>
      </w:r>
      <w:r w:rsidRPr="00EF2265">
        <w:rPr>
          <w:rFonts w:ascii="Times New Roman" w:eastAsia="Times New Roman" w:hAnsi="Times New Roman"/>
          <w:sz w:val="20"/>
          <w:szCs w:val="20"/>
          <w:lang w:eastAsia="sk-SK"/>
        </w:rPr>
        <w:br/>
        <w:t>prof. Ing. Viktor Smieško, PhD.</w:t>
      </w:r>
      <w:r w:rsidRPr="00EF2265">
        <w:rPr>
          <w:rFonts w:ascii="Times New Roman" w:eastAsia="Times New Roman" w:hAnsi="Times New Roman"/>
          <w:sz w:val="20"/>
          <w:szCs w:val="20"/>
          <w:lang w:eastAsia="sk-SK"/>
        </w:rPr>
        <w:br/>
        <w:t xml:space="preserve">prof. Ing. Pavel Élesztös, CSc. </w:t>
      </w:r>
    </w:p>
    <w:p w:rsidR="00F83826" w:rsidRPr="00EF2265" w:rsidRDefault="00F83826" w:rsidP="00E86605">
      <w:pPr>
        <w:tabs>
          <w:tab w:val="left" w:pos="284"/>
          <w:tab w:val="left" w:pos="7371"/>
          <w:tab w:val="left" w:pos="7797"/>
          <w:tab w:val="left" w:pos="8647"/>
        </w:tabs>
        <w:jc w:val="left"/>
        <w:rPr>
          <w:rFonts w:ascii="Times New Roman" w:eastAsia="Times New Roman" w:hAnsi="Times New Roman"/>
          <w:sz w:val="20"/>
          <w:szCs w:val="20"/>
          <w:lang w:eastAsia="sk-SK"/>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Tab. č. 6.3: Prehľad návrhov na udelenie titulu „profesor emeritus“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841"/>
        <w:gridCol w:w="991"/>
        <w:gridCol w:w="993"/>
        <w:gridCol w:w="1020"/>
        <w:gridCol w:w="990"/>
        <w:gridCol w:w="1003"/>
        <w:gridCol w:w="999"/>
        <w:gridCol w:w="1000"/>
      </w:tblGrid>
      <w:tr w:rsidR="00F83826" w:rsidRPr="00EF2265" w:rsidTr="00B15B10">
        <w:tc>
          <w:tcPr>
            <w:tcW w:w="145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VR STU</w:t>
            </w: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SvF</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SjF</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FEI</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FCHPT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FA</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MTF</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FIIT</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STU</w:t>
            </w:r>
          </w:p>
        </w:tc>
      </w:tr>
      <w:tr w:rsidR="00F83826" w:rsidRPr="00EF2265" w:rsidTr="00B15B10">
        <w:tc>
          <w:tcPr>
            <w:tcW w:w="145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14.3.2018</w:t>
            </w: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r>
      <w:tr w:rsidR="00F83826" w:rsidRPr="00EF2265" w:rsidTr="00B15B10">
        <w:tc>
          <w:tcPr>
            <w:tcW w:w="145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13.6.2018</w:t>
            </w: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r>
      <w:tr w:rsidR="00F83826" w:rsidRPr="00EF2265" w:rsidTr="00B15B10">
        <w:tc>
          <w:tcPr>
            <w:tcW w:w="145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7.11.2018</w:t>
            </w: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5</w:t>
            </w:r>
          </w:p>
        </w:tc>
      </w:tr>
      <w:tr w:rsidR="00F83826" w:rsidRPr="00EF2265" w:rsidTr="00B15B10">
        <w:tc>
          <w:tcPr>
            <w:tcW w:w="145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Spolu</w:t>
            </w: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2</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1</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7</w:t>
            </w:r>
          </w:p>
        </w:tc>
      </w:tr>
    </w:tbl>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b/>
          <w:sz w:val="20"/>
          <w:szCs w:val="20"/>
        </w:rPr>
      </w:pPr>
      <w:r w:rsidRPr="00EF2265">
        <w:rPr>
          <w:rFonts w:ascii="Times New Roman" w:hAnsi="Times New Roman"/>
          <w:b/>
          <w:sz w:val="20"/>
          <w:szCs w:val="20"/>
        </w:rPr>
        <w:t>Vedecký kvalifikačný stupeň</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Atestačná komisia STU, ktorej poslanie vyplýva z príslušných ustanovení vyhlášky SAV o vedeckých kvalifikačných stupňoch v roku 2016 pracovala v zložení: prof. RNDr. Vladimír Sládek, DrSc., Ing. Peter Matiašovský, CSc., prof. Ing. arch. Matúš Dulla, DrSc., prof. Ing. Ján Tkáč, DrSc., doc. Ing. Jozef Novák, DrSc., hosť. prof. Ing. Ľudovít Kupča, CSc., doc. Ing. Ladislav Hluchý, CSc., prof. Ing. Ján Szolgay, PhD., prof. Ing. </w:t>
      </w:r>
      <w:r w:rsidRPr="00EF2265">
        <w:rPr>
          <w:rFonts w:ascii="Times New Roman" w:hAnsi="Times New Roman"/>
          <w:sz w:val="20"/>
          <w:szCs w:val="20"/>
        </w:rPr>
        <w:lastRenderedPageBreak/>
        <w:t xml:space="preserve">Stanislav Ďuriš, PhD., prof. Ing. Viera Stopjaková, PhD., prof. Ing. Anton Gatial, DrSc., prof. Ing. arch. Robert Špaček, CSc., prof. Ing. Miloš Čambál, CSc., doc. Ing. Viera Rozinajová, PhD., doc. Ing. Anna Ujhelyová, PhD. a prof. Ing. Marián Peciar, PhD. - predseda. </w:t>
      </w:r>
    </w:p>
    <w:p w:rsidR="00F83826" w:rsidRPr="00EF2265" w:rsidRDefault="00F83826" w:rsidP="00E86605">
      <w:pPr>
        <w:jc w:val="left"/>
        <w:rPr>
          <w:rFonts w:ascii="Times New Roman" w:hAnsi="Times New Roman"/>
          <w:sz w:val="20"/>
          <w:szCs w:val="20"/>
        </w:rPr>
      </w:pPr>
      <w:r w:rsidRPr="00EF2265">
        <w:rPr>
          <w:rFonts w:ascii="Times New Roman" w:hAnsi="Times New Roman"/>
          <w:bCs/>
          <w:sz w:val="20"/>
          <w:szCs w:val="20"/>
        </w:rPr>
        <w:t xml:space="preserve">Hlasovaním „per rollam“ 26. 3. 2018 </w:t>
      </w:r>
      <w:r w:rsidRPr="00EF2265">
        <w:rPr>
          <w:rFonts w:ascii="Times New Roman" w:hAnsi="Times New Roman"/>
          <w:sz w:val="20"/>
          <w:szCs w:val="20"/>
        </w:rPr>
        <w:t>komisia odporučila postúpiť 10 návrhov na priznanie vedeckého kvalifikačného stupňa IIa na MŠVVaŠ SR na ďalšie konanie.</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Dr. hab. Mgr. Mariana Derzsi, PhD. - MTF STU, Ústav výskumu progresívnych technológií</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Ing. Matúš Dubecký, PhD. - MTF STU, Ústav výskumu progresívnych technológií</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Ing. Róbert Fischer, PhD. -  FCHPT STU, Oddelenie organickej chémie</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Ing. Barbora Kaliňáková, PhD. - FCHPT STU, Ústav biochémie a mikrobiológie</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Ing. Vladimír Kršjak, PhD. - FEI STU, Ústav jadrového a fyzikálneho inžinierstva</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Ing. Jaroslava Maroszová, PhD. - FCHPT STU, Ústav anorganickej chémie, technológie a materiálov</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Ing. Zuzana Minarechová, PhD. – SvF STU, Katedra matematiky a deskriptívnej geometrie</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Ing. Milan Pavúk, PhD. - FEI STU, Ústav jadrového a fyzikálneho inžinierstva</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Mgr. Oľga Stašová, PhD. - SvF STU,  Katedra matematiky a deskriptívnej geometrie</w:t>
      </w:r>
    </w:p>
    <w:p w:rsidR="00F83826" w:rsidRPr="00EF2265" w:rsidRDefault="00F83826" w:rsidP="00E86605">
      <w:pPr>
        <w:jc w:val="left"/>
        <w:rPr>
          <w:rFonts w:ascii="Times New Roman" w:eastAsia="Times New Roman" w:hAnsi="Times New Roman"/>
          <w:sz w:val="20"/>
          <w:szCs w:val="20"/>
          <w:lang w:eastAsia="sk-SK"/>
        </w:rPr>
      </w:pPr>
      <w:r w:rsidRPr="00EF2265">
        <w:rPr>
          <w:rFonts w:ascii="Times New Roman" w:eastAsia="Times New Roman" w:hAnsi="Times New Roman"/>
          <w:bCs/>
          <w:sz w:val="20"/>
          <w:szCs w:val="20"/>
          <w:lang w:eastAsia="sk-SK"/>
        </w:rPr>
        <w:t xml:space="preserve">doc. Ing. Ján Moncoľ, PhD. - </w:t>
      </w:r>
      <w:r w:rsidRPr="00EF2265">
        <w:rPr>
          <w:rFonts w:ascii="Times New Roman" w:eastAsia="Times New Roman" w:hAnsi="Times New Roman"/>
          <w:sz w:val="20"/>
          <w:szCs w:val="20"/>
          <w:lang w:eastAsia="sk-SK"/>
        </w:rPr>
        <w:t xml:space="preserve">FCHPT STU, </w:t>
      </w:r>
      <w:r w:rsidRPr="00EF2265">
        <w:rPr>
          <w:rFonts w:ascii="Times New Roman" w:eastAsia="Times New Roman" w:hAnsi="Times New Roman"/>
          <w:bCs/>
          <w:sz w:val="20"/>
          <w:szCs w:val="20"/>
          <w:lang w:eastAsia="sk-SK"/>
        </w:rPr>
        <w:t>Ústav anorganickej chémie, technológie a materiálov</w:t>
      </w:r>
    </w:p>
    <w:p w:rsidR="00F83826" w:rsidRPr="00EF2265" w:rsidRDefault="00F83826" w:rsidP="00E86605">
      <w:pPr>
        <w:jc w:val="left"/>
        <w:rPr>
          <w:rFonts w:ascii="Times New Roman" w:hAnsi="Times New Roman"/>
          <w:sz w:val="20"/>
          <w:szCs w:val="20"/>
        </w:rPr>
      </w:pPr>
      <w:r w:rsidRPr="00EF2265">
        <w:rPr>
          <w:rFonts w:ascii="Times New Roman" w:hAnsi="Times New Roman"/>
          <w:bCs/>
          <w:sz w:val="20"/>
          <w:szCs w:val="20"/>
        </w:rPr>
        <w:t xml:space="preserve">Hlasovaním „per rollam“ 1. 10. 2018 </w:t>
      </w:r>
      <w:r w:rsidRPr="00EF2265">
        <w:rPr>
          <w:rFonts w:ascii="Times New Roman" w:hAnsi="Times New Roman"/>
          <w:sz w:val="20"/>
          <w:szCs w:val="20"/>
        </w:rPr>
        <w:t>komisia odporučila postúpiť 1 návrh na priznanie vedeckého kvalifikačného stupňa I a 5 návrhov na priznanie vedeckého kvalifikačného stupňa IIa na MŠVVaŠ SR na ďalšie konanie.</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VKS I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doc. Ing. Ján Moncoľ, PhD. - FCHPT STU, Ústav anorganickej chémie, technológie a materiálov</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VKS IIa</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Ing. Pavol Gemeiner, PhD.- FCHPT STU, Oddelenie polygrafie a aplikovanej fotochémie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doc. Ing. Ján Jakabovič, PhD. -  FEI STU, Ústav elektroniky a fotoniky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Ing. Pavol Jakubec, PhD. - FCHPT STU, Oddelenie organickej chémie </w:t>
      </w: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Ing. Alena Manová, PhD. - FCHPT STU, Ústav analytickej chémie </w:t>
      </w:r>
    </w:p>
    <w:p w:rsidR="00F83826" w:rsidRPr="00EF2265" w:rsidRDefault="00F83826" w:rsidP="00E86605">
      <w:pPr>
        <w:jc w:val="left"/>
        <w:rPr>
          <w:rFonts w:ascii="Times New Roman" w:hAnsi="Times New Roman"/>
          <w:b/>
          <w:sz w:val="20"/>
          <w:szCs w:val="20"/>
        </w:rPr>
      </w:pPr>
      <w:r w:rsidRPr="00EF2265">
        <w:rPr>
          <w:rFonts w:ascii="Times New Roman" w:hAnsi="Times New Roman"/>
          <w:sz w:val="20"/>
          <w:szCs w:val="20"/>
        </w:rPr>
        <w:t>Ing. Agneša Szarka, PhD. - FCHPT STU, Ústav analytickej chémie</w:t>
      </w:r>
    </w:p>
    <w:p w:rsidR="00F83826" w:rsidRPr="00EF2265" w:rsidRDefault="00F83826" w:rsidP="00E86605">
      <w:pPr>
        <w:jc w:val="left"/>
        <w:rPr>
          <w:rFonts w:ascii="Times New Roman" w:hAnsi="Times New Roman"/>
          <w:b/>
          <w:sz w:val="20"/>
          <w:szCs w:val="20"/>
        </w:rPr>
      </w:pPr>
    </w:p>
    <w:p w:rsidR="00F83826" w:rsidRPr="00EF2265" w:rsidRDefault="00F83826" w:rsidP="00E86605">
      <w:pPr>
        <w:pStyle w:val="Nadpis2"/>
        <w:keepLines w:val="0"/>
        <w:numPr>
          <w:ilvl w:val="1"/>
          <w:numId w:val="30"/>
        </w:numPr>
        <w:tabs>
          <w:tab w:val="clear" w:pos="567"/>
        </w:tabs>
        <w:spacing w:before="240" w:after="60"/>
        <w:ind w:left="426"/>
        <w:rPr>
          <w:rFonts w:ascii="Times New Roman" w:hAnsi="Times New Roman" w:cs="Times New Roman"/>
          <w:i/>
          <w:sz w:val="20"/>
          <w:szCs w:val="20"/>
        </w:rPr>
      </w:pPr>
      <w:r w:rsidRPr="00EF2265">
        <w:rPr>
          <w:rFonts w:ascii="Times New Roman" w:hAnsi="Times New Roman" w:cs="Times New Roman"/>
          <w:sz w:val="20"/>
          <w:szCs w:val="20"/>
        </w:rPr>
        <w:t xml:space="preserve"> </w:t>
      </w:r>
      <w:bookmarkStart w:id="212" w:name="_Toc4590005"/>
      <w:r w:rsidRPr="00EF2265">
        <w:rPr>
          <w:rFonts w:ascii="Times New Roman" w:hAnsi="Times New Roman" w:cs="Times New Roman"/>
          <w:sz w:val="20"/>
          <w:szCs w:val="20"/>
        </w:rPr>
        <w:t>Ocenenia na STU</w:t>
      </w:r>
      <w:bookmarkEnd w:id="212"/>
    </w:p>
    <w:p w:rsidR="00F83826" w:rsidRPr="00EF2265" w:rsidRDefault="00F83826" w:rsidP="00E86605">
      <w:pPr>
        <w:jc w:val="left"/>
        <w:rPr>
          <w:rFonts w:ascii="Times New Roman" w:hAnsi="Times New Roman"/>
          <w:b/>
          <w:sz w:val="20"/>
          <w:szCs w:val="20"/>
        </w:rPr>
      </w:pPr>
    </w:p>
    <w:p w:rsidR="00F83826" w:rsidRPr="00EF2265" w:rsidRDefault="00F83826" w:rsidP="00E86605">
      <w:pPr>
        <w:jc w:val="left"/>
        <w:rPr>
          <w:rFonts w:ascii="Times New Roman" w:hAnsi="Times New Roman"/>
          <w:sz w:val="20"/>
          <w:szCs w:val="20"/>
        </w:rPr>
      </w:pPr>
      <w:r w:rsidRPr="00EF2265">
        <w:rPr>
          <w:rFonts w:ascii="Times New Roman" w:hAnsi="Times New Roman"/>
          <w:sz w:val="20"/>
          <w:szCs w:val="20"/>
        </w:rPr>
        <w:t xml:space="preserve">Rektor STU udelil v roku 2018 tri </w:t>
      </w:r>
      <w:r w:rsidRPr="00EF2265">
        <w:rPr>
          <w:rFonts w:ascii="Times New Roman" w:hAnsi="Times New Roman"/>
          <w:b/>
          <w:sz w:val="20"/>
          <w:szCs w:val="20"/>
        </w:rPr>
        <w:t>Plakety STU</w:t>
      </w:r>
      <w:r w:rsidRPr="00EF2265">
        <w:rPr>
          <w:rFonts w:ascii="Times New Roman" w:hAnsi="Times New Roman"/>
          <w:sz w:val="20"/>
          <w:szCs w:val="20"/>
        </w:rPr>
        <w:t xml:space="preserve"> </w:t>
      </w:r>
    </w:p>
    <w:p w:rsidR="00F83826" w:rsidRPr="00EF2265" w:rsidRDefault="00F83826" w:rsidP="00E86605">
      <w:pPr>
        <w:jc w:val="left"/>
        <w:rPr>
          <w:rFonts w:ascii="Times New Roman" w:hAnsi="Times New Roman"/>
          <w:bCs/>
          <w:sz w:val="20"/>
          <w:szCs w:val="20"/>
        </w:rPr>
      </w:pPr>
      <w:r w:rsidRPr="00EF2265">
        <w:rPr>
          <w:rFonts w:ascii="Times New Roman" w:hAnsi="Times New Roman"/>
          <w:bCs/>
          <w:sz w:val="20"/>
          <w:szCs w:val="20"/>
        </w:rPr>
        <w:t>prof. Ing. Martinovi Bajusovi, PhD.</w:t>
      </w:r>
      <w:r w:rsidRPr="00EF2265">
        <w:rPr>
          <w:rFonts w:ascii="Times New Roman" w:hAnsi="Times New Roman"/>
          <w:bCs/>
          <w:sz w:val="20"/>
          <w:szCs w:val="20"/>
        </w:rPr>
        <w:br/>
        <w:t>prof. Ing. Alojzovi Kopáčikovi, PhD.</w:t>
      </w:r>
      <w:r w:rsidRPr="00EF2265">
        <w:rPr>
          <w:rFonts w:ascii="Times New Roman" w:hAnsi="Times New Roman"/>
          <w:bCs/>
          <w:sz w:val="20"/>
          <w:szCs w:val="20"/>
        </w:rPr>
        <w:br/>
        <w:t>prof. Ing. Antonovi Puškárovi, PhD.</w:t>
      </w:r>
    </w:p>
    <w:p w:rsidR="00D84F47" w:rsidRPr="00EF2265" w:rsidRDefault="00D84F47" w:rsidP="00E86605">
      <w:pPr>
        <w:jc w:val="left"/>
        <w:rPr>
          <w:rFonts w:ascii="Times New Roman" w:hAnsi="Times New Roman"/>
          <w:bCs/>
          <w:sz w:val="20"/>
          <w:szCs w:val="20"/>
        </w:rPr>
      </w:pPr>
    </w:p>
    <w:p w:rsidR="00D84F47" w:rsidRPr="00EF2265" w:rsidRDefault="00D84F47" w:rsidP="00E86605">
      <w:pPr>
        <w:jc w:val="left"/>
        <w:rPr>
          <w:rFonts w:ascii="Times New Roman" w:hAnsi="Times New Roman"/>
          <w:bCs/>
          <w:sz w:val="20"/>
          <w:szCs w:val="20"/>
        </w:rPr>
      </w:pPr>
    </w:p>
    <w:p w:rsidR="00AF0352" w:rsidRPr="00405E1E" w:rsidRDefault="00405E1E" w:rsidP="00405E1E">
      <w:pPr>
        <w:pStyle w:val="Nadpis1"/>
        <w:keepNext w:val="0"/>
        <w:keepLines w:val="0"/>
        <w:numPr>
          <w:ilvl w:val="0"/>
          <w:numId w:val="0"/>
        </w:numPr>
        <w:tabs>
          <w:tab w:val="clear" w:pos="426"/>
        </w:tabs>
        <w:spacing w:before="480" w:after="240"/>
        <w:rPr>
          <w:rFonts w:ascii="Times New Roman" w:hAnsi="Times New Roman" w:cs="Times New Roman"/>
          <w:color w:val="auto"/>
        </w:rPr>
      </w:pPr>
      <w:bookmarkStart w:id="213" w:name="_Toc450247188"/>
      <w:r w:rsidRPr="00405E1E">
        <w:rPr>
          <w:rFonts w:ascii="Times New Roman" w:hAnsi="Times New Roman" w:cs="Times New Roman"/>
          <w:color w:val="auto"/>
        </w:rPr>
        <w:t>7.</w:t>
      </w:r>
      <w:r w:rsidR="00AF0352" w:rsidRPr="00405E1E">
        <w:rPr>
          <w:rFonts w:ascii="Times New Roman" w:hAnsi="Times New Roman" w:cs="Times New Roman"/>
          <w:color w:val="auto"/>
        </w:rPr>
        <w:t>Zamestnanci vysokej školy</w:t>
      </w:r>
      <w:bookmarkEnd w:id="213"/>
    </w:p>
    <w:p w:rsidR="00AF0352" w:rsidRPr="00EF2265" w:rsidRDefault="00AF0352" w:rsidP="00E86605">
      <w:pPr>
        <w:jc w:val="left"/>
        <w:rPr>
          <w:rFonts w:ascii="Times New Roman" w:hAnsi="Times New Roman"/>
          <w:color w:val="FF0000"/>
          <w:sz w:val="20"/>
          <w:szCs w:val="20"/>
          <w:lang w:eastAsia="cs-CZ"/>
        </w:rPr>
      </w:pPr>
    </w:p>
    <w:p w:rsidR="00AF0352" w:rsidRPr="00EF2265" w:rsidRDefault="00AF0352" w:rsidP="00E86605">
      <w:pPr>
        <w:pStyle w:val="Default"/>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 xml:space="preserve">Celkový </w:t>
      </w:r>
      <w:r w:rsidRPr="00EF2265">
        <w:rPr>
          <w:rFonts w:ascii="Times New Roman" w:hAnsi="Times New Roman" w:cs="Times New Roman"/>
          <w:b/>
          <w:color w:val="auto"/>
          <w:sz w:val="20"/>
          <w:szCs w:val="20"/>
          <w:lang w:val="sk-SK"/>
        </w:rPr>
        <w:t>počet zamestnancov univerzity sa medziročne znížil</w:t>
      </w:r>
      <w:r w:rsidRPr="00EF2265">
        <w:rPr>
          <w:rFonts w:ascii="Times New Roman" w:hAnsi="Times New Roman" w:cs="Times New Roman"/>
          <w:color w:val="auto"/>
          <w:sz w:val="20"/>
          <w:szCs w:val="20"/>
          <w:lang w:val="sk-SK"/>
        </w:rPr>
        <w:t xml:space="preserve">, negatívnom je, že pokračovalo aj znižovanie počtu vysokoškolských učiteľov a vedeckovýskumných pracovníkov.  </w:t>
      </w:r>
      <w:r w:rsidRPr="00EF2265">
        <w:rPr>
          <w:rFonts w:ascii="Times New Roman" w:hAnsi="Times New Roman" w:cs="Times New Roman"/>
          <w:b/>
          <w:color w:val="auto"/>
          <w:sz w:val="20"/>
          <w:szCs w:val="20"/>
          <w:lang w:val="sk-SK"/>
        </w:rPr>
        <w:t>V roku 2018 bol priemerný počet zamestnancov na STU 2633, z toho bolo 1030 vysokoškolských učiteľov a 435 vedeckovýskumných zamestnancov.</w:t>
      </w:r>
      <w:r w:rsidRPr="00EF2265">
        <w:rPr>
          <w:rFonts w:ascii="Times New Roman" w:hAnsi="Times New Roman" w:cs="Times New Roman"/>
          <w:color w:val="auto"/>
          <w:sz w:val="20"/>
          <w:szCs w:val="20"/>
          <w:lang w:val="sk-SK"/>
        </w:rPr>
        <w:t xml:space="preserve"> Tabuľka 7.1. ukazuje porovnanie počtu zamestnancov za posledné obdobie, a to ako priemerný počet fyzických osôb za celý kalendárny rok. </w:t>
      </w:r>
    </w:p>
    <w:p w:rsidR="00AF0352" w:rsidRPr="00EF2265" w:rsidRDefault="00AF0352" w:rsidP="00E86605">
      <w:pPr>
        <w:pStyle w:val="Default"/>
        <w:rPr>
          <w:rFonts w:ascii="Times New Roman" w:hAnsi="Times New Roman" w:cs="Times New Roman"/>
          <w:color w:val="auto"/>
          <w:sz w:val="20"/>
          <w:szCs w:val="20"/>
          <w:lang w:val="sk-SK"/>
        </w:rPr>
      </w:pPr>
    </w:p>
    <w:p w:rsidR="00AF0352" w:rsidRPr="00EF2265" w:rsidRDefault="00AF0352" w:rsidP="00E86605">
      <w:pPr>
        <w:pStyle w:val="Default"/>
        <w:rPr>
          <w:rFonts w:ascii="Times New Roman" w:hAnsi="Times New Roman" w:cs="Times New Roman"/>
          <w:b/>
          <w:color w:val="auto"/>
          <w:sz w:val="20"/>
          <w:szCs w:val="20"/>
          <w:lang w:val="sk-SK"/>
        </w:rPr>
      </w:pPr>
      <w:r w:rsidRPr="00EF2265">
        <w:rPr>
          <w:rFonts w:ascii="Times New Roman" w:hAnsi="Times New Roman" w:cs="Times New Roman"/>
          <w:b/>
          <w:color w:val="auto"/>
          <w:sz w:val="20"/>
          <w:szCs w:val="20"/>
          <w:lang w:val="sk-SK"/>
        </w:rPr>
        <w:t xml:space="preserve">Tabuľka 7.1. Porovnanie počtu zamestnancov STU v Bratislave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594"/>
        <w:gridCol w:w="1905"/>
        <w:gridCol w:w="1382"/>
      </w:tblGrid>
      <w:tr w:rsidR="00AF0352" w:rsidRPr="00EF2265" w:rsidTr="00B15B10">
        <w:tc>
          <w:tcPr>
            <w:tcW w:w="1023"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Rok</w:t>
            </w:r>
          </w:p>
        </w:tc>
        <w:tc>
          <w:tcPr>
            <w:tcW w:w="1547"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Počet vysokoškolských učiteľov</w:t>
            </w:r>
          </w:p>
        </w:tc>
        <w:tc>
          <w:tcPr>
            <w:tcW w:w="179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 xml:space="preserve">Počet vedeckovýskumných pracovníkov </w:t>
            </w:r>
          </w:p>
        </w:tc>
        <w:tc>
          <w:tcPr>
            <w:tcW w:w="138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Počet zamestnancov STU</w:t>
            </w:r>
          </w:p>
        </w:tc>
      </w:tr>
      <w:tr w:rsidR="00AF0352" w:rsidRPr="00EF2265" w:rsidTr="00B15B10">
        <w:tc>
          <w:tcPr>
            <w:tcW w:w="1023"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2012</w:t>
            </w:r>
          </w:p>
        </w:tc>
        <w:tc>
          <w:tcPr>
            <w:tcW w:w="1547"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noProof/>
                <w:sz w:val="20"/>
                <w:szCs w:val="20"/>
              </w:rPr>
              <w:t>1 172</w:t>
            </w:r>
          </w:p>
        </w:tc>
        <w:tc>
          <w:tcPr>
            <w:tcW w:w="179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noProof/>
                <w:sz w:val="20"/>
                <w:szCs w:val="20"/>
              </w:rPr>
              <w:t>425</w:t>
            </w:r>
          </w:p>
        </w:tc>
        <w:tc>
          <w:tcPr>
            <w:tcW w:w="138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noProof/>
                <w:sz w:val="20"/>
                <w:szCs w:val="20"/>
              </w:rPr>
              <w:t>3 015</w:t>
            </w:r>
          </w:p>
        </w:tc>
      </w:tr>
      <w:tr w:rsidR="00AF0352" w:rsidRPr="00EF2265" w:rsidTr="00B15B10">
        <w:tc>
          <w:tcPr>
            <w:tcW w:w="1023"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2013</w:t>
            </w:r>
          </w:p>
        </w:tc>
        <w:tc>
          <w:tcPr>
            <w:tcW w:w="1547"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noProof/>
                <w:sz w:val="20"/>
                <w:szCs w:val="20"/>
              </w:rPr>
              <w:t>1 175</w:t>
            </w:r>
          </w:p>
        </w:tc>
        <w:tc>
          <w:tcPr>
            <w:tcW w:w="179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noProof/>
                <w:sz w:val="20"/>
                <w:szCs w:val="20"/>
              </w:rPr>
              <w:t>450</w:t>
            </w:r>
          </w:p>
        </w:tc>
        <w:tc>
          <w:tcPr>
            <w:tcW w:w="138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noProof/>
                <w:sz w:val="20"/>
                <w:szCs w:val="20"/>
              </w:rPr>
              <w:t>2 998</w:t>
            </w:r>
          </w:p>
        </w:tc>
      </w:tr>
      <w:tr w:rsidR="00AF0352" w:rsidRPr="00EF2265" w:rsidTr="00B15B10">
        <w:tc>
          <w:tcPr>
            <w:tcW w:w="1023"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2014</w:t>
            </w:r>
          </w:p>
        </w:tc>
        <w:tc>
          <w:tcPr>
            <w:tcW w:w="1547"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1 158</w:t>
            </w:r>
          </w:p>
        </w:tc>
        <w:tc>
          <w:tcPr>
            <w:tcW w:w="179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438</w:t>
            </w:r>
          </w:p>
        </w:tc>
        <w:tc>
          <w:tcPr>
            <w:tcW w:w="138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2 935</w:t>
            </w:r>
          </w:p>
        </w:tc>
      </w:tr>
      <w:tr w:rsidR="00AF0352" w:rsidRPr="00EF2265" w:rsidTr="00B15B10">
        <w:tc>
          <w:tcPr>
            <w:tcW w:w="1023"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2015</w:t>
            </w:r>
          </w:p>
        </w:tc>
        <w:tc>
          <w:tcPr>
            <w:tcW w:w="1547"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1 118</w:t>
            </w:r>
          </w:p>
        </w:tc>
        <w:tc>
          <w:tcPr>
            <w:tcW w:w="179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425</w:t>
            </w:r>
          </w:p>
        </w:tc>
        <w:tc>
          <w:tcPr>
            <w:tcW w:w="138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2 835</w:t>
            </w:r>
          </w:p>
        </w:tc>
      </w:tr>
      <w:tr w:rsidR="00AF0352" w:rsidRPr="00EF2265" w:rsidTr="00B15B10">
        <w:tc>
          <w:tcPr>
            <w:tcW w:w="1023"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2016</w:t>
            </w:r>
          </w:p>
        </w:tc>
        <w:tc>
          <w:tcPr>
            <w:tcW w:w="1547"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1 086</w:t>
            </w:r>
          </w:p>
        </w:tc>
        <w:tc>
          <w:tcPr>
            <w:tcW w:w="179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412</w:t>
            </w:r>
          </w:p>
        </w:tc>
        <w:tc>
          <w:tcPr>
            <w:tcW w:w="138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2 745</w:t>
            </w:r>
          </w:p>
        </w:tc>
      </w:tr>
      <w:tr w:rsidR="00AF0352" w:rsidRPr="00EF2265" w:rsidTr="00B15B10">
        <w:tc>
          <w:tcPr>
            <w:tcW w:w="1023"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2017</w:t>
            </w:r>
          </w:p>
        </w:tc>
        <w:tc>
          <w:tcPr>
            <w:tcW w:w="1547"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1 052</w:t>
            </w:r>
          </w:p>
        </w:tc>
        <w:tc>
          <w:tcPr>
            <w:tcW w:w="179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404</w:t>
            </w:r>
          </w:p>
        </w:tc>
        <w:tc>
          <w:tcPr>
            <w:tcW w:w="138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2 652</w:t>
            </w:r>
          </w:p>
        </w:tc>
      </w:tr>
      <w:tr w:rsidR="00AF0352" w:rsidRPr="00EF2265" w:rsidTr="00B15B10">
        <w:tc>
          <w:tcPr>
            <w:tcW w:w="1023"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2018</w:t>
            </w:r>
          </w:p>
        </w:tc>
        <w:tc>
          <w:tcPr>
            <w:tcW w:w="1547"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1030</w:t>
            </w:r>
          </w:p>
        </w:tc>
        <w:tc>
          <w:tcPr>
            <w:tcW w:w="179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435</w:t>
            </w:r>
          </w:p>
        </w:tc>
        <w:tc>
          <w:tcPr>
            <w:tcW w:w="1382" w:type="dxa"/>
            <w:shd w:val="clear" w:color="auto" w:fill="auto"/>
          </w:tcPr>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2633</w:t>
            </w:r>
          </w:p>
        </w:tc>
      </w:tr>
    </w:tbl>
    <w:p w:rsidR="00AF0352" w:rsidRPr="00EF2265" w:rsidRDefault="00AF0352" w:rsidP="00E86605">
      <w:pPr>
        <w:pStyle w:val="Default"/>
        <w:rPr>
          <w:rFonts w:ascii="Times New Roman" w:hAnsi="Times New Roman" w:cs="Times New Roman"/>
          <w:color w:val="auto"/>
          <w:sz w:val="20"/>
          <w:szCs w:val="20"/>
          <w:lang w:val="sk-SK"/>
        </w:rPr>
      </w:pPr>
      <w:r w:rsidRPr="00EF2265">
        <w:rPr>
          <w:rFonts w:ascii="Times New Roman" w:hAnsi="Times New Roman" w:cs="Times New Roman"/>
          <w:color w:val="auto"/>
          <w:sz w:val="20"/>
          <w:szCs w:val="20"/>
          <w:lang w:val="sk-SK"/>
        </w:rPr>
        <w:t>(priemerný počet fyzických osôb za celý kalendárny rok, bez ohľadu na úväzok).</w:t>
      </w:r>
    </w:p>
    <w:p w:rsidR="00AF0352" w:rsidRPr="00EF2265" w:rsidRDefault="00AF0352" w:rsidP="00E86605">
      <w:pPr>
        <w:pStyle w:val="Default"/>
        <w:rPr>
          <w:rFonts w:ascii="Times New Roman" w:hAnsi="Times New Roman" w:cs="Times New Roman"/>
          <w:color w:val="auto"/>
          <w:sz w:val="20"/>
          <w:szCs w:val="20"/>
          <w:lang w:val="sk-SK"/>
        </w:rPr>
      </w:pPr>
    </w:p>
    <w:p w:rsidR="00AF0352" w:rsidRPr="00EF2265" w:rsidRDefault="00AF0352" w:rsidP="00E86605">
      <w:pPr>
        <w:autoSpaceDE w:val="0"/>
        <w:autoSpaceDN w:val="0"/>
        <w:adjustRightInd w:val="0"/>
        <w:jc w:val="left"/>
        <w:rPr>
          <w:rFonts w:ascii="Times New Roman" w:hAnsi="Times New Roman"/>
          <w:sz w:val="20"/>
          <w:szCs w:val="20"/>
        </w:rPr>
      </w:pPr>
      <w:r w:rsidRPr="00EF2265">
        <w:rPr>
          <w:rFonts w:ascii="Times New Roman" w:hAnsi="Times New Roman"/>
          <w:sz w:val="20"/>
          <w:szCs w:val="20"/>
        </w:rPr>
        <w:t xml:space="preserve">Podľa požiadavky ministerstva školstva je sledovaná kvalifikačná štruktúra vysokoškolských učiteľov a v tejto správe je uvádzaná </w:t>
      </w:r>
      <w:r w:rsidRPr="00EF2265">
        <w:rPr>
          <w:rFonts w:ascii="Times New Roman" w:hAnsi="Times New Roman"/>
          <w:b/>
          <w:sz w:val="20"/>
          <w:szCs w:val="20"/>
        </w:rPr>
        <w:t>ku dňu 31. 10.</w:t>
      </w:r>
      <w:r w:rsidRPr="00EF2265">
        <w:rPr>
          <w:rFonts w:ascii="Times New Roman" w:hAnsi="Times New Roman"/>
          <w:sz w:val="20"/>
          <w:szCs w:val="20"/>
        </w:rPr>
        <w:t xml:space="preserve"> príslušného roku. Prepočítaný (podľa typu úväzku) evidenčný počet učiteľov k 31.10.2018 na Slovenskej technickej univerzite v Bratislave dosiahol hodnotu 966,71 pričom najväčší podiel na celkovom počte – 46,1 %, predstavujú učitelia s vedeckou hodnosťou PhD., CSc. Najväčší počet učiteľov s touto vedeckou hodnosťou pôsobil na Stavebnej fakulte. Presný prehľad kvalifikačnej štruktúry učiteľov je v prílohe výročnej správy v Tabuľke č. 10/MŠVVaŠ SR. Tabuľka bola rozšírená o údaje o počte žien pôsobiacich na pracovných miestach vysokoškolských učiteľov. K 31.10.2018 bol prepočítaný evidenčný počet žien pôsobiacich na týchto pracovných miestach 336,27, čo predstavovalo 34,8% z celkového počtu vysokoškolských učiteľov. </w:t>
      </w:r>
    </w:p>
    <w:p w:rsidR="00AF0352" w:rsidRPr="00EF2265" w:rsidRDefault="00AF0352" w:rsidP="00E86605">
      <w:pPr>
        <w:pStyle w:val="Default"/>
        <w:rPr>
          <w:rFonts w:ascii="Times New Roman" w:hAnsi="Times New Roman" w:cs="Times New Roman"/>
          <w:color w:val="FF0000"/>
          <w:sz w:val="20"/>
          <w:szCs w:val="20"/>
          <w:lang w:val="sk-SK"/>
        </w:rPr>
      </w:pPr>
    </w:p>
    <w:p w:rsidR="00AF0352" w:rsidRPr="00EF2265" w:rsidRDefault="00AF0352" w:rsidP="00E86605">
      <w:pPr>
        <w:pStyle w:val="Default"/>
        <w:rPr>
          <w:rFonts w:ascii="Times New Roman" w:hAnsi="Times New Roman" w:cs="Times New Roman"/>
          <w:color w:val="FF0000"/>
          <w:sz w:val="20"/>
          <w:szCs w:val="20"/>
          <w:lang w:val="sk-SK"/>
        </w:rPr>
      </w:pPr>
    </w:p>
    <w:p w:rsidR="00AF0352" w:rsidRPr="00EF2265" w:rsidRDefault="00AF0352" w:rsidP="00E86605">
      <w:pPr>
        <w:autoSpaceDE w:val="0"/>
        <w:autoSpaceDN w:val="0"/>
        <w:adjustRightInd w:val="0"/>
        <w:jc w:val="left"/>
        <w:rPr>
          <w:rFonts w:ascii="Times New Roman" w:hAnsi="Times New Roman"/>
          <w:sz w:val="20"/>
          <w:szCs w:val="20"/>
        </w:rPr>
      </w:pPr>
    </w:p>
    <w:p w:rsidR="00AF0352" w:rsidRPr="00EF2265" w:rsidRDefault="00AF0352" w:rsidP="00E86605">
      <w:pPr>
        <w:jc w:val="left"/>
        <w:rPr>
          <w:rFonts w:ascii="Times New Roman" w:hAnsi="Times New Roman"/>
          <w:sz w:val="20"/>
          <w:szCs w:val="20"/>
        </w:rPr>
      </w:pPr>
      <w:r w:rsidRPr="00EF2265">
        <w:rPr>
          <w:rFonts w:ascii="Times New Roman" w:hAnsi="Times New Roman"/>
          <w:b/>
          <w:sz w:val="20"/>
          <w:szCs w:val="20"/>
        </w:rPr>
        <w:t>Na STU platila kolektívna zmluva, do ktorej vedenie univerzity s cieľom podporiť a motivovať mladých pedagógov presadilo zamestnanecké benefity zamerané práve na zamestnancov do 35 rokov veku.</w:t>
      </w:r>
      <w:r w:rsidRPr="00EF2265">
        <w:rPr>
          <w:rFonts w:ascii="Times New Roman" w:hAnsi="Times New Roman"/>
          <w:sz w:val="20"/>
          <w:szCs w:val="20"/>
        </w:rPr>
        <w:t xml:space="preserve"> </w:t>
      </w:r>
    </w:p>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Mladí zamestnanci do 35 rokov veku môžu získať  príspevok pri uzavretí manželstva, príspevok pri kúpe bytu.  Tieto príspevky sa vyplácajú zo sociálneho fondu. Ďalej je možné zo sociálneho fondu poskytnúť aj ďalšie príspevky ako napríklad príspevok pri narodení dieťaťa, príspevok v prípade sociálnej núdze, príspevok na rekreáciu zamestnancov a príspevok na detskú rekreáciu, príspevok pre bezplatných darcov krvi.</w:t>
      </w:r>
    </w:p>
    <w:p w:rsidR="00AF0352" w:rsidRPr="00EF2265" w:rsidRDefault="00AF0352" w:rsidP="00E86605">
      <w:pPr>
        <w:jc w:val="left"/>
        <w:rPr>
          <w:rFonts w:ascii="Times New Roman" w:hAnsi="Times New Roman"/>
          <w:sz w:val="20"/>
          <w:szCs w:val="20"/>
        </w:rPr>
      </w:pPr>
      <w:r w:rsidRPr="00EF2265">
        <w:rPr>
          <w:rFonts w:ascii="Times New Roman" w:hAnsi="Times New Roman"/>
          <w:sz w:val="20"/>
          <w:szCs w:val="20"/>
        </w:rPr>
        <w:t>Zamestnanci, ktorí sú rodičmi detí do 15 rokov majú nárok na jeden deň plateného voľna každé tri mesiace, pričom toto voľno si možno kumulovať a využiť ho počas školských prázdnin.</w:t>
      </w:r>
    </w:p>
    <w:p w:rsidR="00AF0352" w:rsidRPr="00EF2265" w:rsidRDefault="00AF0352" w:rsidP="00E86605">
      <w:pPr>
        <w:jc w:val="left"/>
        <w:rPr>
          <w:rFonts w:ascii="Times New Roman" w:hAnsi="Times New Roman"/>
          <w:color w:val="FF0000"/>
          <w:sz w:val="20"/>
          <w:szCs w:val="20"/>
        </w:rPr>
      </w:pPr>
      <w:r w:rsidRPr="00EF2265">
        <w:rPr>
          <w:rFonts w:ascii="Times New Roman" w:hAnsi="Times New Roman"/>
          <w:sz w:val="20"/>
          <w:szCs w:val="20"/>
        </w:rPr>
        <w:t xml:space="preserve">STU podľa kolektívnej zmluvy poskytuje aj finančný príspevok pri životnom jubileu, konkrétne v 50. roku veku, výška príspevku závisí od počtu rokov odpracovaných na Slovenskej technickej univerzite. </w:t>
      </w:r>
    </w:p>
    <w:p w:rsidR="00AF0352" w:rsidRPr="00EF2265" w:rsidRDefault="00AF0352" w:rsidP="00E86605">
      <w:pPr>
        <w:jc w:val="left"/>
        <w:rPr>
          <w:rFonts w:ascii="Times New Roman" w:hAnsi="Times New Roman"/>
          <w:sz w:val="20"/>
          <w:szCs w:val="20"/>
        </w:rPr>
      </w:pPr>
    </w:p>
    <w:p w:rsidR="00D84F47" w:rsidRPr="00EF2265" w:rsidRDefault="00D84F47" w:rsidP="00E86605">
      <w:pPr>
        <w:jc w:val="left"/>
        <w:rPr>
          <w:rFonts w:ascii="Times New Roman" w:hAnsi="Times New Roman"/>
          <w:bCs/>
          <w:sz w:val="20"/>
          <w:szCs w:val="20"/>
        </w:rPr>
      </w:pPr>
    </w:p>
    <w:p w:rsidR="00D84F47" w:rsidRPr="00EF2265" w:rsidRDefault="00D84F47" w:rsidP="00E86605">
      <w:pPr>
        <w:jc w:val="left"/>
        <w:rPr>
          <w:rFonts w:ascii="Times New Roman" w:hAnsi="Times New Roman"/>
          <w:bCs/>
          <w:sz w:val="20"/>
          <w:szCs w:val="20"/>
        </w:rPr>
      </w:pPr>
    </w:p>
    <w:p w:rsidR="002B574D" w:rsidRPr="001F573F" w:rsidRDefault="002B574D" w:rsidP="00E86605">
      <w:pPr>
        <w:pStyle w:val="Nadpis1"/>
        <w:numPr>
          <w:ilvl w:val="1"/>
          <w:numId w:val="24"/>
        </w:numPr>
        <w:tabs>
          <w:tab w:val="left" w:pos="9356"/>
        </w:tabs>
        <w:spacing w:after="120"/>
        <w:rPr>
          <w:rFonts w:ascii="Times New Roman" w:hAnsi="Times New Roman" w:cs="Times New Roman"/>
          <w:color w:val="auto"/>
          <w:shd w:val="clear" w:color="auto" w:fill="FFFFFF"/>
        </w:rPr>
      </w:pPr>
      <w:bookmarkStart w:id="214" w:name="_Toc534722895"/>
      <w:r w:rsidRPr="001F573F">
        <w:rPr>
          <w:rFonts w:ascii="Times New Roman" w:hAnsi="Times New Roman" w:cs="Times New Roman"/>
          <w:color w:val="auto"/>
          <w:shd w:val="clear" w:color="auto" w:fill="FFFFFF"/>
        </w:rPr>
        <w:t>Podpora študentov</w:t>
      </w:r>
      <w:bookmarkEnd w:id="214"/>
    </w:p>
    <w:p w:rsidR="002B574D" w:rsidRPr="00EF2265" w:rsidRDefault="002B574D" w:rsidP="00E86605">
      <w:pPr>
        <w:spacing w:after="120"/>
        <w:jc w:val="left"/>
        <w:rPr>
          <w:rFonts w:ascii="Times New Roman" w:hAnsi="Times New Roman"/>
          <w:sz w:val="20"/>
          <w:szCs w:val="20"/>
          <w:lang w:eastAsia="sk-SK"/>
        </w:rPr>
      </w:pPr>
      <w:r w:rsidRPr="00EF2265">
        <w:rPr>
          <w:rFonts w:ascii="Times New Roman" w:hAnsi="Times New Roman"/>
          <w:sz w:val="20"/>
          <w:szCs w:val="20"/>
          <w:lang w:eastAsia="sk-SK"/>
        </w:rPr>
        <w:t xml:space="preserve">STU poskytuje študentom podporu </w:t>
      </w:r>
      <w:r w:rsidRPr="00EF2265">
        <w:rPr>
          <w:rFonts w:ascii="Times New Roman" w:hAnsi="Times New Roman"/>
          <w:b/>
          <w:sz w:val="20"/>
          <w:szCs w:val="20"/>
          <w:lang w:eastAsia="sk-SK"/>
        </w:rPr>
        <w:t>v študijnej oblasti, vo výskumnej, vývojovej alebo umeleckej a ďalšej tvorivej oblasti a v sociálnej oblasti</w:t>
      </w:r>
      <w:r w:rsidRPr="00EF2265">
        <w:rPr>
          <w:rFonts w:ascii="Times New Roman" w:hAnsi="Times New Roman"/>
          <w:sz w:val="20"/>
          <w:szCs w:val="20"/>
          <w:lang w:eastAsia="sk-SK"/>
        </w:rPr>
        <w:t xml:space="preserve"> formou priamej a nepriamej podpory. </w:t>
      </w:r>
    </w:p>
    <w:p w:rsidR="002B574D" w:rsidRPr="00EF2265" w:rsidRDefault="002B574D" w:rsidP="00E86605">
      <w:pPr>
        <w:spacing w:after="120"/>
        <w:jc w:val="left"/>
        <w:rPr>
          <w:rFonts w:ascii="Times New Roman" w:hAnsi="Times New Roman"/>
          <w:sz w:val="20"/>
          <w:szCs w:val="20"/>
          <w:lang w:eastAsia="sk-SK"/>
        </w:rPr>
      </w:pPr>
      <w:r w:rsidRPr="00EF2265">
        <w:rPr>
          <w:rFonts w:ascii="Times New Roman" w:hAnsi="Times New Roman"/>
          <w:b/>
          <w:sz w:val="20"/>
          <w:szCs w:val="20"/>
          <w:lang w:eastAsia="sk-SK"/>
        </w:rPr>
        <w:t>V študijnej oblasti</w:t>
      </w:r>
      <w:r w:rsidRPr="00EF2265">
        <w:rPr>
          <w:rFonts w:ascii="Times New Roman" w:hAnsi="Times New Roman"/>
          <w:sz w:val="20"/>
          <w:szCs w:val="20"/>
          <w:lang w:eastAsia="sk-SK"/>
        </w:rPr>
        <w:t xml:space="preserve"> je to najmä poskytovanie informačných a poradenských služieb súvisiacich so štúdiom a s možnosťou uplatnenia v praxi prostredníctvom študijných poradcov, študijných oddelení a ďalších zamestnancov univerzity, poskytovanie konzultácií učiteľmi, podpora študentského koučingu, resp. študentských radcov (vzájomné podporovanie sa študentov hlavne formou doučovania), zabezpečovanie odborných praxí, stáží a tém záverečných prác v spolupráci s priemyselnými podnikmi.</w:t>
      </w:r>
    </w:p>
    <w:p w:rsidR="002B574D" w:rsidRPr="00EF2265" w:rsidRDefault="002B574D" w:rsidP="00E86605">
      <w:pPr>
        <w:spacing w:after="120"/>
        <w:jc w:val="left"/>
        <w:rPr>
          <w:rFonts w:ascii="Times New Roman" w:hAnsi="Times New Roman"/>
          <w:sz w:val="20"/>
          <w:szCs w:val="20"/>
          <w:lang w:eastAsia="sk-SK"/>
        </w:rPr>
      </w:pPr>
      <w:r w:rsidRPr="00EF2265">
        <w:rPr>
          <w:rFonts w:ascii="Times New Roman" w:hAnsi="Times New Roman"/>
          <w:b/>
          <w:sz w:val="20"/>
          <w:szCs w:val="20"/>
          <w:lang w:eastAsia="sk-SK"/>
        </w:rPr>
        <w:t>Vo výskumnej, vývojovej alebo umeleckej a ďalšej tvorivej oblasti</w:t>
      </w:r>
      <w:r w:rsidRPr="00EF2265">
        <w:rPr>
          <w:rFonts w:ascii="Times New Roman" w:hAnsi="Times New Roman"/>
          <w:sz w:val="20"/>
          <w:szCs w:val="20"/>
          <w:lang w:eastAsia="sk-SK"/>
        </w:rPr>
        <w:t xml:space="preserve"> sa podpora študentov uskutočňuje najmä zapájaním študentov spravidla druhého a tretieho stupňa štúdia do riešenia výskumných úloh a projektov, vytváraním podmienok pre Študentskú vedeckú odborná činnosť, resp. Študentskú tvorivú vedeckú odbornú a umeleckú činnosť, organizovaním študentských vedeckých konferencií a oceňovaním prác prezentovaných na týchto konferenciách.</w:t>
      </w:r>
    </w:p>
    <w:p w:rsidR="002B574D" w:rsidRPr="00EF2265" w:rsidRDefault="002B574D" w:rsidP="00E86605">
      <w:pPr>
        <w:spacing w:after="120"/>
        <w:jc w:val="left"/>
        <w:rPr>
          <w:rFonts w:ascii="Times New Roman" w:hAnsi="Times New Roman"/>
          <w:sz w:val="20"/>
          <w:szCs w:val="20"/>
          <w:lang w:eastAsia="sk-SK"/>
        </w:rPr>
      </w:pPr>
      <w:r w:rsidRPr="00EF2265">
        <w:rPr>
          <w:rFonts w:ascii="Times New Roman" w:hAnsi="Times New Roman"/>
          <w:b/>
          <w:sz w:val="20"/>
          <w:szCs w:val="20"/>
          <w:lang w:eastAsia="sk-SK"/>
        </w:rPr>
        <w:t>V sociálnej oblasti</w:t>
      </w:r>
      <w:r w:rsidRPr="00EF2265">
        <w:rPr>
          <w:rFonts w:ascii="Times New Roman" w:hAnsi="Times New Roman"/>
          <w:sz w:val="20"/>
          <w:szCs w:val="20"/>
          <w:lang w:eastAsia="sk-SK"/>
        </w:rPr>
        <w:t xml:space="preserve"> sa podpora študentov realizuje priamou a nepriamou formou. Priamou formou sociálnej podpory je poskytovanie štipendií (sociálnych, motivačných a mimoriadnych z vlastných zdrojov STU). Nepriamou formou sociálnej podpory je najmä poskytovanie služieb, ktorými sú stravovanie a ubytovanie, finančná podpora a organizačná podpora športových činností, kultúrnych činností a iných záujmových činností študentov, podpora činnosti študentských organizácií pôsobiacich na STU a ich projektov pre študentov STU, podpora študentov so špecifickými potrebami prostredníctvom Poradenského centra STU a koordinátorov pre študentov so špecifickými potrebami pôsobiacich na fakultách a univerzitnej koordinátorky.</w:t>
      </w:r>
    </w:p>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V ďalších častiach správy bude podrobnejšie pojednávané o jednotlivých formách podpory študentov.</w:t>
      </w:r>
    </w:p>
    <w:p w:rsidR="002B574D" w:rsidRPr="00EF2265" w:rsidRDefault="002B574D" w:rsidP="00E86605">
      <w:pPr>
        <w:jc w:val="left"/>
        <w:rPr>
          <w:rFonts w:ascii="Times New Roman" w:hAnsi="Times New Roman"/>
          <w:sz w:val="20"/>
          <w:szCs w:val="20"/>
          <w:lang w:eastAsia="sk-SK"/>
        </w:rPr>
      </w:pPr>
    </w:p>
    <w:p w:rsidR="002B574D" w:rsidRPr="00EF2265" w:rsidRDefault="002B574D" w:rsidP="00E86605">
      <w:pPr>
        <w:pStyle w:val="Nadpis2"/>
        <w:numPr>
          <w:ilvl w:val="1"/>
          <w:numId w:val="51"/>
        </w:numPr>
        <w:tabs>
          <w:tab w:val="left" w:pos="9356"/>
        </w:tabs>
        <w:rPr>
          <w:rFonts w:ascii="Times New Roman" w:hAnsi="Times New Roman" w:cs="Times New Roman"/>
          <w:color w:val="auto"/>
          <w:sz w:val="20"/>
          <w:szCs w:val="20"/>
          <w:shd w:val="clear" w:color="auto" w:fill="FFFFFF"/>
        </w:rPr>
      </w:pPr>
      <w:bookmarkStart w:id="215" w:name="_Toc534722896"/>
      <w:r w:rsidRPr="00EF2265">
        <w:rPr>
          <w:rFonts w:ascii="Times New Roman" w:hAnsi="Times New Roman" w:cs="Times New Roman"/>
          <w:color w:val="auto"/>
          <w:sz w:val="20"/>
          <w:szCs w:val="20"/>
          <w:shd w:val="clear" w:color="auto" w:fill="FFFFFF"/>
        </w:rPr>
        <w:t>Sociálne štipendiá</w:t>
      </w:r>
      <w:bookmarkEnd w:id="215"/>
    </w:p>
    <w:p w:rsidR="002B574D" w:rsidRPr="00EF2265" w:rsidRDefault="002B574D" w:rsidP="00E86605">
      <w:pPr>
        <w:tabs>
          <w:tab w:val="left" w:pos="9356"/>
        </w:tabs>
        <w:jc w:val="left"/>
        <w:rPr>
          <w:rFonts w:ascii="Times New Roman" w:hAnsi="Times New Roman"/>
          <w:sz w:val="20"/>
          <w:szCs w:val="20"/>
          <w:lang w:eastAsia="sk-SK"/>
        </w:rPr>
      </w:pPr>
      <w:r w:rsidRPr="00EF2265">
        <w:rPr>
          <w:rFonts w:ascii="Times New Roman" w:hAnsi="Times New Roman"/>
          <w:sz w:val="20"/>
          <w:szCs w:val="20"/>
          <w:lang w:eastAsia="sk-SK"/>
        </w:rPr>
        <w:t xml:space="preserve">Sociálne štipendium prispieva na úhradu nákladov spojených so štúdiom. Na základe splnenia ustanovených podmienok STU </w:t>
      </w:r>
      <w:r w:rsidRPr="00EF2265">
        <w:rPr>
          <w:rFonts w:ascii="Times New Roman" w:hAnsi="Times New Roman"/>
          <w:bCs/>
          <w:sz w:val="20"/>
          <w:szCs w:val="20"/>
          <w:lang w:eastAsia="sk-SK"/>
        </w:rPr>
        <w:t xml:space="preserve">priznávala študentom študijných programov </w:t>
      </w:r>
      <w:r w:rsidRPr="00EF2265">
        <w:rPr>
          <w:rFonts w:ascii="Times New Roman" w:hAnsi="Times New Roman"/>
          <w:sz w:val="20"/>
          <w:szCs w:val="20"/>
        </w:rPr>
        <w:t>prvého a druhého stupňa v dennej forme štúdia</w:t>
      </w:r>
      <w:r w:rsidRPr="00EF2265">
        <w:rPr>
          <w:rFonts w:ascii="Times New Roman" w:hAnsi="Times New Roman"/>
          <w:sz w:val="20"/>
          <w:szCs w:val="20"/>
          <w:lang w:eastAsia="sk-SK"/>
        </w:rPr>
        <w:t xml:space="preserve">, ktorí majú trvalý pobyt v Slovenskej republike, sociálne štipendium z prostriedkov štátneho rozpočtu. Podrobnosti súvisiace s nárokom na priznanie sociálneho štipendia </w:t>
      </w:r>
      <w:r w:rsidRPr="00EF2265">
        <w:rPr>
          <w:rFonts w:ascii="Times New Roman" w:hAnsi="Times New Roman"/>
          <w:sz w:val="20"/>
          <w:szCs w:val="20"/>
        </w:rPr>
        <w:t xml:space="preserve">sú upravené Vyhláškou MŠ SR č. 102/2006 Z. z. o priznávaní sociálneho štipendia študentom vysokých škôl, ktorá bola naposledy novelizovaná vyhláškou č. 157/2014 s účinnosťou od 1. 9. 2014. Administratívne spracovanie agendy týkajúcej sa priznávania a poskytovania sociálnych štipendií sa uskutočňuje prostredníctvom študijných oddelení jednotlivých súčastí </w:t>
      </w:r>
      <w:r w:rsidRPr="00EF2265">
        <w:rPr>
          <w:rFonts w:ascii="Times New Roman" w:hAnsi="Times New Roman"/>
          <w:sz w:val="20"/>
          <w:szCs w:val="20"/>
        </w:rPr>
        <w:lastRenderedPageBreak/>
        <w:t xml:space="preserve">univerzity. V akademickom roku 2017/2018 boli študentom STU poskytnuté sociálne štipendiá v celkovej výške </w:t>
      </w:r>
      <w:r w:rsidRPr="00EF2265">
        <w:rPr>
          <w:rFonts w:ascii="Times New Roman" w:hAnsi="Times New Roman"/>
          <w:b/>
          <w:sz w:val="20"/>
          <w:szCs w:val="20"/>
        </w:rPr>
        <w:t xml:space="preserve">851 380 €, </w:t>
      </w:r>
      <w:r w:rsidRPr="00EF2265">
        <w:rPr>
          <w:rFonts w:ascii="Times New Roman" w:hAnsi="Times New Roman"/>
          <w:sz w:val="20"/>
          <w:szCs w:val="20"/>
        </w:rPr>
        <w:t xml:space="preserve">čo predstavuje </w:t>
      </w:r>
      <w:r w:rsidRPr="00EF2265">
        <w:rPr>
          <w:rFonts w:ascii="Times New Roman" w:hAnsi="Times New Roman"/>
          <w:b/>
          <w:sz w:val="20"/>
          <w:szCs w:val="20"/>
        </w:rPr>
        <w:t>pokles</w:t>
      </w:r>
      <w:r w:rsidRPr="00EF2265">
        <w:rPr>
          <w:rFonts w:ascii="Times New Roman" w:hAnsi="Times New Roman"/>
          <w:sz w:val="20"/>
          <w:szCs w:val="20"/>
        </w:rPr>
        <w:t xml:space="preserve"> oproti akademickému roku 2016/2017 </w:t>
      </w:r>
      <w:r w:rsidRPr="00EF2265">
        <w:rPr>
          <w:rFonts w:ascii="Times New Roman" w:hAnsi="Times New Roman"/>
          <w:b/>
          <w:sz w:val="20"/>
          <w:szCs w:val="20"/>
        </w:rPr>
        <w:t>o 339 035 €</w:t>
      </w:r>
      <w:r w:rsidRPr="00EF2265">
        <w:rPr>
          <w:rFonts w:ascii="Times New Roman" w:hAnsi="Times New Roman"/>
          <w:sz w:val="20"/>
          <w:szCs w:val="20"/>
        </w:rPr>
        <w:t>.</w:t>
      </w:r>
    </w:p>
    <w:p w:rsidR="002B574D" w:rsidRPr="00EF2265" w:rsidRDefault="002B574D" w:rsidP="00E86605">
      <w:pPr>
        <w:tabs>
          <w:tab w:val="left" w:pos="9356"/>
        </w:tabs>
        <w:jc w:val="left"/>
        <w:rPr>
          <w:rFonts w:ascii="Times New Roman" w:hAnsi="Times New Roman"/>
          <w:sz w:val="20"/>
          <w:szCs w:val="20"/>
        </w:rPr>
      </w:pP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_Ref474778345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shd w:val="clear" w:color="auto" w:fill="FFFFFF"/>
        </w:rPr>
        <w:t xml:space="preserve">Tab. č. </w:t>
      </w:r>
      <w:r w:rsidR="001C349F">
        <w:rPr>
          <w:rFonts w:ascii="Times New Roman" w:hAnsi="Times New Roman"/>
          <w:sz w:val="20"/>
          <w:szCs w:val="20"/>
        </w:rPr>
        <w:t>41</w:t>
      </w:r>
      <w:r w:rsidRPr="00EF2265">
        <w:rPr>
          <w:rFonts w:ascii="Times New Roman" w:hAnsi="Times New Roman"/>
          <w:sz w:val="20"/>
          <w:szCs w:val="20"/>
        </w:rPr>
        <w:fldChar w:fldCharType="end"/>
      </w:r>
      <w:r w:rsidRPr="00EF2265">
        <w:rPr>
          <w:rFonts w:ascii="Times New Roman" w:hAnsi="Times New Roman"/>
          <w:sz w:val="20"/>
          <w:szCs w:val="20"/>
        </w:rPr>
        <w:t xml:space="preserve"> uvádza počet študentov STU, ktorým bolo priznané sociálne štipendium za posledných päť akademických rokov. </w:t>
      </w:r>
    </w:p>
    <w:p w:rsidR="002B574D" w:rsidRPr="00EF2265" w:rsidRDefault="002B574D" w:rsidP="00E86605">
      <w:pPr>
        <w:tabs>
          <w:tab w:val="left" w:pos="9356"/>
        </w:tabs>
        <w:ind w:right="284"/>
        <w:jc w:val="left"/>
        <w:rPr>
          <w:rFonts w:ascii="Times New Roman" w:hAnsi="Times New Roman"/>
          <w:sz w:val="20"/>
          <w:szCs w:val="20"/>
        </w:rPr>
      </w:pPr>
    </w:p>
    <w:p w:rsidR="002B574D" w:rsidRPr="00EF2265" w:rsidRDefault="002B574D" w:rsidP="00E86605">
      <w:pPr>
        <w:tabs>
          <w:tab w:val="left" w:pos="9356"/>
        </w:tabs>
        <w:ind w:left="708" w:hanging="708"/>
        <w:jc w:val="left"/>
        <w:rPr>
          <w:rFonts w:ascii="Times New Roman" w:hAnsi="Times New Roman"/>
          <w:sz w:val="20"/>
          <w:szCs w:val="20"/>
          <w:shd w:val="clear" w:color="auto" w:fill="FFFFFF"/>
        </w:rPr>
      </w:pPr>
      <w:bookmarkStart w:id="216" w:name="_Ref474778345"/>
      <w:bookmarkStart w:id="217" w:name="_Toc534793980"/>
      <w:r w:rsidRPr="00EF2265">
        <w:rPr>
          <w:rFonts w:ascii="Times New Roman" w:hAnsi="Times New Roman"/>
          <w:sz w:val="20"/>
          <w:szCs w:val="20"/>
          <w:shd w:val="clear" w:color="auto" w:fill="FFFFFF"/>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41</w:t>
      </w:r>
      <w:r w:rsidRPr="00EF2265">
        <w:rPr>
          <w:rFonts w:ascii="Times New Roman" w:hAnsi="Times New Roman"/>
          <w:sz w:val="20"/>
          <w:szCs w:val="20"/>
        </w:rPr>
        <w:fldChar w:fldCharType="end"/>
      </w:r>
      <w:bookmarkEnd w:id="216"/>
      <w:r w:rsidRPr="00EF2265">
        <w:rPr>
          <w:rFonts w:ascii="Times New Roman" w:hAnsi="Times New Roman"/>
          <w:sz w:val="20"/>
          <w:szCs w:val="20"/>
          <w:shd w:val="clear" w:color="auto" w:fill="FFFFFF"/>
        </w:rPr>
        <w:t>: Počet študentov poberajúci sociálne štipendiá za posledných päť akademických rokov</w:t>
      </w:r>
      <w:bookmarkEnd w:id="217"/>
      <w:r w:rsidRPr="00EF2265">
        <w:rPr>
          <w:rFonts w:ascii="Times New Roman" w:hAnsi="Times New Roman"/>
          <w:sz w:val="20"/>
          <w:szCs w:val="20"/>
          <w:shd w:val="clear" w:color="auto" w:fill="FFFFFF"/>
        </w:rPr>
        <w:t xml:space="preserve"> </w:t>
      </w:r>
    </w:p>
    <w:tbl>
      <w:tblPr>
        <w:tblW w:w="8507" w:type="dxa"/>
        <w:tblInd w:w="55" w:type="dxa"/>
        <w:tblCellMar>
          <w:left w:w="70" w:type="dxa"/>
          <w:right w:w="70" w:type="dxa"/>
        </w:tblCellMar>
        <w:tblLook w:val="04A0" w:firstRow="1" w:lastRow="0" w:firstColumn="1" w:lastColumn="0" w:noHBand="0" w:noVBand="1"/>
      </w:tblPr>
      <w:tblGrid>
        <w:gridCol w:w="1127"/>
        <w:gridCol w:w="820"/>
        <w:gridCol w:w="820"/>
        <w:gridCol w:w="820"/>
        <w:gridCol w:w="820"/>
        <w:gridCol w:w="820"/>
        <w:gridCol w:w="820"/>
        <w:gridCol w:w="820"/>
        <w:gridCol w:w="820"/>
        <w:gridCol w:w="820"/>
      </w:tblGrid>
      <w:tr w:rsidR="002B574D" w:rsidRPr="00EF2265" w:rsidTr="00B15B10">
        <w:trPr>
          <w:trHeight w:val="255"/>
        </w:trPr>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820" w:type="dxa"/>
            <w:tcBorders>
              <w:top w:val="single" w:sz="4" w:space="0" w:color="auto"/>
              <w:left w:val="nil"/>
              <w:bottom w:val="single" w:sz="4" w:space="0" w:color="auto"/>
              <w:right w:val="single" w:sz="4" w:space="0" w:color="auto"/>
            </w:tcBorders>
            <w:shd w:val="clear" w:color="auto" w:fill="EEECE1" w:themeFill="background2"/>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r>
      <w:tr w:rsidR="002B574D" w:rsidRPr="00EF2265" w:rsidTr="00B15B10">
        <w:trPr>
          <w:trHeight w:val="255"/>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2013/2014</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383</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90</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180</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229</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100</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148</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96</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1 236</w:t>
            </w:r>
          </w:p>
        </w:tc>
      </w:tr>
      <w:tr w:rsidR="002B574D" w:rsidRPr="00EF2265" w:rsidTr="00B15B10">
        <w:trPr>
          <w:trHeight w:val="255"/>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2014/2015</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343</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68</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165</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222</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101</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137</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106</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1 154</w:t>
            </w:r>
          </w:p>
        </w:tc>
      </w:tr>
      <w:tr w:rsidR="002B574D" w:rsidRPr="00EF2265" w:rsidTr="00B15B10">
        <w:trPr>
          <w:trHeight w:val="255"/>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2015/2016</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296</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53</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179</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232</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107</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108</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111</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1 098</w:t>
            </w:r>
          </w:p>
        </w:tc>
      </w:tr>
      <w:tr w:rsidR="002B574D" w:rsidRPr="00EF2265" w:rsidTr="00B15B10">
        <w:trPr>
          <w:trHeight w:val="255"/>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2016/2017</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216</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43</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140</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154</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78</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72</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69</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13</w:t>
            </w:r>
          </w:p>
        </w:tc>
        <w:tc>
          <w:tcPr>
            <w:tcW w:w="820" w:type="dxa"/>
            <w:tcBorders>
              <w:top w:val="nil"/>
              <w:left w:val="nil"/>
              <w:bottom w:val="single" w:sz="4"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785</w:t>
            </w:r>
          </w:p>
        </w:tc>
      </w:tr>
      <w:tr w:rsidR="002B574D" w:rsidRPr="00EF2265" w:rsidTr="00B15B10">
        <w:trPr>
          <w:trHeight w:val="255"/>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2017/2018</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157</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35</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98</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92</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73</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51</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48</w:t>
            </w:r>
          </w:p>
        </w:tc>
        <w:tc>
          <w:tcPr>
            <w:tcW w:w="82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w:t>
            </w:r>
          </w:p>
        </w:tc>
        <w:tc>
          <w:tcPr>
            <w:tcW w:w="820" w:type="dxa"/>
            <w:tcBorders>
              <w:top w:val="nil"/>
              <w:left w:val="nil"/>
              <w:bottom w:val="single" w:sz="4"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563</w:t>
            </w:r>
          </w:p>
        </w:tc>
      </w:tr>
    </w:tbl>
    <w:p w:rsidR="00D948D7" w:rsidRDefault="00D948D7" w:rsidP="00D948D7">
      <w:pPr>
        <w:pStyle w:val="Nadpis2"/>
        <w:numPr>
          <w:ilvl w:val="0"/>
          <w:numId w:val="0"/>
        </w:numPr>
        <w:tabs>
          <w:tab w:val="left" w:pos="9356"/>
        </w:tabs>
        <w:ind w:left="1800"/>
        <w:rPr>
          <w:rFonts w:ascii="Times New Roman" w:hAnsi="Times New Roman" w:cs="Times New Roman"/>
          <w:color w:val="auto"/>
          <w:sz w:val="20"/>
          <w:szCs w:val="20"/>
          <w:shd w:val="clear" w:color="auto" w:fill="FFFFFF"/>
        </w:rPr>
      </w:pPr>
      <w:bookmarkStart w:id="218" w:name="_Toc534722897"/>
    </w:p>
    <w:p w:rsidR="002B574D" w:rsidRPr="00EF2265" w:rsidRDefault="002B574D" w:rsidP="00D948D7">
      <w:pPr>
        <w:pStyle w:val="Nadpis2"/>
        <w:numPr>
          <w:ilvl w:val="1"/>
          <w:numId w:val="51"/>
        </w:numPr>
        <w:tabs>
          <w:tab w:val="left" w:pos="9356"/>
        </w:tabs>
        <w:rPr>
          <w:rFonts w:ascii="Times New Roman" w:hAnsi="Times New Roman" w:cs="Times New Roman"/>
          <w:color w:val="auto"/>
          <w:sz w:val="20"/>
          <w:szCs w:val="20"/>
          <w:shd w:val="clear" w:color="auto" w:fill="FFFFFF"/>
        </w:rPr>
      </w:pPr>
      <w:r w:rsidRPr="00EF2265">
        <w:rPr>
          <w:rFonts w:ascii="Times New Roman" w:hAnsi="Times New Roman" w:cs="Times New Roman"/>
          <w:color w:val="auto"/>
          <w:sz w:val="20"/>
          <w:szCs w:val="20"/>
          <w:shd w:val="clear" w:color="auto" w:fill="FFFFFF"/>
        </w:rPr>
        <w:t>Motivačné štipendiá a štipendiá z vlastných zdrojov STU</w:t>
      </w:r>
      <w:bookmarkEnd w:id="218"/>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Ocenenie aktivít študentov za vynikajúce plnenie študijných povinností, vynikajúce výsledky dosiahnuté v oblasti štúdia, výskumu, vývoja umeleckej alebo športovej činnosti sa realizovalo prostredníctvom motivačných štipendií z prostriedkov štátneho rozpočtu. Kategória motivačných štipendií sa podľa zákona delí na motivačné štipendiá v študijných odboroch určovaných v metodike (ďalej tiež „motivačné štipendiá odborové“) a motivačné štipendiá za vynikajúce plnenie študijných povinností, dosiahnutie vynikajúceho výsledku v oblasti štúdia, výskumu, vývoja, umeleckej alebo športovej činnosti. Pravidlá a postup priznávania štipendií študentom STU je ustanovený v Štipendijnom poriadku STU v platnom znení.</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akademickom roku 2017/2018 boli priznávané </w:t>
      </w:r>
      <w:r w:rsidRPr="00EF2265">
        <w:rPr>
          <w:rFonts w:ascii="Times New Roman" w:hAnsi="Times New Roman"/>
          <w:b/>
          <w:i/>
          <w:sz w:val="20"/>
          <w:szCs w:val="20"/>
        </w:rPr>
        <w:t>motivačné štipendiá odborové</w:t>
      </w:r>
      <w:r w:rsidRPr="00EF2265">
        <w:rPr>
          <w:rFonts w:ascii="Times New Roman" w:hAnsi="Times New Roman"/>
          <w:sz w:val="20"/>
          <w:szCs w:val="20"/>
        </w:rPr>
        <w:t xml:space="preserve"> študentom STU študujúcim študijné odbory určené v metodike rozpisu dotácie zo štátneho rozpočtu so zohľadnením študijných výsledkov z predchádzajúceho štúdia, v prípade študentov študijných programov prvého stupňa v prvom roku štúdia sa zohľadnili študijné výsledky z posledného roku štúdia na strednej škole, pričom fakulty si mohli stanoviť vo svojich štipendijných poriadkoch ďalšie skutočnosti rozhodujúce pre posúdenie nároku na priznanie motivačného štipendia odborového (článok 4 Štipendijného poriadku STU v platnom znení).</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Základná výška motivačného štipendia odborového v akademickom roku 2017/2018 predstavovala sumu</w:t>
      </w:r>
      <w:r w:rsidRPr="00EF2265">
        <w:rPr>
          <w:rFonts w:ascii="Times New Roman" w:hAnsi="Times New Roman"/>
          <w:b/>
          <w:sz w:val="20"/>
          <w:szCs w:val="20"/>
        </w:rPr>
        <w:t xml:space="preserve"> 320 €.</w:t>
      </w:r>
      <w:r w:rsidRPr="00EF2265">
        <w:rPr>
          <w:rFonts w:ascii="Times New Roman" w:hAnsi="Times New Roman"/>
          <w:sz w:val="20"/>
          <w:szCs w:val="20"/>
        </w:rPr>
        <w:t xml:space="preserve"> Jednému študentovi mohlo byť priznané štipendium najviac do výšky trojnásobku základnej výšky, čo predstavovalo sumu </w:t>
      </w:r>
      <w:r w:rsidRPr="00EF2265">
        <w:rPr>
          <w:rFonts w:ascii="Times New Roman" w:hAnsi="Times New Roman"/>
          <w:b/>
          <w:sz w:val="20"/>
          <w:szCs w:val="20"/>
        </w:rPr>
        <w:t>najviac 960 €</w:t>
      </w:r>
      <w:r w:rsidRPr="00EF2265">
        <w:rPr>
          <w:rFonts w:ascii="Times New Roman" w:hAnsi="Times New Roman"/>
          <w:sz w:val="20"/>
          <w:szCs w:val="20"/>
        </w:rPr>
        <w:t xml:space="preserve">. V hodnotenom akademickom roku boli priznané a poskytnuté motivačné štipendiá odborové v celkovej výške </w:t>
      </w:r>
      <w:r w:rsidRPr="00EF2265">
        <w:rPr>
          <w:rFonts w:ascii="Times New Roman" w:hAnsi="Times New Roman"/>
          <w:b/>
          <w:sz w:val="20"/>
          <w:szCs w:val="20"/>
        </w:rPr>
        <w:t>1 306 012 €</w:t>
      </w:r>
      <w:r w:rsidRPr="00EF2265">
        <w:rPr>
          <w:rFonts w:ascii="Times New Roman" w:hAnsi="Times New Roman"/>
          <w:sz w:val="20"/>
          <w:szCs w:val="20"/>
        </w:rPr>
        <w:t xml:space="preserve"> spolu </w:t>
      </w:r>
      <w:r w:rsidRPr="00EF2265">
        <w:rPr>
          <w:rFonts w:ascii="Times New Roman" w:hAnsi="Times New Roman"/>
          <w:b/>
          <w:sz w:val="20"/>
          <w:szCs w:val="20"/>
        </w:rPr>
        <w:t>3 173</w:t>
      </w:r>
      <w:r w:rsidRPr="00EF2265">
        <w:rPr>
          <w:rFonts w:ascii="Times New Roman" w:hAnsi="Times New Roman"/>
          <w:sz w:val="20"/>
          <w:szCs w:val="20"/>
        </w:rPr>
        <w:t xml:space="preserve"> študentom STU študujúcim študijné programy v </w:t>
      </w:r>
      <w:r w:rsidRPr="00EF2265">
        <w:rPr>
          <w:rFonts w:ascii="Times New Roman" w:hAnsi="Times New Roman"/>
          <w:b/>
          <w:sz w:val="20"/>
          <w:szCs w:val="20"/>
        </w:rPr>
        <w:t xml:space="preserve">31 študijných odboroch </w:t>
      </w:r>
      <w:r w:rsidRPr="00EF2265">
        <w:rPr>
          <w:rFonts w:ascii="Times New Roman" w:hAnsi="Times New Roman"/>
          <w:sz w:val="20"/>
          <w:szCs w:val="20"/>
        </w:rPr>
        <w:t xml:space="preserve">na všetkých súčastiach STU s výnimkou FA a ÚM. Oproti akademickému roku 2016/2017 poskytla STU o 581 motivačných štipendií odborových menej v celkovej výške nižšej o 96 463 €. </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Prehľad priznaných motivačných štipendií odborových na jednotlivých súčastiach STU je uvedený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_Ref474778375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42</w:t>
      </w:r>
      <w:r w:rsidRPr="00EF2265">
        <w:rPr>
          <w:rFonts w:ascii="Times New Roman" w:hAnsi="Times New Roman"/>
          <w:sz w:val="20"/>
          <w:szCs w:val="20"/>
        </w:rPr>
        <w:fldChar w:fldCharType="end"/>
      </w:r>
      <w:r w:rsidRPr="00EF2265">
        <w:rPr>
          <w:rFonts w:ascii="Times New Roman" w:hAnsi="Times New Roman"/>
          <w:sz w:val="20"/>
          <w:szCs w:val="20"/>
        </w:rPr>
        <w:t>.</w:t>
      </w:r>
    </w:p>
    <w:p w:rsidR="002B574D" w:rsidRPr="00EF2265" w:rsidRDefault="002B574D" w:rsidP="00E86605">
      <w:pPr>
        <w:tabs>
          <w:tab w:val="left" w:pos="9356"/>
        </w:tabs>
        <w:jc w:val="left"/>
        <w:rPr>
          <w:rFonts w:ascii="Times New Roman" w:hAnsi="Times New Roman"/>
          <w:sz w:val="20"/>
          <w:szCs w:val="20"/>
        </w:rPr>
      </w:pPr>
    </w:p>
    <w:p w:rsidR="002B574D" w:rsidRPr="00EF2265" w:rsidRDefault="002B574D" w:rsidP="00E86605">
      <w:pPr>
        <w:tabs>
          <w:tab w:val="left" w:pos="9356"/>
        </w:tabs>
        <w:ind w:right="284"/>
        <w:jc w:val="left"/>
        <w:rPr>
          <w:rFonts w:ascii="Times New Roman" w:hAnsi="Times New Roman"/>
          <w:sz w:val="20"/>
          <w:szCs w:val="20"/>
        </w:rPr>
      </w:pPr>
      <w:bookmarkStart w:id="219" w:name="_Ref474778375"/>
      <w:bookmarkStart w:id="220" w:name="_Toc534793981"/>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42</w:t>
      </w:r>
      <w:r w:rsidRPr="00EF2265">
        <w:rPr>
          <w:rFonts w:ascii="Times New Roman" w:hAnsi="Times New Roman"/>
          <w:sz w:val="20"/>
          <w:szCs w:val="20"/>
        </w:rPr>
        <w:fldChar w:fldCharType="end"/>
      </w:r>
      <w:bookmarkEnd w:id="219"/>
      <w:r w:rsidRPr="00EF2265">
        <w:rPr>
          <w:rFonts w:ascii="Times New Roman" w:hAnsi="Times New Roman"/>
          <w:sz w:val="20"/>
          <w:szCs w:val="20"/>
        </w:rPr>
        <w:t>: Motivačné štipendiá odborové poskytnuté študentom STU v akademickom roku 2017/2018</w:t>
      </w:r>
      <w:bookmarkEnd w:id="220"/>
    </w:p>
    <w:tbl>
      <w:tblPr>
        <w:tblW w:w="6177" w:type="dxa"/>
        <w:tblInd w:w="55" w:type="dxa"/>
        <w:tblCellMar>
          <w:left w:w="70" w:type="dxa"/>
          <w:right w:w="70" w:type="dxa"/>
        </w:tblCellMar>
        <w:tblLook w:val="04A0" w:firstRow="1" w:lastRow="0" w:firstColumn="1" w:lastColumn="0" w:noHBand="0" w:noVBand="1"/>
      </w:tblPr>
      <w:tblGrid>
        <w:gridCol w:w="960"/>
        <w:gridCol w:w="2608"/>
        <w:gridCol w:w="2609"/>
      </w:tblGrid>
      <w:tr w:rsidR="002B574D" w:rsidRPr="00EF2265" w:rsidTr="00B15B10">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 xml:space="preserve">Fakulta </w:t>
            </w:r>
          </w:p>
        </w:tc>
        <w:tc>
          <w:tcPr>
            <w:tcW w:w="2608" w:type="dxa"/>
            <w:tcBorders>
              <w:top w:val="single" w:sz="4" w:space="0" w:color="auto"/>
              <w:left w:val="nil"/>
              <w:bottom w:val="single" w:sz="4" w:space="0" w:color="auto"/>
              <w:right w:val="single" w:sz="4" w:space="0" w:color="auto"/>
            </w:tcBorders>
            <w:vAlign w:val="center"/>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Celková suma poskytnutých štipendií v €</w:t>
            </w:r>
          </w:p>
        </w:tc>
        <w:tc>
          <w:tcPr>
            <w:tcW w:w="2609" w:type="dxa"/>
            <w:tcBorders>
              <w:top w:val="single" w:sz="4" w:space="0" w:color="auto"/>
              <w:left w:val="single" w:sz="4" w:space="0" w:color="auto"/>
              <w:bottom w:val="single" w:sz="4" w:space="0" w:color="auto"/>
              <w:right w:val="single" w:sz="4" w:space="0" w:color="auto"/>
            </w:tcBorders>
            <w:vAlign w:val="center"/>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študentov</w:t>
            </w:r>
          </w:p>
        </w:tc>
      </w:tr>
      <w:tr w:rsidR="002B574D" w:rsidRPr="00EF2265" w:rsidTr="00B15B1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26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117 211</w:t>
            </w:r>
          </w:p>
        </w:tc>
        <w:tc>
          <w:tcPr>
            <w:tcW w:w="2609" w:type="dxa"/>
            <w:tcBorders>
              <w:top w:val="single" w:sz="4" w:space="0" w:color="auto"/>
              <w:left w:val="single" w:sz="4" w:space="0" w:color="auto"/>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366</w:t>
            </w:r>
          </w:p>
        </w:tc>
      </w:tr>
      <w:tr w:rsidR="002B574D" w:rsidRPr="00EF2265" w:rsidTr="00B15B1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26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142 587</w:t>
            </w:r>
          </w:p>
        </w:tc>
        <w:tc>
          <w:tcPr>
            <w:tcW w:w="2609" w:type="dxa"/>
            <w:tcBorders>
              <w:top w:val="single" w:sz="4" w:space="0" w:color="auto"/>
              <w:left w:val="single" w:sz="4" w:space="0" w:color="auto"/>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339</w:t>
            </w:r>
          </w:p>
        </w:tc>
      </w:tr>
      <w:tr w:rsidR="002B574D" w:rsidRPr="00EF2265" w:rsidTr="00B15B1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26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350 207</w:t>
            </w:r>
          </w:p>
        </w:tc>
        <w:tc>
          <w:tcPr>
            <w:tcW w:w="2609" w:type="dxa"/>
            <w:tcBorders>
              <w:top w:val="single" w:sz="4" w:space="0" w:color="auto"/>
              <w:left w:val="single" w:sz="4" w:space="0" w:color="auto"/>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708</w:t>
            </w:r>
          </w:p>
        </w:tc>
      </w:tr>
      <w:tr w:rsidR="002B574D" w:rsidRPr="00EF2265" w:rsidTr="00B15B1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26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237 437</w:t>
            </w:r>
          </w:p>
        </w:tc>
        <w:tc>
          <w:tcPr>
            <w:tcW w:w="2609" w:type="dxa"/>
            <w:tcBorders>
              <w:top w:val="single" w:sz="4" w:space="0" w:color="auto"/>
              <w:left w:val="single" w:sz="4" w:space="0" w:color="auto"/>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685</w:t>
            </w:r>
          </w:p>
        </w:tc>
      </w:tr>
      <w:tr w:rsidR="002B574D" w:rsidRPr="00EF2265" w:rsidTr="00B15B1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26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0</w:t>
            </w:r>
          </w:p>
        </w:tc>
        <w:tc>
          <w:tcPr>
            <w:tcW w:w="2609" w:type="dxa"/>
            <w:tcBorders>
              <w:top w:val="single" w:sz="4" w:space="0" w:color="auto"/>
              <w:left w:val="single" w:sz="4" w:space="0" w:color="auto"/>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0</w:t>
            </w:r>
          </w:p>
        </w:tc>
      </w:tr>
      <w:tr w:rsidR="002B574D" w:rsidRPr="00EF2265" w:rsidTr="00B15B1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26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273 700</w:t>
            </w:r>
          </w:p>
        </w:tc>
        <w:tc>
          <w:tcPr>
            <w:tcW w:w="2609" w:type="dxa"/>
            <w:tcBorders>
              <w:top w:val="single" w:sz="4" w:space="0" w:color="auto"/>
              <w:left w:val="single" w:sz="4" w:space="0" w:color="auto"/>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758</w:t>
            </w:r>
          </w:p>
        </w:tc>
      </w:tr>
      <w:tr w:rsidR="002B574D" w:rsidRPr="00EF2265" w:rsidTr="00B15B1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26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184 870</w:t>
            </w:r>
          </w:p>
        </w:tc>
        <w:tc>
          <w:tcPr>
            <w:tcW w:w="2609" w:type="dxa"/>
            <w:tcBorders>
              <w:top w:val="single" w:sz="4" w:space="0" w:color="auto"/>
              <w:left w:val="single" w:sz="4" w:space="0" w:color="auto"/>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317</w:t>
            </w:r>
          </w:p>
        </w:tc>
      </w:tr>
      <w:tr w:rsidR="002B574D" w:rsidRPr="00EF2265" w:rsidTr="00B15B10">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26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0</w:t>
            </w:r>
          </w:p>
        </w:tc>
        <w:tc>
          <w:tcPr>
            <w:tcW w:w="2609" w:type="dxa"/>
            <w:tcBorders>
              <w:top w:val="single" w:sz="4" w:space="0" w:color="auto"/>
              <w:left w:val="single" w:sz="4" w:space="0" w:color="auto"/>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0</w:t>
            </w:r>
          </w:p>
        </w:tc>
      </w:tr>
      <w:tr w:rsidR="002B574D" w:rsidRPr="00EF2265" w:rsidTr="00B15B10">
        <w:trPr>
          <w:trHeight w:val="20"/>
        </w:trPr>
        <w:tc>
          <w:tcPr>
            <w:tcW w:w="960"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2608" w:type="dxa"/>
            <w:tcBorders>
              <w:top w:val="single" w:sz="4" w:space="0" w:color="auto"/>
              <w:left w:val="nil"/>
              <w:bottom w:val="single" w:sz="4" w:space="0" w:color="auto"/>
              <w:right w:val="single" w:sz="4" w:space="0" w:color="auto"/>
            </w:tcBorders>
            <w:shd w:val="clear" w:color="auto" w:fill="EEECE1" w:themeFill="background2"/>
            <w:vAlign w:val="bottom"/>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1 306 012</w:t>
            </w:r>
          </w:p>
        </w:tc>
        <w:tc>
          <w:tcPr>
            <w:tcW w:w="2609"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3 173</w:t>
            </w:r>
          </w:p>
        </w:tc>
      </w:tr>
    </w:tbl>
    <w:p w:rsidR="002B574D" w:rsidRPr="00EF2265" w:rsidRDefault="002B574D" w:rsidP="00E86605">
      <w:pPr>
        <w:tabs>
          <w:tab w:val="left" w:pos="9356"/>
        </w:tabs>
        <w:ind w:right="284"/>
        <w:jc w:val="left"/>
        <w:rPr>
          <w:rFonts w:ascii="Times New Roman" w:hAnsi="Times New Roman"/>
          <w:b/>
          <w:i/>
          <w:sz w:val="20"/>
          <w:szCs w:val="20"/>
        </w:rPr>
      </w:pP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b/>
          <w:i/>
          <w:sz w:val="20"/>
          <w:szCs w:val="20"/>
        </w:rPr>
        <w:t xml:space="preserve">Motivačné štipendiá za vynikajúce študijné výsledky </w:t>
      </w:r>
      <w:r w:rsidRPr="00EF2265">
        <w:rPr>
          <w:rFonts w:ascii="Times New Roman" w:hAnsi="Times New Roman"/>
          <w:sz w:val="20"/>
          <w:szCs w:val="20"/>
        </w:rPr>
        <w:t xml:space="preserve">boli priznané študentom STU druhého, prípadne vyššieho ročníka štúdia za študijné výsledky dosiahnuté na univerzite v predchádzajúcom akademickom roku. Na fakultách sa uplatňovali pravidlá priznávania a poskytovania motivačných štipendií, ktoré sú určené v článku 5 Štipendijného poriadku STU v platnom znení, ktoré mohli byť bližšie špecifikované fakultným vnútorným predpisom. Základná výška motivačného štipendia za vynikajúce plnenie študijných povinností, dosiahnutie vynikajúceho výsledku v oblasti štúdia, výskumu, vývoja, umeleckej alebo športovej činnosti v akademickom roku 2017/2018 predstavovala sumu </w:t>
      </w:r>
      <w:r w:rsidRPr="00EF2265">
        <w:rPr>
          <w:rFonts w:ascii="Times New Roman" w:hAnsi="Times New Roman"/>
          <w:b/>
          <w:sz w:val="20"/>
          <w:szCs w:val="20"/>
        </w:rPr>
        <w:t>530 €</w:t>
      </w:r>
      <w:r w:rsidRPr="00EF2265">
        <w:rPr>
          <w:rFonts w:ascii="Times New Roman" w:hAnsi="Times New Roman"/>
          <w:sz w:val="20"/>
          <w:szCs w:val="20"/>
        </w:rPr>
        <w:t xml:space="preserve">. V hodnotenom akademickom roku boli priznané motivačné štipendiá za vynikajúce študijné výsledky vo výške </w:t>
      </w:r>
      <w:r w:rsidRPr="00EF2265">
        <w:rPr>
          <w:rFonts w:ascii="Times New Roman" w:hAnsi="Times New Roman"/>
          <w:b/>
          <w:sz w:val="20"/>
          <w:szCs w:val="20"/>
        </w:rPr>
        <w:t>466 526 €</w:t>
      </w:r>
      <w:r w:rsidRPr="00EF2265">
        <w:rPr>
          <w:rFonts w:ascii="Times New Roman" w:hAnsi="Times New Roman"/>
          <w:sz w:val="20"/>
          <w:szCs w:val="20"/>
        </w:rPr>
        <w:t xml:space="preserve"> spolu </w:t>
      </w:r>
      <w:r w:rsidRPr="00EF2265">
        <w:rPr>
          <w:rFonts w:ascii="Times New Roman" w:hAnsi="Times New Roman"/>
          <w:b/>
          <w:sz w:val="20"/>
          <w:szCs w:val="20"/>
        </w:rPr>
        <w:t>856</w:t>
      </w:r>
      <w:r w:rsidRPr="00EF2265">
        <w:rPr>
          <w:rFonts w:ascii="Times New Roman" w:hAnsi="Times New Roman"/>
          <w:sz w:val="20"/>
          <w:szCs w:val="20"/>
        </w:rPr>
        <w:t xml:space="preserve"> študentom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_Ref474778393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43</w:t>
      </w:r>
      <w:r w:rsidRPr="00EF2265">
        <w:rPr>
          <w:rFonts w:ascii="Times New Roman" w:hAnsi="Times New Roman"/>
          <w:sz w:val="20"/>
          <w:szCs w:val="20"/>
        </w:rPr>
        <w:fldChar w:fldCharType="end"/>
      </w:r>
      <w:r w:rsidRPr="00EF2265">
        <w:rPr>
          <w:rFonts w:ascii="Times New Roman" w:hAnsi="Times New Roman"/>
          <w:sz w:val="20"/>
          <w:szCs w:val="20"/>
        </w:rPr>
        <w:t xml:space="preserve">). V porovnaní </w:t>
      </w:r>
      <w:r w:rsidRPr="00EF2265">
        <w:rPr>
          <w:rFonts w:ascii="Times New Roman" w:hAnsi="Times New Roman"/>
          <w:sz w:val="20"/>
          <w:szCs w:val="20"/>
        </w:rPr>
        <w:lastRenderedPageBreak/>
        <w:t>s akademickým rokom 2016/2017 splnilo kritériá pre priznanie motivačného štipendia za vynikajúce študijné výsledky o 129 študentov menej, pričom celková výška poskytnutých štipendií bola nižšia o 21 280 €.</w:t>
      </w:r>
    </w:p>
    <w:p w:rsidR="002B574D" w:rsidRPr="00EF2265" w:rsidRDefault="002B574D" w:rsidP="00E86605">
      <w:pPr>
        <w:tabs>
          <w:tab w:val="left" w:pos="9356"/>
        </w:tabs>
        <w:jc w:val="left"/>
        <w:rPr>
          <w:rFonts w:ascii="Times New Roman" w:hAnsi="Times New Roman"/>
          <w:sz w:val="20"/>
          <w:szCs w:val="20"/>
        </w:rPr>
      </w:pPr>
    </w:p>
    <w:p w:rsidR="002B574D" w:rsidRPr="00EF2265" w:rsidRDefault="002B574D" w:rsidP="00E86605">
      <w:pPr>
        <w:tabs>
          <w:tab w:val="left" w:pos="9356"/>
        </w:tabs>
        <w:ind w:right="284"/>
        <w:jc w:val="left"/>
        <w:rPr>
          <w:rFonts w:ascii="Times New Roman" w:hAnsi="Times New Roman"/>
          <w:sz w:val="20"/>
          <w:szCs w:val="20"/>
        </w:rPr>
      </w:pPr>
      <w:bookmarkStart w:id="221" w:name="_Ref474778393"/>
      <w:bookmarkStart w:id="222" w:name="_Toc534793982"/>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43</w:t>
      </w:r>
      <w:r w:rsidRPr="00EF2265">
        <w:rPr>
          <w:rFonts w:ascii="Times New Roman" w:hAnsi="Times New Roman"/>
          <w:sz w:val="20"/>
          <w:szCs w:val="20"/>
        </w:rPr>
        <w:fldChar w:fldCharType="end"/>
      </w:r>
      <w:bookmarkEnd w:id="221"/>
      <w:r w:rsidRPr="00EF2265">
        <w:rPr>
          <w:rFonts w:ascii="Times New Roman" w:hAnsi="Times New Roman"/>
          <w:sz w:val="20"/>
          <w:szCs w:val="20"/>
        </w:rPr>
        <w:t>: Motivačné štipendiá za vynikajúce študijné výsledky poskytnuté študentom v akademickom roku 2017/2018</w:t>
      </w:r>
      <w:bookmarkEnd w:id="222"/>
    </w:p>
    <w:tbl>
      <w:tblPr>
        <w:tblW w:w="6177" w:type="dxa"/>
        <w:tblInd w:w="55" w:type="dxa"/>
        <w:tblCellMar>
          <w:left w:w="70" w:type="dxa"/>
          <w:right w:w="70" w:type="dxa"/>
        </w:tblCellMar>
        <w:tblLook w:val="04A0" w:firstRow="1" w:lastRow="0" w:firstColumn="1" w:lastColumn="0" w:noHBand="0" w:noVBand="1"/>
      </w:tblPr>
      <w:tblGrid>
        <w:gridCol w:w="960"/>
        <w:gridCol w:w="2808"/>
        <w:gridCol w:w="2409"/>
      </w:tblGrid>
      <w:tr w:rsidR="002B574D" w:rsidRPr="00EF2265" w:rsidTr="00B15B10">
        <w:trPr>
          <w:trHeight w:val="49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 xml:space="preserve">Fakulta </w:t>
            </w:r>
          </w:p>
        </w:tc>
        <w:tc>
          <w:tcPr>
            <w:tcW w:w="2808" w:type="dxa"/>
            <w:tcBorders>
              <w:top w:val="single" w:sz="4" w:space="0" w:color="auto"/>
              <w:left w:val="nil"/>
              <w:bottom w:val="single" w:sz="4" w:space="0" w:color="auto"/>
              <w:right w:val="single" w:sz="4" w:space="0" w:color="auto"/>
            </w:tcBorders>
            <w:vAlign w:val="center"/>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Celková suma poskytnutých štipendií v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študentov</w:t>
            </w:r>
          </w:p>
        </w:tc>
      </w:tr>
      <w:tr w:rsidR="002B574D" w:rsidRPr="00EF2265" w:rsidTr="00B15B1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28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88 650</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160</w:t>
            </w:r>
          </w:p>
        </w:tc>
      </w:tr>
      <w:tr w:rsidR="002B574D" w:rsidRPr="00EF2265" w:rsidTr="00B15B1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28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35 604</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84</w:t>
            </w:r>
          </w:p>
        </w:tc>
      </w:tr>
      <w:tr w:rsidR="002B574D" w:rsidRPr="00EF2265" w:rsidTr="00B15B1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28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85 570</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148</w:t>
            </w:r>
          </w:p>
        </w:tc>
      </w:tr>
      <w:tr w:rsidR="002B574D" w:rsidRPr="00EF2265" w:rsidTr="00B15B1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28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71 154</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97</w:t>
            </w:r>
          </w:p>
        </w:tc>
      </w:tr>
      <w:tr w:rsidR="002B574D" w:rsidRPr="00EF2265" w:rsidTr="00B15B1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28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36 343</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66</w:t>
            </w:r>
          </w:p>
        </w:tc>
      </w:tr>
      <w:tr w:rsidR="002B574D" w:rsidRPr="00EF2265" w:rsidTr="00B15B1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28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94 550</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199</w:t>
            </w:r>
          </w:p>
        </w:tc>
      </w:tr>
      <w:tr w:rsidR="002B574D" w:rsidRPr="00EF2265" w:rsidTr="00B15B1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28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48 670</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89</w:t>
            </w:r>
          </w:p>
        </w:tc>
      </w:tr>
      <w:tr w:rsidR="002B574D" w:rsidRPr="00EF2265" w:rsidTr="00B15B1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2808" w:type="dxa"/>
            <w:tcBorders>
              <w:top w:val="single" w:sz="4" w:space="0" w:color="auto"/>
              <w:left w:val="nil"/>
              <w:bottom w:val="single" w:sz="4" w:space="0" w:color="auto"/>
              <w:right w:val="single" w:sz="4" w:space="0" w:color="auto"/>
            </w:tcBorders>
            <w:vAlign w:val="bottom"/>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5 985</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13</w:t>
            </w:r>
          </w:p>
        </w:tc>
      </w:tr>
      <w:tr w:rsidR="002B574D" w:rsidRPr="00EF2265" w:rsidTr="00B15B10">
        <w:trPr>
          <w:trHeight w:val="255"/>
        </w:trPr>
        <w:tc>
          <w:tcPr>
            <w:tcW w:w="960"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2808" w:type="dxa"/>
            <w:tcBorders>
              <w:top w:val="single" w:sz="4" w:space="0" w:color="auto"/>
              <w:left w:val="nil"/>
              <w:bottom w:val="single" w:sz="4" w:space="0" w:color="auto"/>
              <w:right w:val="single" w:sz="4" w:space="0" w:color="auto"/>
            </w:tcBorders>
            <w:shd w:val="clear" w:color="auto" w:fill="EEECE1" w:themeFill="background2"/>
            <w:vAlign w:val="bottom"/>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466 526</w:t>
            </w:r>
          </w:p>
        </w:tc>
        <w:tc>
          <w:tcPr>
            <w:tcW w:w="2409"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856</w:t>
            </w:r>
          </w:p>
        </w:tc>
      </w:tr>
    </w:tbl>
    <w:p w:rsidR="002B574D" w:rsidRPr="00EF2265" w:rsidRDefault="002B574D" w:rsidP="00E86605">
      <w:pPr>
        <w:tabs>
          <w:tab w:val="left" w:pos="9356"/>
        </w:tabs>
        <w:spacing w:after="120"/>
        <w:ind w:right="284"/>
        <w:jc w:val="left"/>
        <w:rPr>
          <w:rFonts w:ascii="Times New Roman" w:hAnsi="Times New Roman"/>
          <w:sz w:val="20"/>
          <w:szCs w:val="20"/>
        </w:rPr>
      </w:pPr>
    </w:p>
    <w:p w:rsidR="002B574D" w:rsidRPr="00EF2265" w:rsidRDefault="002B574D" w:rsidP="00E86605">
      <w:pPr>
        <w:tabs>
          <w:tab w:val="left" w:pos="9356"/>
        </w:tabs>
        <w:jc w:val="left"/>
        <w:rPr>
          <w:rFonts w:ascii="Times New Roman" w:hAnsi="Times New Roman"/>
          <w:sz w:val="20"/>
          <w:szCs w:val="20"/>
        </w:rPr>
      </w:pPr>
      <w:r w:rsidRPr="00EF2265">
        <w:rPr>
          <w:rFonts w:ascii="Times New Roman" w:hAnsi="Times New Roman"/>
          <w:b/>
          <w:i/>
          <w:sz w:val="20"/>
          <w:szCs w:val="20"/>
        </w:rPr>
        <w:t>Motivačné štipendiá za mimoriadne výsledky</w:t>
      </w:r>
      <w:r w:rsidRPr="00EF2265">
        <w:rPr>
          <w:rFonts w:ascii="Times New Roman" w:hAnsi="Times New Roman"/>
          <w:sz w:val="20"/>
          <w:szCs w:val="20"/>
        </w:rPr>
        <w:t xml:space="preserve"> boli poskytnuté študentom STU všetkých stupňov štúdia uplatnením kritérií priznávania motivačného štipendia za mimoriadne výsledky stanovených v článku 6 Štipendijného poriadku STU v platnom znení. Kritériá umožňovali priznať a poskytnúť študentovi štipendium za:</w:t>
      </w:r>
    </w:p>
    <w:p w:rsidR="002B574D" w:rsidRPr="00EF2265" w:rsidRDefault="002B574D" w:rsidP="00E86605">
      <w:pPr>
        <w:numPr>
          <w:ilvl w:val="0"/>
          <w:numId w:val="35"/>
        </w:numPr>
        <w:tabs>
          <w:tab w:val="left" w:pos="9356"/>
        </w:tabs>
        <w:jc w:val="left"/>
        <w:rPr>
          <w:rFonts w:ascii="Times New Roman" w:hAnsi="Times New Roman"/>
          <w:sz w:val="20"/>
          <w:szCs w:val="20"/>
        </w:rPr>
      </w:pPr>
      <w:r w:rsidRPr="00EF2265">
        <w:rPr>
          <w:rFonts w:ascii="Times New Roman" w:hAnsi="Times New Roman"/>
          <w:sz w:val="20"/>
          <w:szCs w:val="20"/>
        </w:rPr>
        <w:t xml:space="preserve">mimoriadne plnenie študijných povinností, </w:t>
      </w:r>
    </w:p>
    <w:p w:rsidR="002B574D" w:rsidRPr="00EF2265" w:rsidRDefault="002B574D" w:rsidP="00E86605">
      <w:pPr>
        <w:numPr>
          <w:ilvl w:val="0"/>
          <w:numId w:val="35"/>
        </w:numPr>
        <w:tabs>
          <w:tab w:val="left" w:pos="9356"/>
        </w:tabs>
        <w:jc w:val="left"/>
        <w:rPr>
          <w:rFonts w:ascii="Times New Roman" w:hAnsi="Times New Roman"/>
          <w:sz w:val="20"/>
          <w:szCs w:val="20"/>
        </w:rPr>
      </w:pPr>
      <w:r w:rsidRPr="00EF2265">
        <w:rPr>
          <w:rFonts w:ascii="Times New Roman" w:hAnsi="Times New Roman"/>
          <w:sz w:val="20"/>
          <w:szCs w:val="20"/>
        </w:rPr>
        <w:t xml:space="preserve">mimoriadny výsledok v oblasti výskumu alebo vývoja, </w:t>
      </w:r>
    </w:p>
    <w:p w:rsidR="002B574D" w:rsidRPr="00EF2265" w:rsidRDefault="002B574D" w:rsidP="00E86605">
      <w:pPr>
        <w:numPr>
          <w:ilvl w:val="0"/>
          <w:numId w:val="35"/>
        </w:numPr>
        <w:tabs>
          <w:tab w:val="left" w:pos="9356"/>
        </w:tabs>
        <w:jc w:val="left"/>
        <w:rPr>
          <w:rFonts w:ascii="Times New Roman" w:hAnsi="Times New Roman"/>
          <w:sz w:val="20"/>
          <w:szCs w:val="20"/>
        </w:rPr>
      </w:pPr>
      <w:r w:rsidRPr="00EF2265">
        <w:rPr>
          <w:rFonts w:ascii="Times New Roman" w:hAnsi="Times New Roman"/>
          <w:sz w:val="20"/>
          <w:szCs w:val="20"/>
        </w:rPr>
        <w:t>úspešnú reprezentáciu STU, fakulty, alebo inej súčasti STU v športových súťažiach,</w:t>
      </w:r>
    </w:p>
    <w:p w:rsidR="002B574D" w:rsidRPr="00EF2265" w:rsidRDefault="002B574D" w:rsidP="00E86605">
      <w:pPr>
        <w:numPr>
          <w:ilvl w:val="0"/>
          <w:numId w:val="35"/>
        </w:numPr>
        <w:tabs>
          <w:tab w:val="left" w:pos="9356"/>
        </w:tabs>
        <w:jc w:val="left"/>
        <w:rPr>
          <w:rFonts w:ascii="Times New Roman" w:hAnsi="Times New Roman"/>
          <w:sz w:val="20"/>
          <w:szCs w:val="20"/>
        </w:rPr>
      </w:pPr>
      <w:r w:rsidRPr="00EF2265">
        <w:rPr>
          <w:rFonts w:ascii="Times New Roman" w:hAnsi="Times New Roman"/>
          <w:sz w:val="20"/>
          <w:szCs w:val="20"/>
        </w:rPr>
        <w:t xml:space="preserve">úspešnú reprezentáciu STU, fakulty, alebo inej súčasti STU v umeleckých súťažiach, </w:t>
      </w:r>
    </w:p>
    <w:p w:rsidR="002B574D" w:rsidRPr="00EF2265" w:rsidRDefault="002B574D" w:rsidP="00E86605">
      <w:pPr>
        <w:numPr>
          <w:ilvl w:val="0"/>
          <w:numId w:val="35"/>
        </w:numPr>
        <w:tabs>
          <w:tab w:val="left" w:pos="9356"/>
        </w:tabs>
        <w:jc w:val="left"/>
        <w:rPr>
          <w:rFonts w:ascii="Times New Roman" w:hAnsi="Times New Roman"/>
          <w:sz w:val="20"/>
          <w:szCs w:val="20"/>
        </w:rPr>
      </w:pPr>
      <w:r w:rsidRPr="00EF2265">
        <w:rPr>
          <w:rFonts w:ascii="Times New Roman" w:hAnsi="Times New Roman"/>
          <w:sz w:val="20"/>
          <w:szCs w:val="20"/>
        </w:rPr>
        <w:t>úspešnú reprezentáciu STU fakulty, alebo inej súčasti STU v súťažiach v oblasti štúdia, výskumu alebo vývoja.</w:t>
      </w:r>
    </w:p>
    <w:p w:rsidR="002B574D" w:rsidRPr="00EF2265" w:rsidRDefault="002B574D" w:rsidP="00E86605">
      <w:pPr>
        <w:tabs>
          <w:tab w:val="left" w:pos="9356"/>
        </w:tabs>
        <w:jc w:val="left"/>
        <w:rPr>
          <w:rFonts w:ascii="Times New Roman" w:hAnsi="Times New Roman"/>
          <w:sz w:val="20"/>
          <w:szCs w:val="20"/>
        </w:rPr>
      </w:pPr>
    </w:p>
    <w:p w:rsidR="002B574D" w:rsidRPr="00EF2265" w:rsidRDefault="002B574D" w:rsidP="00E86605">
      <w:pPr>
        <w:tabs>
          <w:tab w:val="left" w:pos="9356"/>
        </w:tabs>
        <w:jc w:val="left"/>
        <w:rPr>
          <w:rFonts w:ascii="Times New Roman" w:hAnsi="Times New Roman"/>
          <w:sz w:val="20"/>
          <w:szCs w:val="20"/>
        </w:rPr>
      </w:pPr>
      <w:r w:rsidRPr="00EF2265">
        <w:rPr>
          <w:rFonts w:ascii="Times New Roman" w:hAnsi="Times New Roman"/>
          <w:b/>
          <w:i/>
          <w:sz w:val="20"/>
          <w:szCs w:val="20"/>
        </w:rPr>
        <w:t>Štipendiá z vlastných zdrojov STU</w:t>
      </w:r>
      <w:r w:rsidRPr="00EF2265">
        <w:rPr>
          <w:rFonts w:ascii="Times New Roman" w:hAnsi="Times New Roman"/>
          <w:b/>
          <w:sz w:val="20"/>
          <w:szCs w:val="20"/>
        </w:rPr>
        <w:t xml:space="preserve"> </w:t>
      </w:r>
      <w:r w:rsidRPr="00EF2265">
        <w:rPr>
          <w:rFonts w:ascii="Times New Roman" w:hAnsi="Times New Roman"/>
          <w:sz w:val="20"/>
          <w:szCs w:val="20"/>
        </w:rPr>
        <w:t xml:space="preserve">majú charakter </w:t>
      </w:r>
      <w:r w:rsidRPr="00EF2265">
        <w:rPr>
          <w:rFonts w:ascii="Times New Roman" w:hAnsi="Times New Roman"/>
          <w:b/>
          <w:i/>
          <w:sz w:val="20"/>
          <w:szCs w:val="20"/>
        </w:rPr>
        <w:t>mimoriadneho štipendia</w:t>
      </w:r>
      <w:r w:rsidRPr="00EF2265">
        <w:rPr>
          <w:rFonts w:ascii="Times New Roman" w:hAnsi="Times New Roman"/>
          <w:sz w:val="20"/>
          <w:szCs w:val="20"/>
        </w:rPr>
        <w:t xml:space="preserve"> a mohli byť poskytnuté jednorazovo, opakovane, resp. pravidelne študentom STU a absolventom STU, u ktorých od riadneho skončenia štúdia neuplynulo viac ako 90 dní podľa článku 7 a 8 Štipendijného poriadku STU v platnom znení, zo štipendijného fondu z vlastných zdrojov ako </w:t>
      </w:r>
    </w:p>
    <w:p w:rsidR="002B574D" w:rsidRPr="00EF2265" w:rsidRDefault="002B574D" w:rsidP="00E86605">
      <w:pPr>
        <w:pStyle w:val="Odsekzoznamu"/>
        <w:numPr>
          <w:ilvl w:val="0"/>
          <w:numId w:val="40"/>
        </w:numPr>
        <w:tabs>
          <w:tab w:val="left" w:pos="9356"/>
        </w:tabs>
        <w:spacing w:line="240" w:lineRule="auto"/>
        <w:rPr>
          <w:rFonts w:ascii="Times New Roman" w:hAnsi="Times New Roman"/>
          <w:sz w:val="20"/>
          <w:szCs w:val="20"/>
        </w:rPr>
      </w:pPr>
      <w:r w:rsidRPr="00EF2265">
        <w:rPr>
          <w:rFonts w:ascii="Times New Roman" w:hAnsi="Times New Roman"/>
          <w:sz w:val="20"/>
          <w:szCs w:val="20"/>
        </w:rPr>
        <w:t>mimoriadne štipendium za vynikajúce plnenie študijných povinností počas celého štúdia,</w:t>
      </w:r>
    </w:p>
    <w:p w:rsidR="002B574D" w:rsidRPr="00EF2265" w:rsidRDefault="002B574D" w:rsidP="00E86605">
      <w:pPr>
        <w:pStyle w:val="Odsekzoznamu"/>
        <w:numPr>
          <w:ilvl w:val="0"/>
          <w:numId w:val="40"/>
        </w:numPr>
        <w:tabs>
          <w:tab w:val="left" w:pos="9356"/>
        </w:tabs>
        <w:spacing w:line="240" w:lineRule="auto"/>
        <w:rPr>
          <w:rFonts w:ascii="Times New Roman" w:hAnsi="Times New Roman"/>
          <w:sz w:val="20"/>
          <w:szCs w:val="20"/>
        </w:rPr>
      </w:pPr>
      <w:r w:rsidRPr="00EF2265">
        <w:rPr>
          <w:rFonts w:ascii="Times New Roman" w:hAnsi="Times New Roman"/>
          <w:sz w:val="20"/>
          <w:szCs w:val="20"/>
        </w:rPr>
        <w:t>mimoriadne štipendium za vynikajúcu záverečnú prácu,</w:t>
      </w:r>
    </w:p>
    <w:p w:rsidR="002B574D" w:rsidRPr="00EF2265" w:rsidRDefault="002B574D" w:rsidP="00E86605">
      <w:pPr>
        <w:pStyle w:val="Odsekzoznamu"/>
        <w:numPr>
          <w:ilvl w:val="0"/>
          <w:numId w:val="40"/>
        </w:numPr>
        <w:tabs>
          <w:tab w:val="left" w:pos="9356"/>
        </w:tabs>
        <w:spacing w:line="240" w:lineRule="auto"/>
        <w:rPr>
          <w:rFonts w:ascii="Times New Roman" w:hAnsi="Times New Roman"/>
          <w:sz w:val="20"/>
          <w:szCs w:val="20"/>
        </w:rPr>
      </w:pPr>
      <w:r w:rsidRPr="00EF2265">
        <w:rPr>
          <w:rFonts w:ascii="Times New Roman" w:hAnsi="Times New Roman"/>
          <w:sz w:val="20"/>
          <w:szCs w:val="20"/>
        </w:rPr>
        <w:t>mimoriadne štipendium na podporu štúdia v rámci mimo univerzitnej mobility študenta,</w:t>
      </w:r>
    </w:p>
    <w:p w:rsidR="002B574D" w:rsidRPr="00EF2265" w:rsidRDefault="002B574D" w:rsidP="00E86605">
      <w:pPr>
        <w:pStyle w:val="Odsekzoznamu"/>
        <w:numPr>
          <w:ilvl w:val="0"/>
          <w:numId w:val="40"/>
        </w:numPr>
        <w:tabs>
          <w:tab w:val="left" w:pos="9356"/>
        </w:tabs>
        <w:spacing w:line="240" w:lineRule="auto"/>
        <w:rPr>
          <w:rFonts w:ascii="Times New Roman" w:hAnsi="Times New Roman"/>
          <w:sz w:val="20"/>
          <w:szCs w:val="20"/>
        </w:rPr>
      </w:pPr>
      <w:r w:rsidRPr="00EF2265">
        <w:rPr>
          <w:rFonts w:ascii="Times New Roman" w:hAnsi="Times New Roman"/>
          <w:sz w:val="20"/>
          <w:szCs w:val="20"/>
        </w:rPr>
        <w:t>mimoriadne štipendium na podporu zahraničných študentov,</w:t>
      </w:r>
    </w:p>
    <w:p w:rsidR="002B574D" w:rsidRPr="00EF2265" w:rsidRDefault="002B574D" w:rsidP="00E86605">
      <w:pPr>
        <w:pStyle w:val="Odsekzoznamu"/>
        <w:numPr>
          <w:ilvl w:val="0"/>
          <w:numId w:val="40"/>
        </w:numPr>
        <w:tabs>
          <w:tab w:val="left" w:pos="9356"/>
        </w:tabs>
        <w:spacing w:line="240" w:lineRule="auto"/>
        <w:rPr>
          <w:rFonts w:ascii="Times New Roman" w:hAnsi="Times New Roman"/>
          <w:sz w:val="20"/>
          <w:szCs w:val="20"/>
        </w:rPr>
      </w:pPr>
      <w:r w:rsidRPr="00EF2265">
        <w:rPr>
          <w:rFonts w:ascii="Times New Roman" w:hAnsi="Times New Roman"/>
          <w:sz w:val="20"/>
          <w:szCs w:val="20"/>
        </w:rPr>
        <w:t>mimoriadne štipendium na podporu vrcholových športovcov,</w:t>
      </w:r>
    </w:p>
    <w:p w:rsidR="002B574D" w:rsidRPr="00EF2265" w:rsidRDefault="002B574D" w:rsidP="00E86605">
      <w:pPr>
        <w:pStyle w:val="Odsekzoznamu"/>
        <w:numPr>
          <w:ilvl w:val="0"/>
          <w:numId w:val="40"/>
        </w:numPr>
        <w:tabs>
          <w:tab w:val="left" w:pos="9356"/>
        </w:tabs>
        <w:spacing w:line="240" w:lineRule="auto"/>
        <w:rPr>
          <w:rFonts w:ascii="Times New Roman" w:hAnsi="Times New Roman"/>
          <w:sz w:val="20"/>
          <w:szCs w:val="20"/>
        </w:rPr>
      </w:pPr>
      <w:r w:rsidRPr="00EF2265">
        <w:rPr>
          <w:rFonts w:ascii="Times New Roman" w:hAnsi="Times New Roman"/>
          <w:sz w:val="20"/>
          <w:szCs w:val="20"/>
        </w:rPr>
        <w:t>mimoriadne štipendium na podporu štúdia na STU,</w:t>
      </w:r>
    </w:p>
    <w:p w:rsidR="002B574D" w:rsidRPr="00EF2265" w:rsidRDefault="002B574D" w:rsidP="00E86605">
      <w:pPr>
        <w:pStyle w:val="Odsekzoznamu"/>
        <w:numPr>
          <w:ilvl w:val="0"/>
          <w:numId w:val="40"/>
        </w:numPr>
        <w:tabs>
          <w:tab w:val="left" w:pos="9356"/>
        </w:tabs>
        <w:spacing w:line="240" w:lineRule="auto"/>
        <w:rPr>
          <w:rFonts w:ascii="Times New Roman" w:hAnsi="Times New Roman"/>
          <w:sz w:val="20"/>
          <w:szCs w:val="20"/>
        </w:rPr>
      </w:pPr>
      <w:r w:rsidRPr="00EF2265">
        <w:rPr>
          <w:rFonts w:ascii="Times New Roman" w:hAnsi="Times New Roman"/>
          <w:sz w:val="20"/>
          <w:szCs w:val="20"/>
        </w:rPr>
        <w:t>mimoriadne štipendium za významnú činnosť konanú v prospech STU,</w:t>
      </w:r>
    </w:p>
    <w:p w:rsidR="002B574D" w:rsidRPr="00EF2265" w:rsidRDefault="002B574D" w:rsidP="00E86605">
      <w:pPr>
        <w:pStyle w:val="Odsekzoznamu"/>
        <w:numPr>
          <w:ilvl w:val="0"/>
          <w:numId w:val="40"/>
        </w:numPr>
        <w:tabs>
          <w:tab w:val="left" w:pos="9356"/>
        </w:tabs>
        <w:spacing w:after="120" w:line="240" w:lineRule="auto"/>
        <w:ind w:left="714" w:hanging="357"/>
        <w:rPr>
          <w:rFonts w:ascii="Times New Roman" w:hAnsi="Times New Roman"/>
          <w:sz w:val="20"/>
          <w:szCs w:val="20"/>
        </w:rPr>
      </w:pPr>
      <w:r w:rsidRPr="00EF2265">
        <w:rPr>
          <w:rFonts w:ascii="Times New Roman" w:hAnsi="Times New Roman"/>
          <w:sz w:val="20"/>
          <w:szCs w:val="20"/>
        </w:rPr>
        <w:t>ďalšie mimoriadne štipendiá.</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Motivačné štipendiá za mimoriadne výsledky a mimoriadne štipendiá z vlastných zdrojov STU priznané dekanmi, v prípade študentov fakúlt STU alebo rektorom v prípade študentov Ústavu manažmentu STU, boli poskytnuté z fakultných štipendijných fondov, resp. z osobitného štipendijného fondu.</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Celkový prehľad poskytnutých finančných prostriedkov na motivačné štipendiá za mimoriadne výsledky a mimoriadne štipendiá z vlastných zdrojov STU v akademickom roku 2017/2018 na jednotlivých súčastiach STU uvádza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_Ref474778417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44</w:t>
      </w:r>
      <w:r w:rsidRPr="00EF2265">
        <w:rPr>
          <w:rFonts w:ascii="Times New Roman" w:hAnsi="Times New Roman"/>
          <w:sz w:val="20"/>
          <w:szCs w:val="20"/>
        </w:rPr>
        <w:fldChar w:fldCharType="end"/>
      </w:r>
      <w:r w:rsidRPr="00EF2265">
        <w:rPr>
          <w:rFonts w:ascii="Times New Roman" w:hAnsi="Times New Roman"/>
          <w:sz w:val="20"/>
          <w:szCs w:val="20"/>
        </w:rPr>
        <w:t>.</w:t>
      </w:r>
    </w:p>
    <w:p w:rsidR="002B574D" w:rsidRPr="00EF2265" w:rsidRDefault="002B574D" w:rsidP="00E86605">
      <w:pPr>
        <w:tabs>
          <w:tab w:val="left" w:pos="9356"/>
        </w:tabs>
        <w:jc w:val="left"/>
        <w:rPr>
          <w:rFonts w:ascii="Times New Roman" w:hAnsi="Times New Roman"/>
          <w:sz w:val="20"/>
          <w:szCs w:val="20"/>
        </w:rPr>
      </w:pPr>
      <w:bookmarkStart w:id="223" w:name="_Ref474778417"/>
      <w:bookmarkStart w:id="224" w:name="_Toc534793983"/>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44</w:t>
      </w:r>
      <w:r w:rsidRPr="00EF2265">
        <w:rPr>
          <w:rFonts w:ascii="Times New Roman" w:hAnsi="Times New Roman"/>
          <w:sz w:val="20"/>
          <w:szCs w:val="20"/>
        </w:rPr>
        <w:fldChar w:fldCharType="end"/>
      </w:r>
      <w:bookmarkEnd w:id="223"/>
      <w:r w:rsidRPr="00EF2265">
        <w:rPr>
          <w:rFonts w:ascii="Times New Roman" w:hAnsi="Times New Roman"/>
          <w:sz w:val="20"/>
          <w:szCs w:val="20"/>
        </w:rPr>
        <w:t>: Ďalšie motivačné a mimoriadne štipendiá poskytnuté študentom a absolventom v akademickom roku 2017/2018</w:t>
      </w:r>
      <w:bookmarkEnd w:id="224"/>
    </w:p>
    <w:tbl>
      <w:tblPr>
        <w:tblW w:w="9493" w:type="dxa"/>
        <w:tblLayout w:type="fixed"/>
        <w:tblCellMar>
          <w:left w:w="70" w:type="dxa"/>
          <w:right w:w="70" w:type="dxa"/>
        </w:tblCellMar>
        <w:tblLook w:val="04A0" w:firstRow="1" w:lastRow="0" w:firstColumn="1" w:lastColumn="0" w:noHBand="0" w:noVBand="1"/>
      </w:tblPr>
      <w:tblGrid>
        <w:gridCol w:w="1080"/>
        <w:gridCol w:w="2317"/>
        <w:gridCol w:w="1889"/>
        <w:gridCol w:w="2364"/>
        <w:gridCol w:w="1843"/>
      </w:tblGrid>
      <w:tr w:rsidR="002B574D" w:rsidRPr="00EF2265" w:rsidTr="00B15B10">
        <w:trPr>
          <w:trHeight w:val="240"/>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 xml:space="preserve">Fakulta </w:t>
            </w:r>
          </w:p>
        </w:tc>
        <w:tc>
          <w:tcPr>
            <w:tcW w:w="4206" w:type="dxa"/>
            <w:gridSpan w:val="2"/>
            <w:tcBorders>
              <w:top w:val="single" w:sz="4" w:space="0" w:color="auto"/>
              <w:left w:val="nil"/>
              <w:bottom w:val="single" w:sz="4" w:space="0" w:color="auto"/>
              <w:right w:val="double" w:sz="6" w:space="0" w:color="000000"/>
            </w:tcBorders>
            <w:shd w:val="clear" w:color="auto" w:fill="auto"/>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motivačné štipendiá za mimoriadne výsledky</w:t>
            </w:r>
          </w:p>
        </w:tc>
        <w:tc>
          <w:tcPr>
            <w:tcW w:w="4207" w:type="dxa"/>
            <w:gridSpan w:val="2"/>
            <w:tcBorders>
              <w:top w:val="single" w:sz="4" w:space="0" w:color="auto"/>
              <w:left w:val="nil"/>
              <w:bottom w:val="single" w:sz="4" w:space="0" w:color="auto"/>
              <w:right w:val="single" w:sz="4" w:space="0" w:color="auto"/>
            </w:tcBorders>
            <w:shd w:val="clear" w:color="auto" w:fill="auto"/>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mimoriadne štipendiá z vlastných zdrojov</w:t>
            </w:r>
          </w:p>
        </w:tc>
      </w:tr>
      <w:tr w:rsidR="002B574D" w:rsidRPr="00EF2265" w:rsidTr="00B15B10">
        <w:trPr>
          <w:trHeight w:val="510"/>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2317"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Celková suma poskytnutých štipendií v €</w:t>
            </w:r>
          </w:p>
        </w:tc>
        <w:tc>
          <w:tcPr>
            <w:tcW w:w="1889" w:type="dxa"/>
            <w:tcBorders>
              <w:top w:val="nil"/>
              <w:left w:val="nil"/>
              <w:bottom w:val="single" w:sz="4" w:space="0" w:color="auto"/>
              <w:right w:val="double" w:sz="6"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študentov</w:t>
            </w:r>
          </w:p>
        </w:tc>
        <w:tc>
          <w:tcPr>
            <w:tcW w:w="2364"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Celková suma poskytnutých štipendií v €</w:t>
            </w:r>
          </w:p>
        </w:tc>
        <w:tc>
          <w:tcPr>
            <w:tcW w:w="1843"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študentov/ absolventov</w:t>
            </w:r>
          </w:p>
        </w:tc>
      </w:tr>
      <w:tr w:rsidR="002B574D" w:rsidRPr="00EF2265" w:rsidTr="00B15B10">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2317"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45 106</w:t>
            </w:r>
          </w:p>
        </w:tc>
        <w:tc>
          <w:tcPr>
            <w:tcW w:w="1889" w:type="dxa"/>
            <w:tcBorders>
              <w:top w:val="nil"/>
              <w:left w:val="nil"/>
              <w:bottom w:val="single" w:sz="4" w:space="0" w:color="auto"/>
              <w:right w:val="double" w:sz="6"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256</w:t>
            </w:r>
          </w:p>
        </w:tc>
        <w:tc>
          <w:tcPr>
            <w:tcW w:w="2364"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35 613</w:t>
            </w:r>
          </w:p>
        </w:tc>
        <w:tc>
          <w:tcPr>
            <w:tcW w:w="1843"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177</w:t>
            </w:r>
          </w:p>
        </w:tc>
      </w:tr>
      <w:tr w:rsidR="002B574D" w:rsidRPr="00EF2265" w:rsidTr="00B15B10">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2317"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16 387</w:t>
            </w:r>
          </w:p>
        </w:tc>
        <w:tc>
          <w:tcPr>
            <w:tcW w:w="1889" w:type="dxa"/>
            <w:tcBorders>
              <w:top w:val="nil"/>
              <w:left w:val="nil"/>
              <w:bottom w:val="single" w:sz="4" w:space="0" w:color="auto"/>
              <w:right w:val="double" w:sz="6"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80</w:t>
            </w:r>
          </w:p>
        </w:tc>
        <w:tc>
          <w:tcPr>
            <w:tcW w:w="2364"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5 803</w:t>
            </w:r>
          </w:p>
        </w:tc>
        <w:tc>
          <w:tcPr>
            <w:tcW w:w="1843"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31</w:t>
            </w:r>
          </w:p>
        </w:tc>
      </w:tr>
      <w:tr w:rsidR="002B574D" w:rsidRPr="00EF2265" w:rsidTr="00B15B10">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2317"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10 150</w:t>
            </w:r>
          </w:p>
        </w:tc>
        <w:tc>
          <w:tcPr>
            <w:tcW w:w="1889" w:type="dxa"/>
            <w:tcBorders>
              <w:top w:val="nil"/>
              <w:left w:val="nil"/>
              <w:bottom w:val="single" w:sz="4" w:space="0" w:color="auto"/>
              <w:right w:val="double" w:sz="6"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71</w:t>
            </w:r>
          </w:p>
        </w:tc>
        <w:tc>
          <w:tcPr>
            <w:tcW w:w="2364"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18 281</w:t>
            </w:r>
          </w:p>
        </w:tc>
        <w:tc>
          <w:tcPr>
            <w:tcW w:w="1843"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79</w:t>
            </w:r>
          </w:p>
        </w:tc>
      </w:tr>
      <w:tr w:rsidR="002B574D" w:rsidRPr="00EF2265" w:rsidTr="00B15B10">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lastRenderedPageBreak/>
              <w:t>FCHPT</w:t>
            </w:r>
          </w:p>
        </w:tc>
        <w:tc>
          <w:tcPr>
            <w:tcW w:w="2317"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14 690</w:t>
            </w:r>
          </w:p>
        </w:tc>
        <w:tc>
          <w:tcPr>
            <w:tcW w:w="1889" w:type="dxa"/>
            <w:tcBorders>
              <w:top w:val="nil"/>
              <w:left w:val="nil"/>
              <w:bottom w:val="single" w:sz="4" w:space="0" w:color="auto"/>
              <w:right w:val="double" w:sz="6"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95</w:t>
            </w:r>
          </w:p>
        </w:tc>
        <w:tc>
          <w:tcPr>
            <w:tcW w:w="2364"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9 335</w:t>
            </w:r>
          </w:p>
        </w:tc>
        <w:tc>
          <w:tcPr>
            <w:tcW w:w="1843"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78</w:t>
            </w:r>
          </w:p>
        </w:tc>
      </w:tr>
      <w:tr w:rsidR="002B574D" w:rsidRPr="00EF2265" w:rsidTr="00B15B10">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2317"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3 252</w:t>
            </w:r>
          </w:p>
        </w:tc>
        <w:tc>
          <w:tcPr>
            <w:tcW w:w="1889" w:type="dxa"/>
            <w:tcBorders>
              <w:top w:val="nil"/>
              <w:left w:val="nil"/>
              <w:bottom w:val="single" w:sz="4" w:space="0" w:color="auto"/>
              <w:right w:val="double" w:sz="6"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16</w:t>
            </w:r>
          </w:p>
        </w:tc>
        <w:tc>
          <w:tcPr>
            <w:tcW w:w="2364"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8 470</w:t>
            </w:r>
          </w:p>
        </w:tc>
        <w:tc>
          <w:tcPr>
            <w:tcW w:w="1843"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49</w:t>
            </w:r>
          </w:p>
        </w:tc>
      </w:tr>
      <w:tr w:rsidR="002B574D" w:rsidRPr="00EF2265" w:rsidTr="00B15B10">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2317"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16 506</w:t>
            </w:r>
          </w:p>
        </w:tc>
        <w:tc>
          <w:tcPr>
            <w:tcW w:w="1889" w:type="dxa"/>
            <w:tcBorders>
              <w:top w:val="nil"/>
              <w:left w:val="nil"/>
              <w:bottom w:val="single" w:sz="4" w:space="0" w:color="auto"/>
              <w:right w:val="double" w:sz="6"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92</w:t>
            </w:r>
          </w:p>
        </w:tc>
        <w:tc>
          <w:tcPr>
            <w:tcW w:w="2364"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23 914</w:t>
            </w:r>
          </w:p>
        </w:tc>
        <w:tc>
          <w:tcPr>
            <w:tcW w:w="1843"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150</w:t>
            </w:r>
          </w:p>
        </w:tc>
      </w:tr>
      <w:tr w:rsidR="002B574D" w:rsidRPr="00EF2265" w:rsidTr="00B15B10">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2317"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5 276</w:t>
            </w:r>
          </w:p>
        </w:tc>
        <w:tc>
          <w:tcPr>
            <w:tcW w:w="1889" w:type="dxa"/>
            <w:tcBorders>
              <w:top w:val="nil"/>
              <w:left w:val="nil"/>
              <w:bottom w:val="single" w:sz="4" w:space="0" w:color="auto"/>
              <w:right w:val="double" w:sz="6"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51</w:t>
            </w:r>
          </w:p>
        </w:tc>
        <w:tc>
          <w:tcPr>
            <w:tcW w:w="2364"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68 799</w:t>
            </w:r>
          </w:p>
        </w:tc>
        <w:tc>
          <w:tcPr>
            <w:tcW w:w="1843"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45</w:t>
            </w:r>
          </w:p>
        </w:tc>
      </w:tr>
      <w:tr w:rsidR="002B574D" w:rsidRPr="00EF2265" w:rsidTr="00B15B10">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2317"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1 964</w:t>
            </w:r>
          </w:p>
        </w:tc>
        <w:tc>
          <w:tcPr>
            <w:tcW w:w="1889" w:type="dxa"/>
            <w:tcBorders>
              <w:top w:val="nil"/>
              <w:left w:val="nil"/>
              <w:bottom w:val="single" w:sz="4" w:space="0" w:color="auto"/>
              <w:right w:val="double" w:sz="6"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10</w:t>
            </w:r>
          </w:p>
        </w:tc>
        <w:tc>
          <w:tcPr>
            <w:tcW w:w="2364"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5 200</w:t>
            </w:r>
          </w:p>
        </w:tc>
        <w:tc>
          <w:tcPr>
            <w:tcW w:w="1843" w:type="dxa"/>
            <w:tcBorders>
              <w:top w:val="nil"/>
              <w:left w:val="nil"/>
              <w:bottom w:val="single" w:sz="4" w:space="0" w:color="auto"/>
              <w:right w:val="single" w:sz="4" w:space="0" w:color="auto"/>
            </w:tcBorders>
            <w:shd w:val="clear" w:color="auto" w:fill="auto"/>
            <w:noWrap/>
            <w:vAlign w:val="bottom"/>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8</w:t>
            </w:r>
          </w:p>
        </w:tc>
      </w:tr>
      <w:tr w:rsidR="002B574D" w:rsidRPr="00EF2265" w:rsidTr="00B15B10">
        <w:trPr>
          <w:trHeight w:val="255"/>
        </w:trPr>
        <w:tc>
          <w:tcPr>
            <w:tcW w:w="1080"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2317" w:type="dxa"/>
            <w:tcBorders>
              <w:top w:val="nil"/>
              <w:left w:val="nil"/>
              <w:bottom w:val="single" w:sz="4" w:space="0" w:color="auto"/>
              <w:right w:val="single" w:sz="4" w:space="0" w:color="auto"/>
            </w:tcBorders>
            <w:shd w:val="clear" w:color="auto" w:fill="EEECE1" w:themeFill="background2"/>
            <w:noWrap/>
            <w:vAlign w:val="bottom"/>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113 331</w:t>
            </w:r>
          </w:p>
        </w:tc>
        <w:tc>
          <w:tcPr>
            <w:tcW w:w="1889" w:type="dxa"/>
            <w:tcBorders>
              <w:top w:val="nil"/>
              <w:left w:val="nil"/>
              <w:bottom w:val="single" w:sz="4" w:space="0" w:color="auto"/>
              <w:right w:val="double" w:sz="6" w:space="0" w:color="auto"/>
            </w:tcBorders>
            <w:shd w:val="clear" w:color="auto" w:fill="EEECE1" w:themeFill="background2"/>
            <w:noWrap/>
            <w:vAlign w:val="bottom"/>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671</w:t>
            </w:r>
          </w:p>
        </w:tc>
        <w:tc>
          <w:tcPr>
            <w:tcW w:w="2364" w:type="dxa"/>
            <w:tcBorders>
              <w:top w:val="nil"/>
              <w:left w:val="nil"/>
              <w:bottom w:val="single" w:sz="4" w:space="0" w:color="auto"/>
              <w:right w:val="single" w:sz="4" w:space="0" w:color="auto"/>
            </w:tcBorders>
            <w:shd w:val="clear" w:color="auto" w:fill="EEECE1" w:themeFill="background2"/>
            <w:noWrap/>
            <w:vAlign w:val="bottom"/>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175 415</w:t>
            </w:r>
          </w:p>
        </w:tc>
        <w:tc>
          <w:tcPr>
            <w:tcW w:w="1843" w:type="dxa"/>
            <w:tcBorders>
              <w:top w:val="nil"/>
              <w:left w:val="nil"/>
              <w:bottom w:val="single" w:sz="4" w:space="0" w:color="auto"/>
              <w:right w:val="single" w:sz="4" w:space="0" w:color="auto"/>
            </w:tcBorders>
            <w:shd w:val="clear" w:color="auto" w:fill="EEECE1" w:themeFill="background2"/>
            <w:noWrap/>
            <w:vAlign w:val="bottom"/>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617</w:t>
            </w:r>
          </w:p>
        </w:tc>
      </w:tr>
    </w:tbl>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Vysvetlivky:</w:t>
      </w:r>
    </w:p>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študentov/absolventov - predstavuje počet poskytnutých štipendií, každý študent/absolvent je započítaný toľkokrát, koľko štipendií mu bolo poskytnuté</w:t>
      </w:r>
    </w:p>
    <w:p w:rsidR="002B574D" w:rsidRPr="00EF2265" w:rsidRDefault="002B574D" w:rsidP="00E86605">
      <w:pPr>
        <w:tabs>
          <w:tab w:val="left" w:pos="9356"/>
        </w:tabs>
        <w:jc w:val="left"/>
        <w:rPr>
          <w:rFonts w:ascii="Times New Roman" w:hAnsi="Times New Roman"/>
          <w:sz w:val="20"/>
          <w:szCs w:val="20"/>
        </w:rPr>
      </w:pPr>
    </w:p>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 xml:space="preserve">V porovnaní s akademickým rokom 2016/2017 splnilo kritériá pre priznanie motivačného štipendia za mimoriadne výsledky </w:t>
      </w:r>
      <w:r w:rsidRPr="00EF2265">
        <w:rPr>
          <w:rFonts w:ascii="Times New Roman" w:hAnsi="Times New Roman"/>
          <w:b/>
          <w:sz w:val="20"/>
          <w:szCs w:val="20"/>
        </w:rPr>
        <w:t>o 95 študentov viac</w:t>
      </w:r>
      <w:r w:rsidRPr="00EF2265">
        <w:rPr>
          <w:rFonts w:ascii="Times New Roman" w:hAnsi="Times New Roman"/>
          <w:sz w:val="20"/>
          <w:szCs w:val="20"/>
        </w:rPr>
        <w:t xml:space="preserve">, pričom celková </w:t>
      </w:r>
      <w:r w:rsidRPr="00EF2265">
        <w:rPr>
          <w:rFonts w:ascii="Times New Roman" w:hAnsi="Times New Roman"/>
          <w:b/>
          <w:sz w:val="20"/>
          <w:szCs w:val="20"/>
        </w:rPr>
        <w:t>výška poskytnutých štipendií bola vyššia o 28 512 €</w:t>
      </w:r>
      <w:r w:rsidRPr="00EF2265">
        <w:rPr>
          <w:rFonts w:ascii="Times New Roman" w:hAnsi="Times New Roman"/>
          <w:sz w:val="20"/>
          <w:szCs w:val="20"/>
        </w:rPr>
        <w:t xml:space="preserve">. Mimoriadne štipendiá z vlastných zdrojov STU boli poskytnuté </w:t>
      </w:r>
      <w:r w:rsidRPr="00EF2265">
        <w:rPr>
          <w:rFonts w:ascii="Times New Roman" w:hAnsi="Times New Roman"/>
          <w:b/>
          <w:sz w:val="20"/>
          <w:szCs w:val="20"/>
        </w:rPr>
        <w:t xml:space="preserve">o 434 študentom menej, </w:t>
      </w:r>
      <w:r w:rsidRPr="00EF2265">
        <w:rPr>
          <w:rFonts w:ascii="Times New Roman" w:hAnsi="Times New Roman"/>
          <w:sz w:val="20"/>
          <w:szCs w:val="20"/>
        </w:rPr>
        <w:t>ale celková výška poskytnutých štipendií bola</w:t>
      </w:r>
      <w:r w:rsidRPr="00EF2265">
        <w:rPr>
          <w:rFonts w:ascii="Times New Roman" w:hAnsi="Times New Roman"/>
          <w:b/>
          <w:sz w:val="20"/>
          <w:szCs w:val="20"/>
        </w:rPr>
        <w:t xml:space="preserve"> vyššia o 5 495 €</w:t>
      </w:r>
      <w:r w:rsidRPr="00EF2265">
        <w:rPr>
          <w:rFonts w:ascii="Times New Roman" w:hAnsi="Times New Roman"/>
          <w:sz w:val="20"/>
          <w:szCs w:val="20"/>
        </w:rPr>
        <w:t>.</w:t>
      </w:r>
    </w:p>
    <w:p w:rsidR="002B574D" w:rsidRPr="00EF2265" w:rsidRDefault="002B574D" w:rsidP="00E86605">
      <w:pPr>
        <w:jc w:val="left"/>
        <w:rPr>
          <w:rFonts w:ascii="Times New Roman" w:hAnsi="Times New Roman"/>
          <w:sz w:val="20"/>
          <w:szCs w:val="20"/>
        </w:rPr>
      </w:pPr>
    </w:p>
    <w:p w:rsidR="002B574D" w:rsidRPr="00EF2265" w:rsidRDefault="002B574D" w:rsidP="00E86605">
      <w:pPr>
        <w:tabs>
          <w:tab w:val="left" w:pos="9356"/>
        </w:tabs>
        <w:jc w:val="left"/>
        <w:rPr>
          <w:rFonts w:ascii="Times New Roman" w:hAnsi="Times New Roman"/>
          <w:b/>
          <w:i/>
          <w:sz w:val="20"/>
          <w:szCs w:val="20"/>
        </w:rPr>
      </w:pPr>
      <w:r w:rsidRPr="00EF2265">
        <w:rPr>
          <w:rFonts w:ascii="Times New Roman" w:hAnsi="Times New Roman"/>
          <w:b/>
          <w:i/>
          <w:sz w:val="20"/>
          <w:szCs w:val="20"/>
        </w:rPr>
        <w:t>Štipendiá priznané rektorom STU</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roku 2018 rektor rozhodol o priznaní motivačných štipendií za mimoriadne výsledky a mimoriadnych štipendií z vlastných zdrojov STU študentom/absolventom všetkých súčastí STU na základe akceptovania návrhu dekana fakulty, riaditeľa Ústavu manažmentu STU, resp. iného člena akademickej obce univerzity, pričom tieto štipendiá boli poskytnuté zo štipendijného fondu rektora. </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Rektor rozhodol o priznaní mimoriadnych štipendií z vlastných zdrojov STU za vynikajúce plnenie študijných povinností počas celého štúdia všetkým absolventom STU, ktorým udelil ocenenie „Cena rektora STU“ za splnenia zákonnej podmienky, že od riadneho skončenia ich štúdia neuplynulo viac ako 90 dní. Zároveň rektor rozhodol o priznaní motivačných štipendií za mimoriadne výsledky, resp. mimoriadnych štipendií z vlastných zdrojov STU najlepším študentom STU oceneným cenou „Študent roka“. </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Komplexný prehľad poskytnutých finančných prostriedkov zo štipendijného fondu rektora v roku 2018 uvádza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_Ref474778436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45</w:t>
      </w:r>
      <w:r w:rsidRPr="00EF2265">
        <w:rPr>
          <w:rFonts w:ascii="Times New Roman" w:hAnsi="Times New Roman"/>
          <w:sz w:val="20"/>
          <w:szCs w:val="20"/>
        </w:rPr>
        <w:fldChar w:fldCharType="end"/>
      </w:r>
      <w:r w:rsidRPr="00EF2265">
        <w:rPr>
          <w:rFonts w:ascii="Times New Roman" w:hAnsi="Times New Roman"/>
          <w:sz w:val="20"/>
          <w:szCs w:val="20"/>
        </w:rPr>
        <w:t>.</w:t>
      </w:r>
    </w:p>
    <w:p w:rsidR="002B574D" w:rsidRPr="00EF2265" w:rsidRDefault="002B574D" w:rsidP="00E86605">
      <w:pPr>
        <w:tabs>
          <w:tab w:val="left" w:pos="9356"/>
        </w:tabs>
        <w:jc w:val="left"/>
        <w:rPr>
          <w:rFonts w:ascii="Times New Roman" w:hAnsi="Times New Roman"/>
          <w:sz w:val="20"/>
          <w:szCs w:val="20"/>
        </w:rPr>
      </w:pPr>
      <w:bookmarkStart w:id="225" w:name="_Ref474778436"/>
      <w:bookmarkStart w:id="226" w:name="_Toc534793984"/>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45</w:t>
      </w:r>
      <w:r w:rsidRPr="00EF2265">
        <w:rPr>
          <w:rFonts w:ascii="Times New Roman" w:hAnsi="Times New Roman"/>
          <w:sz w:val="20"/>
          <w:szCs w:val="20"/>
        </w:rPr>
        <w:fldChar w:fldCharType="end"/>
      </w:r>
      <w:bookmarkEnd w:id="225"/>
      <w:r w:rsidRPr="00EF2265">
        <w:rPr>
          <w:rFonts w:ascii="Times New Roman" w:hAnsi="Times New Roman"/>
          <w:sz w:val="20"/>
          <w:szCs w:val="20"/>
        </w:rPr>
        <w:t>: Prehľad priznaných a poskytnutých motivačných štipendií za mimoriadne výsledky a mimoriadnych štipendií z vlastných zdrojov STU študentom a absolventom STU zo štipendijného fondu rektora v roku 2018</w:t>
      </w:r>
      <w:bookmarkEnd w:id="226"/>
    </w:p>
    <w:tbl>
      <w:tblPr>
        <w:tblW w:w="9498" w:type="dxa"/>
        <w:tblInd w:w="-5" w:type="dxa"/>
        <w:tblCellMar>
          <w:left w:w="70" w:type="dxa"/>
          <w:right w:w="70" w:type="dxa"/>
        </w:tblCellMar>
        <w:tblLook w:val="04A0" w:firstRow="1" w:lastRow="0" w:firstColumn="1" w:lastColumn="0" w:noHBand="0" w:noVBand="1"/>
      </w:tblPr>
      <w:tblGrid>
        <w:gridCol w:w="1560"/>
        <w:gridCol w:w="1417"/>
        <w:gridCol w:w="3260"/>
        <w:gridCol w:w="1160"/>
        <w:gridCol w:w="2101"/>
      </w:tblGrid>
      <w:tr w:rsidR="002B574D" w:rsidRPr="00EF2265" w:rsidTr="00B15B10">
        <w:trPr>
          <w:trHeight w:val="20"/>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štipendium</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študentov/</w:t>
            </w:r>
          </w:p>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absolventov</w:t>
            </w:r>
          </w:p>
        </w:tc>
        <w:tc>
          <w:tcPr>
            <w:tcW w:w="2101" w:type="dxa"/>
            <w:tcBorders>
              <w:top w:val="single" w:sz="4" w:space="0" w:color="auto"/>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celková suma poskytnutých štipendií v €</w:t>
            </w:r>
          </w:p>
        </w:tc>
      </w:tr>
      <w:tr w:rsidR="002B574D" w:rsidRPr="00EF2265" w:rsidTr="00B15B10">
        <w:trPr>
          <w:trHeight w:val="20"/>
        </w:trPr>
        <w:tc>
          <w:tcPr>
            <w:tcW w:w="1560" w:type="dxa"/>
            <w:vMerge w:val="restart"/>
            <w:tcBorders>
              <w:top w:val="nil"/>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mimoriadne štipendiá</w:t>
            </w:r>
          </w:p>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 vlastných zdrojov STU</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štipendium oceneným</w:t>
            </w:r>
          </w:p>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"Cena rektora"</w:t>
            </w:r>
          </w:p>
        </w:tc>
        <w:tc>
          <w:tcPr>
            <w:tcW w:w="3260"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 stupeň</w:t>
            </w:r>
          </w:p>
        </w:tc>
        <w:tc>
          <w:tcPr>
            <w:tcW w:w="1160"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14</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3 500</w:t>
            </w:r>
          </w:p>
        </w:tc>
      </w:tr>
      <w:tr w:rsidR="002B574D" w:rsidRPr="00EF2265" w:rsidTr="00B15B10">
        <w:trPr>
          <w:trHeight w:val="20"/>
        </w:trPr>
        <w:tc>
          <w:tcPr>
            <w:tcW w:w="1560" w:type="dxa"/>
            <w:vMerge/>
            <w:tcBorders>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1417" w:type="dxa"/>
            <w:vMerge/>
            <w:tcBorders>
              <w:top w:val="nil"/>
              <w:left w:val="single" w:sz="4" w:space="0" w:color="auto"/>
              <w:bottom w:val="single" w:sz="4" w:space="0" w:color="000000"/>
              <w:right w:val="single" w:sz="4" w:space="0" w:color="auto"/>
            </w:tcBorders>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3260"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 stupeň</w:t>
            </w:r>
          </w:p>
        </w:tc>
        <w:tc>
          <w:tcPr>
            <w:tcW w:w="1160"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32</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11 200</w:t>
            </w:r>
          </w:p>
        </w:tc>
      </w:tr>
      <w:tr w:rsidR="002B574D" w:rsidRPr="00EF2265" w:rsidTr="00B15B10">
        <w:trPr>
          <w:trHeight w:val="20"/>
        </w:trPr>
        <w:tc>
          <w:tcPr>
            <w:tcW w:w="1560" w:type="dxa"/>
            <w:vMerge/>
            <w:tcBorders>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1417" w:type="dxa"/>
            <w:vMerge/>
            <w:tcBorders>
              <w:top w:val="nil"/>
              <w:left w:val="single" w:sz="4" w:space="0" w:color="auto"/>
              <w:bottom w:val="single" w:sz="4" w:space="0" w:color="000000"/>
              <w:right w:val="single" w:sz="4" w:space="0" w:color="auto"/>
            </w:tcBorders>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3260"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III. stupeň</w:t>
            </w:r>
          </w:p>
        </w:tc>
        <w:tc>
          <w:tcPr>
            <w:tcW w:w="1160"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13</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5 850</w:t>
            </w:r>
          </w:p>
        </w:tc>
      </w:tr>
      <w:tr w:rsidR="002B574D" w:rsidRPr="00EF2265" w:rsidTr="00B15B10">
        <w:trPr>
          <w:trHeight w:val="20"/>
        </w:trPr>
        <w:tc>
          <w:tcPr>
            <w:tcW w:w="1560" w:type="dxa"/>
            <w:vMerge/>
            <w:tcBorders>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1417" w:type="dxa"/>
            <w:tcBorders>
              <w:top w:val="nil"/>
              <w:left w:val="nil"/>
              <w:bottom w:val="single" w:sz="4" w:space="0" w:color="auto"/>
              <w:right w:val="nil"/>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štipendium oceneným "Študent roka"</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významná činnosť konaná</w:t>
            </w:r>
          </w:p>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v prospech STU, </w:t>
            </w:r>
          </w:p>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humánny čin</w:t>
            </w:r>
          </w:p>
        </w:tc>
        <w:tc>
          <w:tcPr>
            <w:tcW w:w="116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1 393</w:t>
            </w:r>
          </w:p>
        </w:tc>
      </w:tr>
      <w:tr w:rsidR="002B574D" w:rsidRPr="00EF2265" w:rsidTr="00B15B10">
        <w:trPr>
          <w:trHeight w:val="20"/>
        </w:trPr>
        <w:tc>
          <w:tcPr>
            <w:tcW w:w="1560" w:type="dxa"/>
            <w:vMerge/>
            <w:tcBorders>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4677" w:type="dxa"/>
            <w:gridSpan w:val="2"/>
            <w:tcBorders>
              <w:top w:val="single" w:sz="4" w:space="0" w:color="auto"/>
              <w:left w:val="nil"/>
              <w:bottom w:val="single" w:sz="4" w:space="0" w:color="auto"/>
              <w:right w:val="single" w:sz="4" w:space="0" w:color="000000"/>
            </w:tcBorders>
            <w:shd w:val="clear" w:color="auto" w:fill="auto"/>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 xml:space="preserve">významná činnosť konaná v prospech STU </w:t>
            </w:r>
            <w:r w:rsidRPr="00EF2265">
              <w:rPr>
                <w:rFonts w:ascii="Times New Roman" w:eastAsia="Times New Roman" w:hAnsi="Times New Roman"/>
                <w:sz w:val="20"/>
                <w:szCs w:val="20"/>
                <w:lang w:eastAsia="sk-SK"/>
              </w:rPr>
              <w:t>(účasť na Letnej univerzite pre stredoškolákov 2017, iné)</w:t>
            </w:r>
          </w:p>
        </w:tc>
        <w:tc>
          <w:tcPr>
            <w:tcW w:w="116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19</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671</w:t>
            </w:r>
          </w:p>
        </w:tc>
      </w:tr>
      <w:tr w:rsidR="002B574D" w:rsidRPr="00EF2265" w:rsidTr="00B15B10">
        <w:trPr>
          <w:trHeight w:val="20"/>
        </w:trPr>
        <w:tc>
          <w:tcPr>
            <w:tcW w:w="1560" w:type="dxa"/>
            <w:vMerge/>
            <w:tcBorders>
              <w:left w:val="single" w:sz="4" w:space="0" w:color="auto"/>
              <w:bottom w:val="nil"/>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4677" w:type="dxa"/>
            <w:gridSpan w:val="2"/>
            <w:tcBorders>
              <w:top w:val="single" w:sz="4" w:space="0" w:color="auto"/>
              <w:left w:val="nil"/>
              <w:bottom w:val="single" w:sz="4" w:space="0" w:color="auto"/>
              <w:right w:val="single" w:sz="4" w:space="0" w:color="auto"/>
            </w:tcBorders>
            <w:shd w:val="clear" w:color="auto" w:fill="EEECE1" w:themeFill="background2"/>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 z vlastných zdrojov</w:t>
            </w:r>
          </w:p>
        </w:tc>
        <w:tc>
          <w:tcPr>
            <w:tcW w:w="1160" w:type="dxa"/>
            <w:tcBorders>
              <w:top w:val="nil"/>
              <w:left w:val="nil"/>
              <w:bottom w:val="single" w:sz="4" w:space="0" w:color="auto"/>
              <w:right w:val="single" w:sz="4" w:space="0" w:color="auto"/>
            </w:tcBorders>
            <w:shd w:val="clear" w:color="auto" w:fill="EEECE1" w:themeFill="background2"/>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83</w:t>
            </w:r>
          </w:p>
        </w:tc>
        <w:tc>
          <w:tcPr>
            <w:tcW w:w="2101" w:type="dxa"/>
            <w:tcBorders>
              <w:top w:val="nil"/>
              <w:left w:val="nil"/>
              <w:bottom w:val="single" w:sz="4"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22 614</w:t>
            </w:r>
          </w:p>
        </w:tc>
      </w:tr>
      <w:tr w:rsidR="002B574D" w:rsidRPr="00EF2265" w:rsidTr="00B15B10">
        <w:trPr>
          <w:trHeight w:val="20"/>
        </w:trPr>
        <w:tc>
          <w:tcPr>
            <w:tcW w:w="1560" w:type="dxa"/>
            <w:vMerge w:val="restart"/>
            <w:tcBorders>
              <w:top w:val="single" w:sz="4" w:space="0" w:color="auto"/>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motivačné štipendiá za mimoriadne výsledky</w:t>
            </w:r>
          </w:p>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z prostriedkov štátneho rozpočtu</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štipendium oceneným "Študent roka 2018"</w:t>
            </w:r>
          </w:p>
        </w:tc>
        <w:tc>
          <w:tcPr>
            <w:tcW w:w="3260" w:type="dxa"/>
            <w:tcBorders>
              <w:top w:val="nil"/>
              <w:left w:val="nil"/>
              <w:bottom w:val="single" w:sz="4" w:space="0" w:color="auto"/>
              <w:right w:val="single" w:sz="4" w:space="0" w:color="auto"/>
            </w:tcBorders>
            <w:shd w:val="clear" w:color="auto" w:fill="auto"/>
            <w:vAlign w:val="bottom"/>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najlepší študent I. stupňa štúdia</w:t>
            </w:r>
          </w:p>
        </w:tc>
        <w:tc>
          <w:tcPr>
            <w:tcW w:w="1160"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8</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2 600</w:t>
            </w:r>
          </w:p>
        </w:tc>
      </w:tr>
      <w:tr w:rsidR="002B574D" w:rsidRPr="00EF2265" w:rsidTr="00B15B10">
        <w:trPr>
          <w:trHeight w:val="20"/>
        </w:trPr>
        <w:tc>
          <w:tcPr>
            <w:tcW w:w="1560" w:type="dxa"/>
            <w:vMerge/>
            <w:tcBorders>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1417" w:type="dxa"/>
            <w:vMerge/>
            <w:tcBorders>
              <w:top w:val="nil"/>
              <w:left w:val="single" w:sz="4" w:space="0" w:color="auto"/>
              <w:bottom w:val="single" w:sz="4" w:space="0" w:color="000000"/>
              <w:right w:val="single" w:sz="4" w:space="0" w:color="auto"/>
            </w:tcBorders>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najlepší študent II. stupňa štúdia</w:t>
            </w:r>
          </w:p>
        </w:tc>
        <w:tc>
          <w:tcPr>
            <w:tcW w:w="1160"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8</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2 600</w:t>
            </w:r>
          </w:p>
        </w:tc>
      </w:tr>
      <w:tr w:rsidR="002B574D" w:rsidRPr="00EF2265" w:rsidTr="00B15B10">
        <w:trPr>
          <w:trHeight w:val="20"/>
        </w:trPr>
        <w:tc>
          <w:tcPr>
            <w:tcW w:w="1560" w:type="dxa"/>
            <w:vMerge/>
            <w:tcBorders>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1417" w:type="dxa"/>
            <w:vMerge/>
            <w:tcBorders>
              <w:top w:val="nil"/>
              <w:left w:val="single" w:sz="4" w:space="0" w:color="auto"/>
              <w:bottom w:val="single" w:sz="4" w:space="0" w:color="000000"/>
              <w:right w:val="single" w:sz="4" w:space="0" w:color="auto"/>
            </w:tcBorders>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najlepší študent III. stupňa štúdia</w:t>
            </w:r>
          </w:p>
        </w:tc>
        <w:tc>
          <w:tcPr>
            <w:tcW w:w="1160" w:type="dxa"/>
            <w:tcBorders>
              <w:top w:val="nil"/>
              <w:left w:val="nil"/>
              <w:bottom w:val="single" w:sz="4" w:space="0" w:color="auto"/>
              <w:right w:val="single" w:sz="4" w:space="0" w:color="auto"/>
            </w:tcBorders>
            <w:shd w:val="clear" w:color="auto" w:fill="auto"/>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2 275</w:t>
            </w:r>
          </w:p>
        </w:tc>
      </w:tr>
      <w:tr w:rsidR="002B574D" w:rsidRPr="00EF2265" w:rsidTr="00B15B10">
        <w:trPr>
          <w:trHeight w:val="20"/>
        </w:trPr>
        <w:tc>
          <w:tcPr>
            <w:tcW w:w="1560" w:type="dxa"/>
            <w:vMerge/>
            <w:tcBorders>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1417" w:type="dxa"/>
            <w:vMerge/>
            <w:tcBorders>
              <w:top w:val="nil"/>
              <w:left w:val="single" w:sz="4" w:space="0" w:color="auto"/>
              <w:bottom w:val="single" w:sz="4" w:space="0" w:color="000000"/>
              <w:right w:val="single" w:sz="4" w:space="0" w:color="auto"/>
            </w:tcBorders>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3260" w:type="dxa"/>
            <w:tcBorders>
              <w:top w:val="nil"/>
              <w:left w:val="nil"/>
              <w:bottom w:val="single" w:sz="4" w:space="0" w:color="auto"/>
              <w:right w:val="single" w:sz="4" w:space="0" w:color="auto"/>
            </w:tcBorders>
            <w:shd w:val="clear" w:color="auto" w:fill="auto"/>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najlepšie absolvovaná akademická mobilita na STU</w:t>
            </w:r>
          </w:p>
        </w:tc>
        <w:tc>
          <w:tcPr>
            <w:tcW w:w="116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232</w:t>
            </w:r>
          </w:p>
        </w:tc>
      </w:tr>
      <w:tr w:rsidR="002B574D" w:rsidRPr="00EF2265" w:rsidTr="00B15B10">
        <w:trPr>
          <w:trHeight w:val="20"/>
        </w:trPr>
        <w:tc>
          <w:tcPr>
            <w:tcW w:w="1560" w:type="dxa"/>
            <w:vMerge/>
            <w:tcBorders>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1417" w:type="dxa"/>
            <w:vMerge/>
            <w:tcBorders>
              <w:top w:val="nil"/>
              <w:left w:val="single" w:sz="4" w:space="0" w:color="auto"/>
              <w:bottom w:val="single" w:sz="4" w:space="0" w:color="000000"/>
              <w:right w:val="single" w:sz="4" w:space="0" w:color="auto"/>
            </w:tcBorders>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mimoriadny výsledok v oblasti výskumu alebo vývoja</w:t>
            </w:r>
          </w:p>
        </w:tc>
        <w:tc>
          <w:tcPr>
            <w:tcW w:w="116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13</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4 225</w:t>
            </w:r>
          </w:p>
        </w:tc>
      </w:tr>
      <w:tr w:rsidR="002B574D" w:rsidRPr="00EF2265" w:rsidTr="00B15B10">
        <w:trPr>
          <w:trHeight w:val="20"/>
        </w:trPr>
        <w:tc>
          <w:tcPr>
            <w:tcW w:w="1560" w:type="dxa"/>
            <w:vMerge/>
            <w:tcBorders>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1417" w:type="dxa"/>
            <w:vMerge/>
            <w:tcBorders>
              <w:top w:val="nil"/>
              <w:left w:val="single" w:sz="4" w:space="0" w:color="auto"/>
              <w:bottom w:val="single" w:sz="4" w:space="0" w:color="000000"/>
              <w:right w:val="single" w:sz="4" w:space="0" w:color="auto"/>
            </w:tcBorders>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významný reprezentant STU v športe</w:t>
            </w:r>
          </w:p>
        </w:tc>
        <w:tc>
          <w:tcPr>
            <w:tcW w:w="116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975</w:t>
            </w:r>
          </w:p>
        </w:tc>
      </w:tr>
      <w:tr w:rsidR="002B574D" w:rsidRPr="00EF2265" w:rsidTr="00B15B10">
        <w:trPr>
          <w:trHeight w:val="20"/>
        </w:trPr>
        <w:tc>
          <w:tcPr>
            <w:tcW w:w="1560" w:type="dxa"/>
            <w:vMerge/>
            <w:tcBorders>
              <w:left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1417" w:type="dxa"/>
            <w:vMerge/>
            <w:tcBorders>
              <w:top w:val="nil"/>
              <w:left w:val="single" w:sz="4" w:space="0" w:color="auto"/>
              <w:bottom w:val="single" w:sz="4" w:space="0" w:color="000000"/>
              <w:right w:val="single" w:sz="4" w:space="0" w:color="auto"/>
            </w:tcBorders>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3260" w:type="dxa"/>
            <w:tcBorders>
              <w:top w:val="nil"/>
              <w:left w:val="nil"/>
              <w:bottom w:val="single" w:sz="4" w:space="0" w:color="auto"/>
              <w:right w:val="single" w:sz="4" w:space="0" w:color="auto"/>
            </w:tcBorders>
            <w:shd w:val="clear" w:color="auto" w:fill="auto"/>
            <w:vAlign w:val="bottom"/>
            <w:hideMark/>
          </w:tcPr>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významný reprezentant STU v umení</w:t>
            </w:r>
          </w:p>
        </w:tc>
        <w:tc>
          <w:tcPr>
            <w:tcW w:w="1160"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13</w:t>
            </w:r>
          </w:p>
        </w:tc>
        <w:tc>
          <w:tcPr>
            <w:tcW w:w="2101"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4 225</w:t>
            </w:r>
          </w:p>
        </w:tc>
      </w:tr>
      <w:tr w:rsidR="002B574D" w:rsidRPr="00EF2265" w:rsidTr="00B15B10">
        <w:trPr>
          <w:trHeight w:val="20"/>
        </w:trPr>
        <w:tc>
          <w:tcPr>
            <w:tcW w:w="1560" w:type="dxa"/>
            <w:vMerge/>
            <w:tcBorders>
              <w:left w:val="single" w:sz="4" w:space="0" w:color="auto"/>
              <w:bottom w:val="single" w:sz="4" w:space="0" w:color="auto"/>
              <w:right w:val="single" w:sz="4" w:space="0" w:color="auto"/>
            </w:tcBorders>
            <w:shd w:val="clear" w:color="auto" w:fill="auto"/>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p>
        </w:tc>
        <w:tc>
          <w:tcPr>
            <w:tcW w:w="4677" w:type="dxa"/>
            <w:gridSpan w:val="2"/>
            <w:tcBorders>
              <w:top w:val="single" w:sz="4" w:space="0" w:color="auto"/>
              <w:left w:val="nil"/>
              <w:bottom w:val="single" w:sz="4" w:space="0" w:color="auto"/>
              <w:right w:val="single" w:sz="4" w:space="0" w:color="auto"/>
            </w:tcBorders>
            <w:shd w:val="clear" w:color="auto" w:fill="EEECE1" w:themeFill="background2"/>
            <w:vAlign w:val="bottom"/>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 z prostriedkov štátneho rozpočtu</w:t>
            </w:r>
          </w:p>
        </w:tc>
        <w:tc>
          <w:tcPr>
            <w:tcW w:w="1160" w:type="dxa"/>
            <w:tcBorders>
              <w:top w:val="nil"/>
              <w:left w:val="nil"/>
              <w:bottom w:val="single" w:sz="4" w:space="0" w:color="auto"/>
              <w:right w:val="single" w:sz="4" w:space="0" w:color="auto"/>
            </w:tcBorders>
            <w:shd w:val="clear" w:color="auto" w:fill="EEECE1" w:themeFill="background2"/>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53</w:t>
            </w:r>
          </w:p>
        </w:tc>
        <w:tc>
          <w:tcPr>
            <w:tcW w:w="2101" w:type="dxa"/>
            <w:tcBorders>
              <w:top w:val="nil"/>
              <w:left w:val="nil"/>
              <w:bottom w:val="single" w:sz="4" w:space="0" w:color="auto"/>
              <w:right w:val="single" w:sz="4" w:space="0" w:color="auto"/>
            </w:tcBorders>
            <w:shd w:val="clear" w:color="auto" w:fill="EEECE1" w:themeFill="background2"/>
            <w:noWrap/>
            <w:vAlign w:val="bottom"/>
            <w:hideMark/>
          </w:tcPr>
          <w:p w:rsidR="002B574D" w:rsidRPr="00EF2265" w:rsidRDefault="002B574D"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17 132</w:t>
            </w:r>
          </w:p>
        </w:tc>
      </w:tr>
      <w:tr w:rsidR="002B574D" w:rsidRPr="00EF2265" w:rsidTr="00B15B10">
        <w:trPr>
          <w:trHeight w:val="20"/>
        </w:trPr>
        <w:tc>
          <w:tcPr>
            <w:tcW w:w="6237" w:type="dxa"/>
            <w:gridSpan w:val="3"/>
            <w:tcBorders>
              <w:top w:val="nil"/>
              <w:left w:val="single" w:sz="4" w:space="0" w:color="auto"/>
              <w:bottom w:val="single" w:sz="4" w:space="0" w:color="auto"/>
              <w:right w:val="single" w:sz="4" w:space="0" w:color="000000"/>
            </w:tcBorders>
            <w:shd w:val="clear" w:color="auto" w:fill="DDD9C3" w:themeFill="background2" w:themeFillShade="E6"/>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1160" w:type="dxa"/>
            <w:tcBorders>
              <w:top w:val="nil"/>
              <w:left w:val="nil"/>
              <w:bottom w:val="single" w:sz="4" w:space="0" w:color="auto"/>
              <w:right w:val="single" w:sz="4" w:space="0" w:color="auto"/>
            </w:tcBorders>
            <w:shd w:val="clear" w:color="auto" w:fill="DDD9C3" w:themeFill="background2" w:themeFillShade="E6"/>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136</w:t>
            </w:r>
          </w:p>
        </w:tc>
        <w:tc>
          <w:tcPr>
            <w:tcW w:w="2101" w:type="dxa"/>
            <w:tcBorders>
              <w:top w:val="nil"/>
              <w:left w:val="nil"/>
              <w:bottom w:val="single" w:sz="4" w:space="0" w:color="auto"/>
              <w:right w:val="single" w:sz="4" w:space="0" w:color="auto"/>
            </w:tcBorders>
            <w:shd w:val="clear" w:color="auto" w:fill="DDD9C3" w:themeFill="background2" w:themeFillShade="E6"/>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39 746</w:t>
            </w:r>
          </w:p>
        </w:tc>
      </w:tr>
    </w:tbl>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Vysvetlivky: </w:t>
      </w:r>
    </w:p>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 študentov/absolventov - predstavuje počet poskytnutých štipendií, každý študent/absolvent je započítaný toľkokrát, koľko štipendií mu bolo poskytnuté</w:t>
      </w:r>
    </w:p>
    <w:p w:rsidR="002B574D" w:rsidRPr="00EF2265" w:rsidRDefault="002B574D" w:rsidP="00E86605">
      <w:pPr>
        <w:tabs>
          <w:tab w:val="left" w:pos="9356"/>
        </w:tabs>
        <w:jc w:val="left"/>
        <w:rPr>
          <w:rFonts w:ascii="Times New Roman" w:eastAsia="Times New Roman" w:hAnsi="Times New Roman"/>
          <w:sz w:val="20"/>
          <w:szCs w:val="20"/>
          <w:lang w:eastAsia="sk-SK"/>
        </w:rPr>
      </w:pPr>
    </w:p>
    <w:p w:rsidR="00F94172" w:rsidRDefault="002B574D"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V porovnaní s  rokom 2017 bolo rektorom priznaných </w:t>
      </w:r>
      <w:r w:rsidRPr="00EF2265">
        <w:rPr>
          <w:rFonts w:ascii="Times New Roman" w:hAnsi="Times New Roman"/>
          <w:b/>
          <w:sz w:val="20"/>
          <w:szCs w:val="20"/>
        </w:rPr>
        <w:t xml:space="preserve">o 12 </w:t>
      </w:r>
      <w:r w:rsidRPr="00EF2265">
        <w:rPr>
          <w:rFonts w:ascii="Times New Roman" w:hAnsi="Times New Roman"/>
          <w:sz w:val="20"/>
          <w:szCs w:val="20"/>
        </w:rPr>
        <w:t xml:space="preserve">motivačných štipendií za mimoriadne výsledky </w:t>
      </w:r>
      <w:r w:rsidRPr="00EF2265">
        <w:rPr>
          <w:rFonts w:ascii="Times New Roman" w:hAnsi="Times New Roman"/>
          <w:b/>
          <w:sz w:val="20"/>
          <w:szCs w:val="20"/>
        </w:rPr>
        <w:t>viac</w:t>
      </w:r>
      <w:r w:rsidRPr="00EF2265">
        <w:rPr>
          <w:rFonts w:ascii="Times New Roman" w:hAnsi="Times New Roman"/>
          <w:sz w:val="20"/>
          <w:szCs w:val="20"/>
        </w:rPr>
        <w:t xml:space="preserve">, pričom celková </w:t>
      </w:r>
      <w:r w:rsidRPr="00EF2265">
        <w:rPr>
          <w:rFonts w:ascii="Times New Roman" w:hAnsi="Times New Roman"/>
          <w:b/>
          <w:sz w:val="20"/>
          <w:szCs w:val="20"/>
        </w:rPr>
        <w:t>výška poskytnutých štipendií bola vyššia o 1 545 €</w:t>
      </w:r>
      <w:r w:rsidRPr="00EF2265">
        <w:rPr>
          <w:rFonts w:ascii="Times New Roman" w:hAnsi="Times New Roman"/>
          <w:sz w:val="20"/>
          <w:szCs w:val="20"/>
        </w:rPr>
        <w:t xml:space="preserve">. Naopak mimoriadnych štipendií z vlastných zdrojov STU bolo poskytnutých </w:t>
      </w:r>
      <w:r w:rsidRPr="00EF2265">
        <w:rPr>
          <w:rFonts w:ascii="Times New Roman" w:hAnsi="Times New Roman"/>
          <w:b/>
          <w:sz w:val="20"/>
          <w:szCs w:val="20"/>
        </w:rPr>
        <w:t>o 39 menej</w:t>
      </w:r>
      <w:r w:rsidRPr="00EF2265">
        <w:rPr>
          <w:rFonts w:ascii="Times New Roman" w:hAnsi="Times New Roman"/>
          <w:sz w:val="20"/>
          <w:szCs w:val="20"/>
        </w:rPr>
        <w:t xml:space="preserve"> v celkovej výške </w:t>
      </w:r>
      <w:r w:rsidRPr="00EF2265">
        <w:rPr>
          <w:rFonts w:ascii="Times New Roman" w:hAnsi="Times New Roman"/>
          <w:b/>
          <w:sz w:val="20"/>
          <w:szCs w:val="20"/>
        </w:rPr>
        <w:t xml:space="preserve">nižšej o 4 518 €, </w:t>
      </w:r>
      <w:r w:rsidRPr="00EF2265">
        <w:rPr>
          <w:rFonts w:ascii="Times New Roman" w:hAnsi="Times New Roman"/>
          <w:sz w:val="20"/>
          <w:szCs w:val="20"/>
        </w:rPr>
        <w:t xml:space="preserve">pričom tento pokles súvisí s naakumulovanými finančnými prostriedkami v štipendijnom fonde rektora, ktorý je tvorený okrem dotácie zo štátneho rozpočtu aj z odvodov fakúlt z príjmov zo školného. Zároveň mimoriadne štipendiá z vlastných zdrojov za významnú činnosť konanú v prospech STU (účasť na veľtrhoch Akadémia-Vapac, Gaudeamus, Proeduco Košice v roku 2018) v celkovej vo výške 3 000 € sa z časových dôvodov nestihli študentom vyplatiť do konca roku 2018 a budú im poskytnuté začiatkom roku 2019. </w:t>
      </w:r>
    </w:p>
    <w:p w:rsidR="002B574D" w:rsidRPr="00EF2265" w:rsidRDefault="002B574D" w:rsidP="00E86605">
      <w:pPr>
        <w:tabs>
          <w:tab w:val="left" w:pos="9356"/>
        </w:tabs>
        <w:jc w:val="left"/>
        <w:rPr>
          <w:rFonts w:ascii="Times New Roman" w:hAnsi="Times New Roman"/>
          <w:sz w:val="20"/>
          <w:szCs w:val="20"/>
        </w:rPr>
      </w:pPr>
    </w:p>
    <w:p w:rsidR="002B574D" w:rsidRPr="00EF2265" w:rsidRDefault="002B574D" w:rsidP="00E86605">
      <w:pPr>
        <w:pStyle w:val="Nadpis2"/>
        <w:numPr>
          <w:ilvl w:val="1"/>
          <w:numId w:val="51"/>
        </w:numPr>
        <w:tabs>
          <w:tab w:val="left" w:pos="9356"/>
        </w:tabs>
        <w:ind w:left="0" w:firstLine="0"/>
        <w:rPr>
          <w:rFonts w:ascii="Times New Roman" w:hAnsi="Times New Roman" w:cs="Times New Roman"/>
          <w:color w:val="auto"/>
          <w:sz w:val="20"/>
          <w:szCs w:val="20"/>
          <w:shd w:val="clear" w:color="auto" w:fill="FFFFFF"/>
        </w:rPr>
      </w:pPr>
      <w:bookmarkStart w:id="227" w:name="_Toc534722898"/>
      <w:r w:rsidRPr="00EF2265">
        <w:rPr>
          <w:rFonts w:ascii="Times New Roman" w:hAnsi="Times New Roman" w:cs="Times New Roman"/>
          <w:color w:val="auto"/>
          <w:sz w:val="20"/>
          <w:szCs w:val="20"/>
          <w:shd w:val="clear" w:color="auto" w:fill="FFFFFF"/>
        </w:rPr>
        <w:t>Pôžičky</w:t>
      </w:r>
      <w:bookmarkEnd w:id="227"/>
      <w:r w:rsidRPr="00EF2265">
        <w:rPr>
          <w:rFonts w:ascii="Times New Roman" w:hAnsi="Times New Roman" w:cs="Times New Roman"/>
          <w:color w:val="auto"/>
          <w:sz w:val="20"/>
          <w:szCs w:val="20"/>
          <w:shd w:val="clear" w:color="auto" w:fill="FFFFFF"/>
        </w:rPr>
        <w:t xml:space="preserve"> </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Fond na podporu vzdelávania poskytuje pôžičky študentom denného a externého štúdia študujúcim na všetkých stupňoch štúdia na slovenských a zahraničných vysokých školách, ktorí majú trvalý pobyt v Slovenskej republike alebo majú postavenie Slováka žijúceho v zahraničí alebo sú občanmi Európskej únie, ktorí majú právo na trvalý pobyt na území Slovenskej republiky alebo ich rodinným príslušníkom s právom na trvalý pobyt. Pôžičky sú určené na úhradu časti nákladov na vysokoškolské štúdium. Študenti sa môžu uchádzať o pôžičku prostredníctvom podania žiadosti priamo na Fond na podporu vzdelávania. Počet pridelených pôžičiek študentom jednotlivých súčastí STU za posledných päť akademických rokov je sumarizovaný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_Ref474778517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46</w:t>
      </w:r>
      <w:r w:rsidRPr="00EF2265">
        <w:rPr>
          <w:rFonts w:ascii="Times New Roman" w:hAnsi="Times New Roman"/>
          <w:sz w:val="20"/>
          <w:szCs w:val="20"/>
        </w:rPr>
        <w:fldChar w:fldCharType="end"/>
      </w:r>
      <w:r w:rsidRPr="00EF2265">
        <w:rPr>
          <w:rFonts w:ascii="Times New Roman" w:hAnsi="Times New Roman"/>
          <w:sz w:val="20"/>
          <w:szCs w:val="20"/>
        </w:rPr>
        <w:t xml:space="preserve">. </w:t>
      </w:r>
    </w:p>
    <w:p w:rsidR="002B574D" w:rsidRPr="00EF2265" w:rsidRDefault="002B574D" w:rsidP="00E86605">
      <w:pPr>
        <w:tabs>
          <w:tab w:val="left" w:pos="9356"/>
        </w:tabs>
        <w:jc w:val="left"/>
        <w:rPr>
          <w:rFonts w:ascii="Times New Roman" w:hAnsi="Times New Roman"/>
          <w:sz w:val="20"/>
          <w:szCs w:val="20"/>
        </w:rPr>
      </w:pPr>
      <w:bookmarkStart w:id="228" w:name="_Ref474778517"/>
      <w:bookmarkStart w:id="229" w:name="_Toc534793985"/>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46</w:t>
      </w:r>
      <w:r w:rsidRPr="00EF2265">
        <w:rPr>
          <w:rFonts w:ascii="Times New Roman" w:hAnsi="Times New Roman"/>
          <w:sz w:val="20"/>
          <w:szCs w:val="20"/>
        </w:rPr>
        <w:fldChar w:fldCharType="end"/>
      </w:r>
      <w:bookmarkEnd w:id="228"/>
      <w:r w:rsidRPr="00EF2265">
        <w:rPr>
          <w:rFonts w:ascii="Times New Roman" w:hAnsi="Times New Roman"/>
          <w:sz w:val="20"/>
          <w:szCs w:val="20"/>
        </w:rPr>
        <w:t>: Pridelené pôžičky študentom za ostatných päť akademických rokov</w:t>
      </w:r>
      <w:bookmarkEnd w:id="229"/>
    </w:p>
    <w:tbl>
      <w:tblPr>
        <w:tblW w:w="7737" w:type="dxa"/>
        <w:tblInd w:w="55" w:type="dxa"/>
        <w:tblLayout w:type="fixed"/>
        <w:tblCellMar>
          <w:left w:w="70" w:type="dxa"/>
          <w:right w:w="70" w:type="dxa"/>
        </w:tblCellMar>
        <w:tblLook w:val="04A0" w:firstRow="1" w:lastRow="0" w:firstColumn="1" w:lastColumn="0" w:noHBand="0" w:noVBand="1"/>
      </w:tblPr>
      <w:tblGrid>
        <w:gridCol w:w="1074"/>
        <w:gridCol w:w="1332"/>
        <w:gridCol w:w="1333"/>
        <w:gridCol w:w="1332"/>
        <w:gridCol w:w="1333"/>
        <w:gridCol w:w="1333"/>
      </w:tblGrid>
      <w:tr w:rsidR="002B574D" w:rsidRPr="00EF2265" w:rsidTr="00B15B10">
        <w:trPr>
          <w:trHeight w:val="255"/>
        </w:trPr>
        <w:tc>
          <w:tcPr>
            <w:tcW w:w="1074" w:type="dxa"/>
            <w:tcBorders>
              <w:top w:val="single" w:sz="4" w:space="0" w:color="auto"/>
              <w:left w:val="single" w:sz="4" w:space="0" w:color="auto"/>
              <w:bottom w:val="nil"/>
              <w:right w:val="single" w:sz="4" w:space="0" w:color="auto"/>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Fakulta</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2013/2014</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2014/2015</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2015/2016</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2016/2017</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2017/2018</w:t>
            </w:r>
          </w:p>
        </w:tc>
      </w:tr>
      <w:tr w:rsidR="002B574D" w:rsidRPr="00EF2265" w:rsidTr="00B15B10">
        <w:trPr>
          <w:trHeight w:val="25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53</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51</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37</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27</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19</w:t>
            </w:r>
          </w:p>
        </w:tc>
      </w:tr>
      <w:tr w:rsidR="002B574D" w:rsidRPr="00EF2265" w:rsidTr="00B15B10">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20</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12</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9</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11</w:t>
            </w:r>
          </w:p>
        </w:tc>
      </w:tr>
      <w:tr w:rsidR="002B574D" w:rsidRPr="00EF2265" w:rsidTr="00B15B10">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22</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23</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29</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22</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22</w:t>
            </w:r>
          </w:p>
        </w:tc>
      </w:tr>
      <w:tr w:rsidR="002B574D" w:rsidRPr="00EF2265" w:rsidTr="00B15B10">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25</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24</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12</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11</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16</w:t>
            </w:r>
          </w:p>
        </w:tc>
      </w:tr>
      <w:tr w:rsidR="002B574D" w:rsidRPr="00EF2265" w:rsidTr="00B15B10">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16</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23</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15</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14</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w:t>
            </w:r>
          </w:p>
        </w:tc>
      </w:tr>
      <w:tr w:rsidR="002B574D" w:rsidRPr="00EF2265" w:rsidTr="00B15B10">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38</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35</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22</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21</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20</w:t>
            </w:r>
          </w:p>
        </w:tc>
      </w:tr>
      <w:tr w:rsidR="002B574D" w:rsidRPr="00EF2265" w:rsidTr="00B15B10">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21</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16</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7</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10</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6</w:t>
            </w:r>
          </w:p>
        </w:tc>
      </w:tr>
      <w:tr w:rsidR="002B574D" w:rsidRPr="00EF2265" w:rsidTr="00B15B10">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3</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w:t>
            </w:r>
          </w:p>
        </w:tc>
        <w:tc>
          <w:tcPr>
            <w:tcW w:w="1332"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5</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0</w:t>
            </w:r>
          </w:p>
        </w:tc>
        <w:tc>
          <w:tcPr>
            <w:tcW w:w="1333" w:type="dxa"/>
            <w:tcBorders>
              <w:top w:val="nil"/>
              <w:left w:val="nil"/>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1</w:t>
            </w:r>
          </w:p>
        </w:tc>
      </w:tr>
      <w:tr w:rsidR="002B574D" w:rsidRPr="00EF2265" w:rsidTr="00B15B10">
        <w:trPr>
          <w:trHeight w:val="255"/>
        </w:trPr>
        <w:tc>
          <w:tcPr>
            <w:tcW w:w="1074"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rsidR="002B574D" w:rsidRPr="00EF2265" w:rsidRDefault="002B574D"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STU</w:t>
            </w:r>
          </w:p>
        </w:tc>
        <w:tc>
          <w:tcPr>
            <w:tcW w:w="1332" w:type="dxa"/>
            <w:tcBorders>
              <w:top w:val="nil"/>
              <w:left w:val="nil"/>
              <w:bottom w:val="single" w:sz="4" w:space="0" w:color="auto"/>
              <w:right w:val="single" w:sz="4" w:space="0" w:color="auto"/>
            </w:tcBorders>
            <w:shd w:val="clear" w:color="auto" w:fill="DDD9C3" w:themeFill="background2" w:themeFillShade="E6"/>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198</w:t>
            </w:r>
          </w:p>
        </w:tc>
        <w:tc>
          <w:tcPr>
            <w:tcW w:w="1333" w:type="dxa"/>
            <w:tcBorders>
              <w:top w:val="nil"/>
              <w:left w:val="nil"/>
              <w:bottom w:val="single" w:sz="4" w:space="0" w:color="auto"/>
              <w:right w:val="single" w:sz="4" w:space="0" w:color="auto"/>
            </w:tcBorders>
            <w:shd w:val="clear" w:color="auto" w:fill="DDD9C3" w:themeFill="background2" w:themeFillShade="E6"/>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185</w:t>
            </w:r>
          </w:p>
        </w:tc>
        <w:tc>
          <w:tcPr>
            <w:tcW w:w="1332" w:type="dxa"/>
            <w:tcBorders>
              <w:top w:val="nil"/>
              <w:left w:val="nil"/>
              <w:bottom w:val="single" w:sz="4" w:space="0" w:color="auto"/>
              <w:right w:val="single" w:sz="4" w:space="0" w:color="auto"/>
            </w:tcBorders>
            <w:shd w:val="clear" w:color="auto" w:fill="DDD9C3" w:themeFill="background2" w:themeFillShade="E6"/>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136</w:t>
            </w:r>
          </w:p>
        </w:tc>
        <w:tc>
          <w:tcPr>
            <w:tcW w:w="1333" w:type="dxa"/>
            <w:tcBorders>
              <w:top w:val="nil"/>
              <w:left w:val="nil"/>
              <w:bottom w:val="single" w:sz="4" w:space="0" w:color="auto"/>
              <w:right w:val="single" w:sz="4" w:space="0" w:color="auto"/>
            </w:tcBorders>
            <w:shd w:val="clear" w:color="auto" w:fill="DDD9C3" w:themeFill="background2" w:themeFillShade="E6"/>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110</w:t>
            </w:r>
          </w:p>
        </w:tc>
        <w:tc>
          <w:tcPr>
            <w:tcW w:w="1333" w:type="dxa"/>
            <w:tcBorders>
              <w:top w:val="nil"/>
              <w:left w:val="nil"/>
              <w:bottom w:val="single" w:sz="4" w:space="0" w:color="auto"/>
              <w:right w:val="single" w:sz="4" w:space="0" w:color="auto"/>
            </w:tcBorders>
            <w:shd w:val="clear" w:color="auto" w:fill="DDD9C3" w:themeFill="background2" w:themeFillShade="E6"/>
            <w:noWrap/>
            <w:vAlign w:val="center"/>
            <w:hideMark/>
          </w:tcPr>
          <w:p w:rsidR="002B574D" w:rsidRPr="00EF2265" w:rsidRDefault="002B574D" w:rsidP="00E86605">
            <w:pPr>
              <w:jc w:val="left"/>
              <w:rPr>
                <w:rFonts w:ascii="Times New Roman" w:hAnsi="Times New Roman"/>
                <w:b/>
                <w:bCs/>
                <w:sz w:val="20"/>
                <w:szCs w:val="20"/>
              </w:rPr>
            </w:pPr>
            <w:r w:rsidRPr="00EF2265">
              <w:rPr>
                <w:rFonts w:ascii="Times New Roman" w:hAnsi="Times New Roman"/>
                <w:b/>
                <w:bCs/>
                <w:sz w:val="20"/>
                <w:szCs w:val="20"/>
              </w:rPr>
              <w:t>102</w:t>
            </w:r>
          </w:p>
        </w:tc>
      </w:tr>
    </w:tbl>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Vysvetlivky:</w:t>
      </w:r>
    </w:p>
    <w:p w:rsidR="002B574D" w:rsidRPr="00EF2265" w:rsidRDefault="002B574D"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Zdroj: Fond na podporu vzdelávania</w:t>
      </w:r>
    </w:p>
    <w:p w:rsidR="002B574D" w:rsidRPr="00EF2265" w:rsidRDefault="002B574D" w:rsidP="00E86605">
      <w:pPr>
        <w:jc w:val="left"/>
        <w:rPr>
          <w:rFonts w:ascii="Times New Roman" w:hAnsi="Times New Roman"/>
          <w:b/>
          <w:bCs/>
          <w:sz w:val="20"/>
          <w:szCs w:val="20"/>
          <w:shd w:val="clear" w:color="auto" w:fill="FFFFFF"/>
        </w:rPr>
      </w:pPr>
    </w:p>
    <w:p w:rsidR="002B574D" w:rsidRPr="00EF2265" w:rsidRDefault="002B574D" w:rsidP="00E86605">
      <w:pPr>
        <w:jc w:val="left"/>
        <w:rPr>
          <w:rFonts w:ascii="Times New Roman" w:hAnsi="Times New Roman"/>
          <w:b/>
          <w:bCs/>
          <w:sz w:val="20"/>
          <w:szCs w:val="20"/>
          <w:shd w:val="clear" w:color="auto" w:fill="FFFFFF"/>
        </w:rPr>
      </w:pPr>
    </w:p>
    <w:p w:rsidR="002B574D" w:rsidRPr="00EF2265" w:rsidRDefault="002B574D" w:rsidP="00E86605">
      <w:pPr>
        <w:pStyle w:val="Nadpis2"/>
        <w:numPr>
          <w:ilvl w:val="1"/>
          <w:numId w:val="51"/>
        </w:numPr>
        <w:tabs>
          <w:tab w:val="left" w:pos="9356"/>
        </w:tabs>
        <w:ind w:left="0" w:firstLine="0"/>
        <w:rPr>
          <w:rFonts w:ascii="Times New Roman" w:hAnsi="Times New Roman" w:cs="Times New Roman"/>
          <w:color w:val="auto"/>
          <w:sz w:val="20"/>
          <w:szCs w:val="20"/>
          <w:shd w:val="clear" w:color="auto" w:fill="FFFFFF"/>
        </w:rPr>
      </w:pPr>
      <w:bookmarkStart w:id="230" w:name="_Toc534722899"/>
      <w:r w:rsidRPr="00EF2265">
        <w:rPr>
          <w:rFonts w:ascii="Times New Roman" w:hAnsi="Times New Roman" w:cs="Times New Roman"/>
          <w:color w:val="auto"/>
          <w:sz w:val="20"/>
          <w:szCs w:val="20"/>
          <w:shd w:val="clear" w:color="auto" w:fill="FFFFFF"/>
        </w:rPr>
        <w:t>Ubytovanie študentov</w:t>
      </w:r>
      <w:bookmarkEnd w:id="230"/>
    </w:p>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STU mala v roku 2018 pre ubytovanie študentov k dispozícii šesť študentských domovov na území mesta Bratislava. Ubytovacia kapacita jednotlivých internátov pre študentov prvého a druhého stupňa štúdia a doktorandov bola:</w:t>
      </w:r>
    </w:p>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 od 1. 1. 2018 do 31. 8. 2018 nasledovná:</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Mladá Garda</w:t>
      </w:r>
      <w:r w:rsidRPr="00EF2265">
        <w:rPr>
          <w:rFonts w:ascii="Times New Roman" w:hAnsi="Times New Roman"/>
          <w:sz w:val="20"/>
          <w:szCs w:val="20"/>
        </w:rPr>
        <w:tab/>
        <w:t>1 379 lôžok</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Nikosa Belojanisa</w:t>
      </w:r>
      <w:r w:rsidRPr="00EF2265">
        <w:rPr>
          <w:rFonts w:ascii="Times New Roman" w:hAnsi="Times New Roman"/>
          <w:sz w:val="20"/>
          <w:szCs w:val="20"/>
        </w:rPr>
        <w:tab/>
        <w:t>205 lôžok</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Jura Hronca</w:t>
      </w:r>
      <w:r w:rsidRPr="00EF2265">
        <w:rPr>
          <w:rFonts w:ascii="Times New Roman" w:hAnsi="Times New Roman"/>
          <w:sz w:val="20"/>
          <w:szCs w:val="20"/>
        </w:rPr>
        <w:tab/>
        <w:t>896 lôžok</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Mladosť</w:t>
      </w:r>
      <w:r w:rsidRPr="00EF2265">
        <w:rPr>
          <w:rFonts w:ascii="Times New Roman" w:hAnsi="Times New Roman"/>
          <w:sz w:val="20"/>
          <w:szCs w:val="20"/>
        </w:rPr>
        <w:tab/>
        <w:t>2 024 lôžok</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Dobrovičova</w:t>
      </w:r>
      <w:r w:rsidRPr="00EF2265">
        <w:rPr>
          <w:rFonts w:ascii="Times New Roman" w:hAnsi="Times New Roman"/>
          <w:sz w:val="20"/>
          <w:szCs w:val="20"/>
        </w:rPr>
        <w:tab/>
        <w:t>529 lôžok</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Akademik</w:t>
      </w:r>
      <w:r w:rsidRPr="00EF2265">
        <w:rPr>
          <w:rFonts w:ascii="Times New Roman" w:hAnsi="Times New Roman"/>
          <w:sz w:val="20"/>
          <w:szCs w:val="20"/>
        </w:rPr>
        <w:tab/>
        <w:t>92 lôžok</w:t>
      </w:r>
    </w:p>
    <w:p w:rsidR="002B574D" w:rsidRPr="00EF2265" w:rsidRDefault="002B574D" w:rsidP="00E86605">
      <w:pPr>
        <w:tabs>
          <w:tab w:val="right" w:pos="4680"/>
          <w:tab w:val="right" w:pos="7380"/>
        </w:tabs>
        <w:spacing w:after="120"/>
        <w:ind w:left="425"/>
        <w:jc w:val="left"/>
        <w:rPr>
          <w:rFonts w:ascii="Times New Roman" w:hAnsi="Times New Roman"/>
          <w:b/>
          <w:bCs/>
          <w:sz w:val="20"/>
          <w:szCs w:val="20"/>
        </w:rPr>
      </w:pPr>
      <w:r w:rsidRPr="00EF2265">
        <w:rPr>
          <w:rFonts w:ascii="Times New Roman" w:hAnsi="Times New Roman"/>
          <w:b/>
          <w:bCs/>
          <w:sz w:val="20"/>
          <w:szCs w:val="20"/>
        </w:rPr>
        <w:t>Spolu</w:t>
      </w:r>
      <w:r w:rsidRPr="00EF2265">
        <w:rPr>
          <w:rFonts w:ascii="Times New Roman" w:hAnsi="Times New Roman"/>
          <w:b/>
          <w:bCs/>
          <w:sz w:val="20"/>
          <w:szCs w:val="20"/>
        </w:rPr>
        <w:tab/>
        <w:t>5 125 lôžok</w:t>
      </w:r>
    </w:p>
    <w:p w:rsidR="002B574D" w:rsidRPr="00EF2265" w:rsidRDefault="002B574D" w:rsidP="00E86605">
      <w:pPr>
        <w:tabs>
          <w:tab w:val="right" w:pos="4680"/>
          <w:tab w:val="right" w:pos="7380"/>
        </w:tabs>
        <w:jc w:val="left"/>
        <w:rPr>
          <w:rFonts w:ascii="Times New Roman" w:hAnsi="Times New Roman"/>
          <w:sz w:val="20"/>
          <w:szCs w:val="20"/>
        </w:rPr>
      </w:pPr>
      <w:r w:rsidRPr="00EF2265">
        <w:rPr>
          <w:rFonts w:ascii="Times New Roman" w:hAnsi="Times New Roman"/>
          <w:sz w:val="20"/>
          <w:szCs w:val="20"/>
        </w:rPr>
        <w:t>Od 1. 9. 2018 do 31. 12. 2018 sa ubytovacia kapacita zvýšila na úkor zamestnaneckej a hosťovskej kapacity nasledovne:</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Mladá Garda</w:t>
      </w:r>
      <w:r w:rsidRPr="00EF2265">
        <w:rPr>
          <w:rFonts w:ascii="Times New Roman" w:hAnsi="Times New Roman"/>
          <w:sz w:val="20"/>
          <w:szCs w:val="20"/>
        </w:rPr>
        <w:tab/>
        <w:t>1 385 lôžok</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Nikosa Belojanisa</w:t>
      </w:r>
      <w:r w:rsidRPr="00EF2265">
        <w:rPr>
          <w:rFonts w:ascii="Times New Roman" w:hAnsi="Times New Roman"/>
          <w:sz w:val="20"/>
          <w:szCs w:val="20"/>
        </w:rPr>
        <w:tab/>
        <w:t>205 lôžok</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Jura Hronca</w:t>
      </w:r>
      <w:r w:rsidRPr="00EF2265">
        <w:rPr>
          <w:rFonts w:ascii="Times New Roman" w:hAnsi="Times New Roman"/>
          <w:sz w:val="20"/>
          <w:szCs w:val="20"/>
        </w:rPr>
        <w:tab/>
        <w:t>896 lôžok</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Mladosť</w:t>
      </w:r>
      <w:r w:rsidRPr="00EF2265">
        <w:rPr>
          <w:rFonts w:ascii="Times New Roman" w:hAnsi="Times New Roman"/>
          <w:sz w:val="20"/>
          <w:szCs w:val="20"/>
        </w:rPr>
        <w:tab/>
        <w:t>2 034 lôžok</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Dobrovičova</w:t>
      </w:r>
      <w:r w:rsidRPr="00EF2265">
        <w:rPr>
          <w:rFonts w:ascii="Times New Roman" w:hAnsi="Times New Roman"/>
          <w:sz w:val="20"/>
          <w:szCs w:val="20"/>
        </w:rPr>
        <w:tab/>
        <w:t>535 lôžok</w:t>
      </w:r>
    </w:p>
    <w:p w:rsidR="002B574D" w:rsidRPr="00EF2265" w:rsidRDefault="002B574D" w:rsidP="00E86605">
      <w:pPr>
        <w:numPr>
          <w:ilvl w:val="0"/>
          <w:numId w:val="42"/>
        </w:numPr>
        <w:tabs>
          <w:tab w:val="clear" w:pos="720"/>
          <w:tab w:val="right" w:pos="4680"/>
          <w:tab w:val="right" w:pos="7380"/>
        </w:tabs>
        <w:ind w:left="426" w:hanging="426"/>
        <w:jc w:val="left"/>
        <w:rPr>
          <w:rFonts w:ascii="Times New Roman" w:hAnsi="Times New Roman"/>
          <w:sz w:val="20"/>
          <w:szCs w:val="20"/>
        </w:rPr>
      </w:pPr>
      <w:r w:rsidRPr="00EF2265">
        <w:rPr>
          <w:rFonts w:ascii="Times New Roman" w:hAnsi="Times New Roman"/>
          <w:sz w:val="20"/>
          <w:szCs w:val="20"/>
        </w:rPr>
        <w:t>ŠD Akademik</w:t>
      </w:r>
      <w:r w:rsidRPr="00EF2265">
        <w:rPr>
          <w:rFonts w:ascii="Times New Roman" w:hAnsi="Times New Roman"/>
          <w:sz w:val="20"/>
          <w:szCs w:val="20"/>
        </w:rPr>
        <w:tab/>
        <w:t>92 lôžok</w:t>
      </w:r>
    </w:p>
    <w:p w:rsidR="002B574D" w:rsidRPr="00EF2265" w:rsidRDefault="002B574D" w:rsidP="00E86605">
      <w:pPr>
        <w:spacing w:after="120"/>
        <w:ind w:left="425" w:hanging="425"/>
        <w:jc w:val="left"/>
        <w:rPr>
          <w:rFonts w:ascii="Times New Roman" w:hAnsi="Times New Roman"/>
          <w:b/>
          <w:bCs/>
          <w:sz w:val="20"/>
          <w:szCs w:val="20"/>
        </w:rPr>
      </w:pPr>
      <w:r w:rsidRPr="00EF2265">
        <w:rPr>
          <w:rFonts w:ascii="Times New Roman" w:hAnsi="Times New Roman"/>
          <w:b/>
          <w:bCs/>
          <w:sz w:val="20"/>
          <w:szCs w:val="20"/>
        </w:rPr>
        <w:tab/>
        <w:t>Spolu</w:t>
      </w:r>
      <w:r w:rsidRPr="00EF2265">
        <w:rPr>
          <w:rFonts w:ascii="Times New Roman" w:hAnsi="Times New Roman"/>
          <w:b/>
          <w:bCs/>
          <w:sz w:val="20"/>
          <w:szCs w:val="20"/>
        </w:rPr>
        <w:tab/>
      </w:r>
      <w:r w:rsidRPr="00EF2265">
        <w:rPr>
          <w:rFonts w:ascii="Times New Roman" w:hAnsi="Times New Roman"/>
          <w:b/>
          <w:bCs/>
          <w:sz w:val="20"/>
          <w:szCs w:val="20"/>
        </w:rPr>
        <w:tab/>
      </w:r>
      <w:r w:rsidRPr="00EF2265">
        <w:rPr>
          <w:rFonts w:ascii="Times New Roman" w:hAnsi="Times New Roman"/>
          <w:b/>
          <w:bCs/>
          <w:sz w:val="20"/>
          <w:szCs w:val="20"/>
        </w:rPr>
        <w:tab/>
      </w:r>
      <w:r w:rsidRPr="00EF2265">
        <w:rPr>
          <w:rFonts w:ascii="Times New Roman" w:hAnsi="Times New Roman"/>
          <w:b/>
          <w:bCs/>
          <w:sz w:val="20"/>
          <w:szCs w:val="20"/>
        </w:rPr>
        <w:tab/>
        <w:t>5 147 lôžok</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lastRenderedPageBreak/>
        <w:t>Ubytovanie bolo zabezpečené v jedno až trojlôžkových izbách. Na ubytovanie zamestnancov a hostí STU bolo do 31. 8. 2018 z kapacity ŠD vyčlenených 244 lôžok. Od 1. 9. 2018 to bolo 222 lôžok. V roku 2018 sa zmenili len ceny za ubytovanie študentov v novo zrekonštruovaných izbách, a to od 1. 11. 2018 v ŠD Mladá Garda a od 1. 12. 2018 v ŠD Dobrovičova. Ostatné ceny za ubytovanie zostali bez zmeny.</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t xml:space="preserve">V zmysle Dodatku č. 4 k Zmluve o poskytnutí dotácie zo štátneho rozpočtu prostredníctvom rozpočtu MŠVVaŠ SR na rok 2018 bola STU poskytnutá mimoriadna dotácia zo štátneho rozpočtu v celkovej výške 3 956 793 €, z toho 3 163 793 € na kapitálové výdavky a 793 000 € na bežné výdavky. Na základe uvedeného STU vyhlásila výberové konania na niekoľko akcií, aby bolo možné ešte v roku 2018 finančné prostriedky aj reálne čerpať. Čerpanie bolo nasledovné:  </w:t>
      </w:r>
    </w:p>
    <w:p w:rsidR="002B574D" w:rsidRPr="00EF2265" w:rsidRDefault="002B574D" w:rsidP="00E86605">
      <w:pPr>
        <w:jc w:val="left"/>
        <w:rPr>
          <w:rFonts w:ascii="Times New Roman" w:hAnsi="Times New Roman"/>
          <w:sz w:val="20"/>
          <w:szCs w:val="20"/>
          <w:u w:val="single"/>
        </w:rPr>
      </w:pPr>
      <w:r w:rsidRPr="00EF2265">
        <w:rPr>
          <w:rFonts w:ascii="Times New Roman" w:hAnsi="Times New Roman"/>
          <w:sz w:val="20"/>
          <w:szCs w:val="20"/>
          <w:u w:val="single"/>
        </w:rPr>
        <w:t>ŠD Mladosť</w:t>
      </w:r>
    </w:p>
    <w:p w:rsidR="002B574D" w:rsidRPr="00EF2265" w:rsidRDefault="002B574D" w:rsidP="00E86605">
      <w:pPr>
        <w:pStyle w:val="Odsekzoznamu"/>
        <w:numPr>
          <w:ilvl w:val="0"/>
          <w:numId w:val="44"/>
        </w:numPr>
        <w:spacing w:after="120" w:line="240" w:lineRule="auto"/>
        <w:ind w:left="426" w:hanging="426"/>
        <w:contextualSpacing w:val="0"/>
        <w:rPr>
          <w:rFonts w:ascii="Times New Roman" w:eastAsiaTheme="minorEastAsia" w:hAnsi="Times New Roman"/>
          <w:sz w:val="20"/>
          <w:szCs w:val="20"/>
          <w:lang w:eastAsia="en-US"/>
        </w:rPr>
      </w:pPr>
      <w:r w:rsidRPr="00EF2265">
        <w:rPr>
          <w:rFonts w:ascii="Times New Roman" w:eastAsiaTheme="minorEastAsia" w:hAnsi="Times New Roman"/>
          <w:sz w:val="20"/>
          <w:szCs w:val="20"/>
          <w:lang w:eastAsia="en-US"/>
        </w:rPr>
        <w:t>Na komplexnú rekonštrukciu izieb blokov A1-A4 bola pridelená účelovo určená dotácia z MŠVVaŠ SR vo výške 823 793 €. Za rok 2018 sa zrealizovali práce v hodnote 177 551 €. Rekonštrukcia bola rozdelená do dvoch etáp a ukončenie sa predpokladá do konca roka 2020.</w:t>
      </w:r>
    </w:p>
    <w:p w:rsidR="002B574D" w:rsidRPr="00EF2265" w:rsidRDefault="002B574D" w:rsidP="00E86605">
      <w:pPr>
        <w:pStyle w:val="Odsekzoznamu"/>
        <w:numPr>
          <w:ilvl w:val="0"/>
          <w:numId w:val="44"/>
        </w:numPr>
        <w:spacing w:after="120" w:line="240" w:lineRule="auto"/>
        <w:ind w:left="426" w:hanging="426"/>
        <w:contextualSpacing w:val="0"/>
        <w:rPr>
          <w:rFonts w:ascii="Times New Roman" w:eastAsiaTheme="minorEastAsia" w:hAnsi="Times New Roman"/>
          <w:sz w:val="20"/>
          <w:szCs w:val="20"/>
          <w:lang w:eastAsia="en-US"/>
        </w:rPr>
      </w:pPr>
      <w:r w:rsidRPr="00EF2265">
        <w:rPr>
          <w:rFonts w:ascii="Times New Roman" w:eastAsiaTheme="minorEastAsia" w:hAnsi="Times New Roman"/>
          <w:sz w:val="20"/>
          <w:szCs w:val="20"/>
          <w:lang w:eastAsia="en-US"/>
        </w:rPr>
        <w:t>Na komplexnú rekonštrukciu izieb blokov B1-B4 bola pridelená dotácia vo výške 543 210 €. V roku 2018 sa zrealizovali práce v hodnote 190 116 €. Ich ukončenie sa predpokladá do konca roka 2020.</w:t>
      </w:r>
    </w:p>
    <w:p w:rsidR="002B574D" w:rsidRPr="00EF2265" w:rsidRDefault="002B574D" w:rsidP="00E86605">
      <w:pPr>
        <w:pStyle w:val="Odsekzoznamu"/>
        <w:numPr>
          <w:ilvl w:val="0"/>
          <w:numId w:val="44"/>
        </w:numPr>
        <w:spacing w:after="120" w:line="240" w:lineRule="auto"/>
        <w:ind w:left="426" w:hanging="426"/>
        <w:contextualSpacing w:val="0"/>
        <w:rPr>
          <w:rFonts w:ascii="Times New Roman" w:eastAsiaTheme="minorEastAsia" w:hAnsi="Times New Roman"/>
          <w:sz w:val="20"/>
          <w:szCs w:val="20"/>
          <w:lang w:eastAsia="en-US"/>
        </w:rPr>
      </w:pPr>
      <w:r w:rsidRPr="00EF2265">
        <w:rPr>
          <w:rFonts w:ascii="Times New Roman" w:eastAsiaTheme="minorEastAsia" w:hAnsi="Times New Roman"/>
          <w:sz w:val="20"/>
          <w:szCs w:val="20"/>
          <w:lang w:eastAsia="en-US"/>
        </w:rPr>
        <w:t>Na rekonštrukciu blokov A9 a suterén A5-A8 bola pridelená dotácia vo výške 190 000 €. Rekonštrukčné práce sa uskutočnili vo výške 124 538 €. Kompletné ukončenie sa predpokladá v priebehu 1. polroka roku 2019.</w:t>
      </w:r>
    </w:p>
    <w:p w:rsidR="002B574D" w:rsidRPr="00EF2265" w:rsidRDefault="002B574D" w:rsidP="00E86605">
      <w:pPr>
        <w:pStyle w:val="Odsekzoznamu"/>
        <w:numPr>
          <w:ilvl w:val="0"/>
          <w:numId w:val="44"/>
        </w:numPr>
        <w:spacing w:after="120" w:line="240" w:lineRule="auto"/>
        <w:ind w:left="426" w:hanging="426"/>
        <w:contextualSpacing w:val="0"/>
        <w:rPr>
          <w:rFonts w:ascii="Times New Roman" w:eastAsiaTheme="minorEastAsia" w:hAnsi="Times New Roman"/>
          <w:sz w:val="20"/>
          <w:szCs w:val="20"/>
          <w:lang w:eastAsia="en-US"/>
        </w:rPr>
      </w:pPr>
      <w:r w:rsidRPr="00EF2265">
        <w:rPr>
          <w:rFonts w:ascii="Times New Roman" w:eastAsiaTheme="minorEastAsia" w:hAnsi="Times New Roman"/>
          <w:sz w:val="20"/>
          <w:szCs w:val="20"/>
          <w:lang w:eastAsia="en-US"/>
        </w:rPr>
        <w:t>Na rekonštrukciu inžinierskych sietí, komunikácií, vonkajšieho osvetlenia, parkovísk boli pridelené finančné prostriedky vo výške 391 650 €. V roku 2018 boli vykonané práce v hodnote 312 961 €, v ktorých sa bude pokračovať a ich ukončenie sa predpokladá v roku 2019.</w:t>
      </w:r>
    </w:p>
    <w:p w:rsidR="002B574D" w:rsidRPr="00EF2265" w:rsidRDefault="002B574D" w:rsidP="00E86605">
      <w:pPr>
        <w:pStyle w:val="Odsekzoznamu"/>
        <w:numPr>
          <w:ilvl w:val="0"/>
          <w:numId w:val="44"/>
        </w:numPr>
        <w:spacing w:after="120" w:line="240" w:lineRule="auto"/>
        <w:ind w:left="426" w:hanging="426"/>
        <w:contextualSpacing w:val="0"/>
        <w:rPr>
          <w:rFonts w:ascii="Times New Roman" w:hAnsi="Times New Roman"/>
          <w:sz w:val="20"/>
          <w:szCs w:val="20"/>
        </w:rPr>
      </w:pPr>
      <w:r w:rsidRPr="00EF2265">
        <w:rPr>
          <w:rFonts w:ascii="Times New Roman" w:eastAsiaTheme="minorEastAsia" w:hAnsi="Times New Roman"/>
          <w:sz w:val="20"/>
          <w:szCs w:val="20"/>
          <w:lang w:eastAsia="en-US"/>
        </w:rPr>
        <w:t>Na rekonštrukciu OST v bloku A6 a B9 bola pridelená dotácia vo výške 500 000 €. Práce boli zrealizované v hodnote 184 841 €. Rekonštrukcia je naplánovaná do dvoch etáp, z toho jedna je ukončená a druhá sa bude realizovať začiatkom leta 2019.</w:t>
      </w:r>
    </w:p>
    <w:p w:rsidR="002B574D" w:rsidRPr="00EF2265" w:rsidRDefault="002B574D" w:rsidP="00E86605">
      <w:pPr>
        <w:jc w:val="left"/>
        <w:rPr>
          <w:rFonts w:ascii="Times New Roman" w:hAnsi="Times New Roman"/>
          <w:sz w:val="20"/>
          <w:szCs w:val="20"/>
          <w:u w:val="single"/>
        </w:rPr>
      </w:pPr>
      <w:r w:rsidRPr="00EF2265">
        <w:rPr>
          <w:rFonts w:ascii="Times New Roman" w:hAnsi="Times New Roman"/>
          <w:sz w:val="20"/>
          <w:szCs w:val="20"/>
          <w:u w:val="single"/>
        </w:rPr>
        <w:t>ŠD Mladá Garda</w:t>
      </w:r>
    </w:p>
    <w:p w:rsidR="002B574D" w:rsidRPr="00EF2265" w:rsidRDefault="002B574D" w:rsidP="00E86605">
      <w:pPr>
        <w:pStyle w:val="Odsekzoznamu"/>
        <w:numPr>
          <w:ilvl w:val="0"/>
          <w:numId w:val="45"/>
        </w:numPr>
        <w:spacing w:after="120" w:line="240" w:lineRule="auto"/>
        <w:ind w:left="426" w:hanging="426"/>
        <w:contextualSpacing w:val="0"/>
        <w:rPr>
          <w:rFonts w:ascii="Times New Roman" w:hAnsi="Times New Roman"/>
          <w:sz w:val="20"/>
          <w:szCs w:val="20"/>
        </w:rPr>
      </w:pPr>
      <w:r w:rsidRPr="00EF2265">
        <w:rPr>
          <w:rFonts w:ascii="Times New Roman" w:hAnsi="Times New Roman"/>
          <w:sz w:val="20"/>
          <w:szCs w:val="20"/>
        </w:rPr>
        <w:t>Na opravu izieb a spojovacej chodby bola pridelená dotácia vo výške 679 235 €, z toho 40 000 € na kapitálové výdavky a 639 235 € na bežné výdavky. V roku 2018 sa zrealizovali práce v hodnote 435 732 €, z toho 37 428 € na kapitálové výdavky. V prácach sa bude pokračovať a ukončenie sa predpokladá do konca roka 2019.</w:t>
      </w:r>
    </w:p>
    <w:p w:rsidR="002B574D" w:rsidRPr="00EF2265" w:rsidRDefault="002B574D" w:rsidP="00E86605">
      <w:pPr>
        <w:pStyle w:val="Odsekzoznamu"/>
        <w:numPr>
          <w:ilvl w:val="0"/>
          <w:numId w:val="45"/>
        </w:numPr>
        <w:spacing w:after="120" w:line="240" w:lineRule="auto"/>
        <w:ind w:left="426" w:hanging="426"/>
        <w:contextualSpacing w:val="0"/>
        <w:rPr>
          <w:rFonts w:ascii="Times New Roman" w:hAnsi="Times New Roman"/>
          <w:sz w:val="20"/>
          <w:szCs w:val="20"/>
        </w:rPr>
      </w:pPr>
      <w:r w:rsidRPr="00EF2265">
        <w:rPr>
          <w:rFonts w:ascii="Times New Roman" w:hAnsi="Times New Roman"/>
          <w:sz w:val="20"/>
          <w:szCs w:val="20"/>
        </w:rPr>
        <w:t>Na dodávku a montáž protipožiarnych dverí boli pridelené finančné prostriedky vo výške 149 730 €, ktoré boli aj vyčerpané.</w:t>
      </w:r>
    </w:p>
    <w:p w:rsidR="002B574D" w:rsidRPr="00EF2265" w:rsidRDefault="002B574D" w:rsidP="00E86605">
      <w:pPr>
        <w:pStyle w:val="Odsekzoznamu"/>
        <w:numPr>
          <w:ilvl w:val="0"/>
          <w:numId w:val="45"/>
        </w:numPr>
        <w:spacing w:after="120" w:line="240" w:lineRule="auto"/>
        <w:ind w:left="426" w:hanging="426"/>
        <w:rPr>
          <w:rFonts w:ascii="Times New Roman" w:hAnsi="Times New Roman"/>
          <w:sz w:val="20"/>
          <w:szCs w:val="20"/>
        </w:rPr>
      </w:pPr>
      <w:r w:rsidRPr="00EF2265">
        <w:rPr>
          <w:rFonts w:ascii="Times New Roman" w:hAnsi="Times New Roman"/>
          <w:sz w:val="20"/>
          <w:szCs w:val="20"/>
        </w:rPr>
        <w:t>Na vybudovanie športového centra bola pridelená dotácia vo výške 41 140 €, z ktorej sa vyčerpalo 34 554 € a ďalej sa bude pokračovať v priebehu roku 2019.</w:t>
      </w:r>
    </w:p>
    <w:p w:rsidR="002B574D" w:rsidRPr="00EF2265" w:rsidRDefault="002B574D" w:rsidP="00E86605">
      <w:pPr>
        <w:contextualSpacing/>
        <w:jc w:val="left"/>
        <w:rPr>
          <w:rFonts w:ascii="Times New Roman" w:hAnsi="Times New Roman"/>
          <w:sz w:val="20"/>
          <w:szCs w:val="20"/>
          <w:u w:val="single"/>
        </w:rPr>
      </w:pPr>
      <w:r w:rsidRPr="00EF2265">
        <w:rPr>
          <w:rFonts w:ascii="Times New Roman" w:hAnsi="Times New Roman"/>
          <w:sz w:val="20"/>
          <w:szCs w:val="20"/>
          <w:u w:val="single"/>
        </w:rPr>
        <w:t>ŠD Jura Hronca</w:t>
      </w:r>
    </w:p>
    <w:p w:rsidR="002B574D" w:rsidRPr="00EF2265" w:rsidRDefault="002B574D" w:rsidP="00E86605">
      <w:pPr>
        <w:pStyle w:val="Odsekzoznamu"/>
        <w:numPr>
          <w:ilvl w:val="0"/>
          <w:numId w:val="46"/>
        </w:numPr>
        <w:spacing w:after="120" w:line="240" w:lineRule="auto"/>
        <w:ind w:left="426" w:hanging="426"/>
        <w:contextualSpacing w:val="0"/>
        <w:rPr>
          <w:rFonts w:ascii="Times New Roman" w:hAnsi="Times New Roman"/>
          <w:sz w:val="20"/>
          <w:szCs w:val="20"/>
        </w:rPr>
      </w:pPr>
      <w:r w:rsidRPr="00EF2265">
        <w:rPr>
          <w:rFonts w:ascii="Times New Roman" w:hAnsi="Times New Roman"/>
          <w:sz w:val="20"/>
          <w:szCs w:val="20"/>
        </w:rPr>
        <w:t>Na opravu vykurovania boli pridelené finančné prostriedky vo výške 153 765 €. Práce sa zrealizovali v roku 2018 a dotácia sa v plnej výške vyčerpala.</w:t>
      </w:r>
    </w:p>
    <w:p w:rsidR="002B574D" w:rsidRPr="00EF2265" w:rsidRDefault="002B574D" w:rsidP="00E86605">
      <w:pPr>
        <w:pStyle w:val="Odsekzoznamu"/>
        <w:numPr>
          <w:ilvl w:val="0"/>
          <w:numId w:val="46"/>
        </w:numPr>
        <w:spacing w:after="120" w:line="240" w:lineRule="auto"/>
        <w:ind w:left="426" w:hanging="426"/>
        <w:contextualSpacing w:val="0"/>
        <w:rPr>
          <w:rFonts w:ascii="Times New Roman" w:hAnsi="Times New Roman"/>
          <w:sz w:val="20"/>
          <w:szCs w:val="20"/>
        </w:rPr>
      </w:pPr>
      <w:r w:rsidRPr="00EF2265">
        <w:rPr>
          <w:rFonts w:ascii="Times New Roman" w:hAnsi="Times New Roman"/>
          <w:sz w:val="20"/>
          <w:szCs w:val="20"/>
        </w:rPr>
        <w:t>Na obnovu a modernizáciu športového centra bolo pridelené 27 408 €. Modernizácia bola skončená v roku 2018 a dotácia sa v plnej výške vyčerpala.</w:t>
      </w:r>
    </w:p>
    <w:p w:rsidR="002B574D" w:rsidRPr="00EF2265" w:rsidRDefault="002B574D" w:rsidP="00E86605">
      <w:pPr>
        <w:pStyle w:val="Odsekzoznamu"/>
        <w:numPr>
          <w:ilvl w:val="0"/>
          <w:numId w:val="46"/>
        </w:numPr>
        <w:spacing w:after="120" w:line="240" w:lineRule="auto"/>
        <w:ind w:left="426" w:hanging="426"/>
        <w:contextualSpacing w:val="0"/>
        <w:rPr>
          <w:rFonts w:ascii="Times New Roman" w:hAnsi="Times New Roman"/>
          <w:sz w:val="20"/>
          <w:szCs w:val="20"/>
        </w:rPr>
      </w:pPr>
      <w:r w:rsidRPr="00EF2265">
        <w:rPr>
          <w:rFonts w:ascii="Times New Roman" w:hAnsi="Times New Roman"/>
          <w:sz w:val="20"/>
          <w:szCs w:val="20"/>
        </w:rPr>
        <w:t xml:space="preserve">Na rekonštrukciu a zateplenie strechy boli pridelené finančné prostriedky vo výške 76 862 €. V roku 2018 bola uzatvorená zmluva a zrealizoval sa projekt rekonštrukcie a zateplenia strechy vo výške 3 878 €. Rekonštrukcia sa plánuje ukončiť v priebehu 1. polroka 2019. </w:t>
      </w:r>
    </w:p>
    <w:p w:rsidR="002B574D" w:rsidRPr="00EF2265" w:rsidRDefault="002B574D" w:rsidP="00E86605">
      <w:pPr>
        <w:jc w:val="left"/>
        <w:rPr>
          <w:rFonts w:ascii="Times New Roman" w:eastAsia="Times New Roman" w:hAnsi="Times New Roman"/>
          <w:sz w:val="20"/>
          <w:szCs w:val="20"/>
          <w:lang w:eastAsia="sk-SK"/>
        </w:rPr>
      </w:pPr>
    </w:p>
    <w:p w:rsidR="002B574D" w:rsidRPr="00EF2265" w:rsidRDefault="002B574D" w:rsidP="00E86605">
      <w:pPr>
        <w:contextualSpacing/>
        <w:jc w:val="left"/>
        <w:rPr>
          <w:rFonts w:ascii="Times New Roman" w:hAnsi="Times New Roman"/>
          <w:sz w:val="20"/>
          <w:szCs w:val="20"/>
          <w:u w:val="single"/>
        </w:rPr>
      </w:pPr>
      <w:r w:rsidRPr="00EF2265">
        <w:rPr>
          <w:rFonts w:ascii="Times New Roman" w:hAnsi="Times New Roman"/>
          <w:sz w:val="20"/>
          <w:szCs w:val="20"/>
          <w:u w:val="single"/>
        </w:rPr>
        <w:t>ŠD Dobrovičova</w:t>
      </w:r>
    </w:p>
    <w:p w:rsidR="002B574D" w:rsidRPr="00EF2265" w:rsidRDefault="002B574D" w:rsidP="00E86605">
      <w:pPr>
        <w:pStyle w:val="Odsekzoznamu"/>
        <w:numPr>
          <w:ilvl w:val="0"/>
          <w:numId w:val="47"/>
        </w:numPr>
        <w:spacing w:after="120" w:line="240" w:lineRule="auto"/>
        <w:ind w:left="426" w:hanging="426"/>
        <w:contextualSpacing w:val="0"/>
        <w:rPr>
          <w:rFonts w:ascii="Times New Roman" w:hAnsi="Times New Roman"/>
          <w:sz w:val="20"/>
          <w:szCs w:val="20"/>
        </w:rPr>
      </w:pPr>
      <w:r w:rsidRPr="00EF2265">
        <w:rPr>
          <w:rFonts w:ascii="Times New Roman" w:hAnsi="Times New Roman"/>
          <w:sz w:val="20"/>
          <w:szCs w:val="20"/>
        </w:rPr>
        <w:t>Na opravu fasády vrátane výmeny okien bola pridelená dotácia vo výške 200 000 €. V roku 2018 sa zrealizovali práce v hodnote 192 515 €.</w:t>
      </w:r>
    </w:p>
    <w:p w:rsidR="002B574D" w:rsidRPr="00EF2265" w:rsidRDefault="002B574D" w:rsidP="00E86605">
      <w:pPr>
        <w:pStyle w:val="Odsekzoznamu"/>
        <w:numPr>
          <w:ilvl w:val="0"/>
          <w:numId w:val="47"/>
        </w:numPr>
        <w:spacing w:after="120" w:line="240" w:lineRule="auto"/>
        <w:ind w:left="426" w:hanging="426"/>
        <w:contextualSpacing w:val="0"/>
        <w:rPr>
          <w:rFonts w:ascii="Times New Roman" w:hAnsi="Times New Roman"/>
          <w:sz w:val="20"/>
          <w:szCs w:val="20"/>
        </w:rPr>
      </w:pPr>
      <w:r w:rsidRPr="00EF2265">
        <w:rPr>
          <w:rFonts w:ascii="Times New Roman" w:hAnsi="Times New Roman"/>
          <w:sz w:val="20"/>
          <w:szCs w:val="20"/>
        </w:rPr>
        <w:t>Na rekonštrukciu izieb bola pridelená dotácia vo výške 180 000 €, ktorá bola vyčerpaná v plnej výške.</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t xml:space="preserve">Príprava verejných súťaží, uzatváranie zmlúv a následná realizácia akcií mali za následok, že na realizáciu iných opráv už nebol časový priestor, čo spôsobilo výrazne nižšie čerpanie bežnej dotácie a vlastných príjmov. Tieto finančné prostriedky sa plánujú využiť v nasledujúcich rokoch na pokračovanie rekonštrukcie ŠD Mladosť a ŠD Dobrovičova. </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t>Z dotácie na bežné výdavky bola v roku 2018 okrem miezd financovaná výmena nábytku na študentských izbách v celkovej hodnote 30 359 € a časť dane z nehnuteľnosti vo výške 92 000 €.</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lastRenderedPageBreak/>
        <w:t xml:space="preserve">Z vlastných príjmov bola okrem bežnej prevádzky ŠD financovaná oprava schodiska vstupu do budovy ŠD Jura Hronca v celkovej výške 4 938 €, oprava podlahovej krytiny na chodbách ŠD Jura Hronca vo výške 8 974 €, položenie PVC po vytopení nebytových priestorov nachádzajúcich sa v suteréne ŠD Nikosa Belojanisa v hodnote 5 684 €, oprava rozvodu vody v ŠD Mladá Garda vo výške 10 581 €, oprava parapetov na izbách v bloku 4C v ŠD Mladá Garda vo výške 3 876 €, úradné skúšky výťahov v ŠD Mladá Garda, ŠD Jura Hronca, ŠD Dobrovičova a ŠD Mladosť v celkovej výške 13 179 € a drobná údržba a opravy menšieho rozsahu podľa potrieb študentských domovov. </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t>Z kapitálových výdavkov bola financovaná dodávka a montáž klimatizácii do kancelárii ŠD Mladosť v celkovej výške 13 040 €, vyhrievanie vstupného schodiska s elektrickým prívodom a prekrytie posuvnej rampy v ŠD Jura Hronca vo výške 5 570 €, označenie STU na budove ŠD Jura Hronca vo výške 10 202 €, nákup kamerového systému do ŠD Jura Hronca vo výške 11 842 €. Na tieto kapitálové výdavky bol použitý zisk ÚZ ŠDaJ za predchádzajúce roky prostredníctvom Fondu reprodukcie STU.</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t xml:space="preserve">V roku 2019 sa plánuje pokračovať v realizácii rekonštrukcií a opráv ubytovacích priestorov na jednotlivých študentských domovoch. Na základe uzatvorených zmlúv o dielo bude pokračovať komplexná rekonštrukcia izieb v blokoch A1-A4 a B1-B4, ktorých realizácia bude ukončená v roku 2020 s celkovými nákladmi 6 880 000 €.  </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t xml:space="preserve">Pripravuje sa rekonštrukcia blokov B5-B8, pričom je snaha získať finančné prostriedky cez projekt EPC – znižovanie energetickej náročnosti, kde dodávateľ financuje projekt z vlastných zdrojov. </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t xml:space="preserve">Na ŠD Dobrovičova sa bude pokračovať v rekonštrukcii izieb s vybudovaním sociálnych zariadení na izbách po jednotlivých stúpačkách. Je naplánovaných ďalších 12 etáp v celkovej výške 2 730 000 €, ktoré budú nadväzovať a budú ukončené v roku 2020. Zároveň v roku 2019 musí byť vykonaná rekonštrukcia fasády s výmenou okien, nakoľko súčasný stav obkladu fasády je v havarijnom stave. </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t xml:space="preserve">Na ŠD Mladá garda bude pokračovať oprava izieb, kde sa plánuje po vyčerpaní dotácie pokračovať z vlastných prostriedkov až do vykonania opravy všetkých izieb. Opravy by mali byť ukončené do konca roku 2021. </w:t>
      </w:r>
    </w:p>
    <w:p w:rsidR="00A9522D" w:rsidRPr="00EF2265" w:rsidRDefault="002B574D" w:rsidP="00E86605">
      <w:pPr>
        <w:jc w:val="left"/>
        <w:rPr>
          <w:rFonts w:ascii="Times New Roman" w:hAnsi="Times New Roman"/>
          <w:sz w:val="20"/>
          <w:szCs w:val="20"/>
        </w:rPr>
      </w:pPr>
      <w:r w:rsidRPr="00EF2265">
        <w:rPr>
          <w:rFonts w:ascii="Times New Roman" w:hAnsi="Times New Roman"/>
          <w:b/>
          <w:sz w:val="20"/>
          <w:szCs w:val="20"/>
          <w:u w:val="single"/>
        </w:rPr>
        <w:t>Študentský domov Miloša Uhra v Trnave</w:t>
      </w:r>
      <w:r w:rsidRPr="00EF2265">
        <w:rPr>
          <w:rFonts w:ascii="Times New Roman" w:hAnsi="Times New Roman"/>
          <w:sz w:val="20"/>
          <w:szCs w:val="20"/>
        </w:rPr>
        <w:t xml:space="preserve">, ako účelové zariadenie MTF, mal v roku 2018 ubytovaciu kapacitu 1 260 lôžok, z toho 788 miest v starom objekte a 472 v novom objekte. Ubytovanie bolo poskytované v bunkovom systéme, v dvoj a trojposteľových izbách. S cieľom zvýšenia kvality ubytovacích priestorov pokračovali aj v roku 2018 rekonštrukčné práce, ktorými boli kompletná oprava sociálnych zariadení v časti bloku B v hodnote 65 000 €, maliarske, murárske a omietacie práce na bloku A a B. Medzi technicky a finančne náročné práce patrila rekonštrukcia OST vo výške 77 000 € a oprava balkónov v hodnote 126 000 €. </w:t>
      </w:r>
    </w:p>
    <w:p w:rsidR="00A9522D" w:rsidRPr="00EF2265" w:rsidRDefault="00A9522D" w:rsidP="00E86605">
      <w:pPr>
        <w:jc w:val="left"/>
        <w:rPr>
          <w:rFonts w:ascii="Times New Roman" w:hAnsi="Times New Roman"/>
          <w:sz w:val="20"/>
          <w:szCs w:val="20"/>
        </w:rPr>
      </w:pPr>
    </w:p>
    <w:p w:rsidR="002B574D" w:rsidRPr="00EF2265" w:rsidRDefault="002B574D" w:rsidP="00E86605">
      <w:pPr>
        <w:jc w:val="left"/>
        <w:rPr>
          <w:rFonts w:ascii="Times New Roman" w:hAnsi="Times New Roman"/>
          <w:sz w:val="20"/>
          <w:szCs w:val="20"/>
        </w:rPr>
      </w:pPr>
    </w:p>
    <w:p w:rsidR="002B574D" w:rsidRPr="00EF2265" w:rsidRDefault="002B574D" w:rsidP="00E86605">
      <w:pPr>
        <w:pStyle w:val="Nadpis2"/>
        <w:numPr>
          <w:ilvl w:val="1"/>
          <w:numId w:val="51"/>
        </w:numPr>
        <w:tabs>
          <w:tab w:val="left" w:pos="9356"/>
        </w:tabs>
        <w:ind w:left="0" w:firstLine="0"/>
        <w:rPr>
          <w:rFonts w:ascii="Times New Roman" w:hAnsi="Times New Roman" w:cs="Times New Roman"/>
          <w:color w:val="auto"/>
          <w:sz w:val="20"/>
          <w:szCs w:val="20"/>
        </w:rPr>
      </w:pPr>
      <w:bookmarkStart w:id="231" w:name="_Toc534722900"/>
      <w:r w:rsidRPr="00EF2265">
        <w:rPr>
          <w:rFonts w:ascii="Times New Roman" w:hAnsi="Times New Roman" w:cs="Times New Roman"/>
          <w:color w:val="auto"/>
          <w:sz w:val="20"/>
          <w:szCs w:val="20"/>
        </w:rPr>
        <w:t>Stravovacia činnosť</w:t>
      </w:r>
      <w:bookmarkEnd w:id="231"/>
      <w:r w:rsidRPr="00EF2265">
        <w:rPr>
          <w:rFonts w:ascii="Times New Roman" w:hAnsi="Times New Roman" w:cs="Times New Roman"/>
          <w:color w:val="auto"/>
          <w:sz w:val="20"/>
          <w:szCs w:val="20"/>
        </w:rPr>
        <w:t xml:space="preserve"> </w:t>
      </w:r>
    </w:p>
    <w:p w:rsidR="002B574D" w:rsidRPr="00EF2265" w:rsidRDefault="002B574D" w:rsidP="00E86605">
      <w:pPr>
        <w:jc w:val="left"/>
        <w:rPr>
          <w:rFonts w:ascii="Times New Roman" w:hAnsi="Times New Roman"/>
          <w:sz w:val="20"/>
          <w:szCs w:val="20"/>
        </w:rPr>
      </w:pPr>
      <w:r w:rsidRPr="00EF2265">
        <w:rPr>
          <w:rFonts w:ascii="Times New Roman" w:hAnsi="Times New Roman"/>
          <w:sz w:val="20"/>
          <w:szCs w:val="20"/>
        </w:rPr>
        <w:t>Poskytovanie stravovania pre študentov a zamestnancov STU bolo zabezpečované:</w:t>
      </w:r>
    </w:p>
    <w:p w:rsidR="002B574D" w:rsidRPr="00EF2265" w:rsidRDefault="002B574D" w:rsidP="00E86605">
      <w:pPr>
        <w:pStyle w:val="Odsekzoznamu"/>
        <w:numPr>
          <w:ilvl w:val="0"/>
          <w:numId w:val="48"/>
        </w:numPr>
        <w:spacing w:after="120" w:line="240" w:lineRule="auto"/>
        <w:ind w:left="426" w:hanging="426"/>
        <w:contextualSpacing w:val="0"/>
        <w:rPr>
          <w:rFonts w:ascii="Times New Roman" w:hAnsi="Times New Roman"/>
          <w:sz w:val="20"/>
          <w:szCs w:val="20"/>
        </w:rPr>
      </w:pPr>
      <w:r w:rsidRPr="00EF2265">
        <w:rPr>
          <w:rFonts w:ascii="Times New Roman" w:hAnsi="Times New Roman"/>
          <w:sz w:val="20"/>
          <w:szCs w:val="20"/>
        </w:rPr>
        <w:t>vlastnými stravovacími zariadeniami Stravovacieho centra (ŠJ Jura Hronca, ŠJ SvF, ŠJ Vazovova, ŠJ Mladá Garda) a ŠJ Miloša Uhra v Trnave s výdajňou na ul. Jána Bottu,</w:t>
      </w:r>
    </w:p>
    <w:p w:rsidR="002B574D" w:rsidRPr="00EF2265" w:rsidRDefault="002B574D" w:rsidP="00E86605">
      <w:pPr>
        <w:pStyle w:val="Odsekzoznamu"/>
        <w:numPr>
          <w:ilvl w:val="0"/>
          <w:numId w:val="48"/>
        </w:numPr>
        <w:spacing w:after="120" w:line="240" w:lineRule="auto"/>
        <w:ind w:left="425" w:hanging="425"/>
        <w:contextualSpacing w:val="0"/>
        <w:rPr>
          <w:rFonts w:ascii="Times New Roman" w:hAnsi="Times New Roman"/>
          <w:sz w:val="20"/>
          <w:szCs w:val="20"/>
        </w:rPr>
      </w:pPr>
      <w:r w:rsidRPr="00EF2265">
        <w:rPr>
          <w:rFonts w:ascii="Times New Roman" w:hAnsi="Times New Roman"/>
          <w:sz w:val="20"/>
          <w:szCs w:val="20"/>
        </w:rPr>
        <w:t>prostredníctvom cudzieho subjektu v priestoroch jedální na ŠD Dobrovičova, FEI, FCHPT a FIIT.</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t>ŠDaJ Miloša Uhra v Trnave prevádzkuje bufet v pavilóne „T“ na ul. Jána Bottu.</w:t>
      </w:r>
    </w:p>
    <w:p w:rsidR="002B574D" w:rsidRPr="00EF2265" w:rsidRDefault="002B574D" w:rsidP="00E86605">
      <w:pPr>
        <w:spacing w:after="120"/>
        <w:jc w:val="left"/>
        <w:rPr>
          <w:rFonts w:ascii="Times New Roman" w:hAnsi="Times New Roman"/>
          <w:sz w:val="20"/>
          <w:szCs w:val="20"/>
        </w:rPr>
      </w:pPr>
      <w:r w:rsidRPr="00EF2265">
        <w:rPr>
          <w:rFonts w:ascii="Times New Roman" w:hAnsi="Times New Roman"/>
          <w:sz w:val="20"/>
          <w:szCs w:val="20"/>
        </w:rPr>
        <w:t xml:space="preserve">Príspevok štátu pre študenta počas celého roku 2018 bol 1,00 € na jedno jedlo, pričom študent má nárok na dve jedlá s príspevkom na jeden deň. </w:t>
      </w:r>
    </w:p>
    <w:p w:rsidR="002B574D" w:rsidRPr="00EF2265" w:rsidRDefault="002B574D"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Počty vydaných porcií podľa jednotlivých jedální za obdobie január až december 2017 a 2018 sú uvedené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_Ref474778532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47</w:t>
      </w:r>
      <w:r w:rsidRPr="00EF2265">
        <w:rPr>
          <w:rFonts w:ascii="Times New Roman" w:hAnsi="Times New Roman"/>
          <w:sz w:val="20"/>
          <w:szCs w:val="20"/>
        </w:rPr>
        <w:fldChar w:fldCharType="end"/>
      </w:r>
      <w:r w:rsidRPr="00EF2265">
        <w:rPr>
          <w:rFonts w:ascii="Times New Roman" w:hAnsi="Times New Roman"/>
          <w:sz w:val="20"/>
          <w:szCs w:val="20"/>
        </w:rPr>
        <w:t xml:space="preserve"> s výnimkou ŠJ na Dobrovičovej, ktorá je od roku 2017 v prenájme a nie je napojená na stravovací systém Kredit.</w:t>
      </w:r>
    </w:p>
    <w:p w:rsidR="002B574D" w:rsidRPr="00EF2265" w:rsidRDefault="002B574D" w:rsidP="00E86605">
      <w:pPr>
        <w:tabs>
          <w:tab w:val="left" w:pos="9356"/>
        </w:tabs>
        <w:jc w:val="left"/>
        <w:rPr>
          <w:rFonts w:ascii="Times New Roman" w:hAnsi="Times New Roman"/>
          <w:sz w:val="20"/>
          <w:szCs w:val="20"/>
        </w:rPr>
      </w:pPr>
    </w:p>
    <w:p w:rsidR="002B574D" w:rsidRPr="00EF2265" w:rsidRDefault="002B574D" w:rsidP="00E86605">
      <w:pPr>
        <w:tabs>
          <w:tab w:val="left" w:pos="9356"/>
        </w:tabs>
        <w:jc w:val="left"/>
        <w:rPr>
          <w:rFonts w:ascii="Times New Roman" w:hAnsi="Times New Roman"/>
          <w:sz w:val="20"/>
          <w:szCs w:val="20"/>
        </w:rPr>
      </w:pPr>
      <w:bookmarkStart w:id="232" w:name="_Ref474778532"/>
      <w:bookmarkStart w:id="233" w:name="_Toc534793986"/>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47</w:t>
      </w:r>
      <w:r w:rsidRPr="00EF2265">
        <w:rPr>
          <w:rFonts w:ascii="Times New Roman" w:hAnsi="Times New Roman"/>
          <w:sz w:val="20"/>
          <w:szCs w:val="20"/>
        </w:rPr>
        <w:fldChar w:fldCharType="end"/>
      </w:r>
      <w:bookmarkEnd w:id="232"/>
      <w:r w:rsidRPr="00EF2265">
        <w:rPr>
          <w:rFonts w:ascii="Times New Roman" w:hAnsi="Times New Roman"/>
          <w:sz w:val="20"/>
          <w:szCs w:val="20"/>
        </w:rPr>
        <w:t>: Počty vydaných porcií jedál za roky 2017 a 2018</w:t>
      </w:r>
      <w:bookmarkEnd w:id="233"/>
    </w:p>
    <w:tbl>
      <w:tblPr>
        <w:tblW w:w="9556" w:type="dxa"/>
        <w:tblInd w:w="-68" w:type="dxa"/>
        <w:tblLayout w:type="fixed"/>
        <w:tblCellMar>
          <w:left w:w="70" w:type="dxa"/>
          <w:right w:w="70" w:type="dxa"/>
        </w:tblCellMar>
        <w:tblLook w:val="00A0" w:firstRow="1" w:lastRow="0" w:firstColumn="1" w:lastColumn="0" w:noHBand="0" w:noVBand="0"/>
      </w:tblPr>
      <w:tblGrid>
        <w:gridCol w:w="1433"/>
        <w:gridCol w:w="1015"/>
        <w:gridCol w:w="1154"/>
        <w:gridCol w:w="877"/>
        <w:gridCol w:w="1015"/>
        <w:gridCol w:w="1015"/>
        <w:gridCol w:w="1204"/>
        <w:gridCol w:w="827"/>
        <w:gridCol w:w="1016"/>
      </w:tblGrid>
      <w:tr w:rsidR="002B574D" w:rsidRPr="00EF2265" w:rsidTr="00B15B10">
        <w:trPr>
          <w:trHeight w:val="420"/>
        </w:trPr>
        <w:tc>
          <w:tcPr>
            <w:tcW w:w="1433" w:type="dxa"/>
            <w:vMerge w:val="restart"/>
            <w:tcBorders>
              <w:top w:val="single" w:sz="8" w:space="0" w:color="auto"/>
              <w:left w:val="single" w:sz="4" w:space="0" w:color="auto"/>
              <w:bottom w:val="single" w:sz="8" w:space="0" w:color="000000"/>
              <w:right w:val="single" w:sz="12" w:space="0" w:color="auto"/>
            </w:tcBorders>
            <w:shd w:val="clear" w:color="auto" w:fill="FFFFFF"/>
            <w:noWrap/>
            <w:vAlign w:val="center"/>
            <w:hideMark/>
          </w:tcPr>
          <w:p w:rsidR="002B574D" w:rsidRPr="00EF2265" w:rsidRDefault="002B574D" w:rsidP="00E86605">
            <w:pPr>
              <w:tabs>
                <w:tab w:val="left" w:pos="9356"/>
              </w:tabs>
              <w:jc w:val="left"/>
              <w:rPr>
                <w:rFonts w:ascii="Times New Roman" w:hAnsi="Times New Roman"/>
                <w:b/>
                <w:bCs/>
                <w:sz w:val="20"/>
                <w:szCs w:val="20"/>
                <w:lang w:eastAsia="sk-SK"/>
              </w:rPr>
            </w:pPr>
            <w:r w:rsidRPr="00EF2265">
              <w:rPr>
                <w:rFonts w:ascii="Times New Roman" w:hAnsi="Times New Roman"/>
                <w:b/>
                <w:bCs/>
                <w:sz w:val="20"/>
                <w:szCs w:val="20"/>
                <w:lang w:eastAsia="sk-SK"/>
              </w:rPr>
              <w:t>Študentská jedáleň</w:t>
            </w:r>
          </w:p>
        </w:tc>
        <w:tc>
          <w:tcPr>
            <w:tcW w:w="4061" w:type="dxa"/>
            <w:gridSpan w:val="4"/>
            <w:tcBorders>
              <w:top w:val="single" w:sz="8" w:space="0" w:color="auto"/>
              <w:left w:val="single" w:sz="12" w:space="0" w:color="auto"/>
              <w:bottom w:val="single" w:sz="4" w:space="0" w:color="auto"/>
              <w:right w:val="single" w:sz="12"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1-12/2017 - počet jedál</w:t>
            </w:r>
          </w:p>
        </w:tc>
        <w:tc>
          <w:tcPr>
            <w:tcW w:w="4062" w:type="dxa"/>
            <w:gridSpan w:val="4"/>
            <w:tcBorders>
              <w:top w:val="single" w:sz="8" w:space="0" w:color="auto"/>
              <w:left w:val="single" w:sz="12" w:space="0" w:color="auto"/>
              <w:bottom w:val="single" w:sz="4" w:space="0" w:color="auto"/>
              <w:right w:val="single" w:sz="4" w:space="0" w:color="auto"/>
            </w:tcBorders>
            <w:shd w:val="clear" w:color="auto" w:fill="auto"/>
            <w:noWrap/>
            <w:vAlign w:val="center"/>
            <w:hideMark/>
          </w:tcPr>
          <w:p w:rsidR="002B574D" w:rsidRPr="00EF2265" w:rsidRDefault="002B574D"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1-12/2018 - počet jedál</w:t>
            </w:r>
          </w:p>
        </w:tc>
      </w:tr>
      <w:tr w:rsidR="002B574D" w:rsidRPr="00EF2265" w:rsidTr="00B15B10">
        <w:trPr>
          <w:trHeight w:val="420"/>
        </w:trPr>
        <w:tc>
          <w:tcPr>
            <w:tcW w:w="1433" w:type="dxa"/>
            <w:vMerge/>
            <w:tcBorders>
              <w:top w:val="single" w:sz="8" w:space="0" w:color="auto"/>
              <w:left w:val="single" w:sz="4" w:space="0" w:color="auto"/>
              <w:bottom w:val="single" w:sz="8" w:space="0" w:color="000000"/>
              <w:right w:val="single" w:sz="12" w:space="0" w:color="auto"/>
            </w:tcBorders>
            <w:vAlign w:val="center"/>
            <w:hideMark/>
          </w:tcPr>
          <w:p w:rsidR="002B574D" w:rsidRPr="00EF2265" w:rsidRDefault="002B574D" w:rsidP="00E86605">
            <w:pPr>
              <w:tabs>
                <w:tab w:val="left" w:pos="9356"/>
              </w:tabs>
              <w:jc w:val="left"/>
              <w:rPr>
                <w:rFonts w:ascii="Times New Roman" w:hAnsi="Times New Roman"/>
                <w:b/>
                <w:bCs/>
                <w:sz w:val="20"/>
                <w:szCs w:val="20"/>
                <w:lang w:eastAsia="sk-SK"/>
              </w:rPr>
            </w:pPr>
          </w:p>
        </w:tc>
        <w:tc>
          <w:tcPr>
            <w:tcW w:w="1015"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hAnsi="Times New Roman"/>
                <w:b/>
                <w:bCs/>
                <w:sz w:val="20"/>
                <w:szCs w:val="20"/>
                <w:lang w:eastAsia="sk-SK"/>
              </w:rPr>
            </w:pPr>
            <w:r w:rsidRPr="00EF2265">
              <w:rPr>
                <w:rFonts w:ascii="Times New Roman" w:hAnsi="Times New Roman"/>
                <w:b/>
                <w:bCs/>
                <w:sz w:val="20"/>
                <w:szCs w:val="20"/>
                <w:lang w:eastAsia="sk-SK"/>
              </w:rPr>
              <w:t>Študenti</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hAnsi="Times New Roman"/>
                <w:b/>
                <w:bCs/>
                <w:sz w:val="20"/>
                <w:szCs w:val="20"/>
                <w:lang w:eastAsia="sk-SK"/>
              </w:rPr>
            </w:pPr>
            <w:r w:rsidRPr="00EF2265">
              <w:rPr>
                <w:rFonts w:ascii="Times New Roman" w:hAnsi="Times New Roman"/>
                <w:b/>
                <w:bCs/>
                <w:sz w:val="20"/>
                <w:szCs w:val="20"/>
                <w:lang w:eastAsia="sk-SK"/>
              </w:rPr>
              <w:t>Zamestnanci</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hAnsi="Times New Roman"/>
                <w:b/>
                <w:bCs/>
                <w:sz w:val="20"/>
                <w:szCs w:val="20"/>
                <w:lang w:eastAsia="sk-SK"/>
              </w:rPr>
            </w:pPr>
            <w:r w:rsidRPr="00EF2265">
              <w:rPr>
                <w:rFonts w:ascii="Times New Roman" w:hAnsi="Times New Roman"/>
                <w:b/>
                <w:bCs/>
                <w:sz w:val="20"/>
                <w:szCs w:val="20"/>
                <w:lang w:eastAsia="sk-SK"/>
              </w:rPr>
              <w:t>Cudzí</w:t>
            </w:r>
          </w:p>
        </w:tc>
        <w:tc>
          <w:tcPr>
            <w:tcW w:w="1015" w:type="dxa"/>
            <w:tcBorders>
              <w:top w:val="single" w:sz="4" w:space="0" w:color="auto"/>
              <w:left w:val="nil"/>
              <w:bottom w:val="single" w:sz="4" w:space="0" w:color="auto"/>
              <w:right w:val="single" w:sz="12" w:space="0" w:color="auto"/>
            </w:tcBorders>
            <w:shd w:val="clear" w:color="auto" w:fill="auto"/>
            <w:noWrap/>
            <w:vAlign w:val="bottom"/>
            <w:hideMark/>
          </w:tcPr>
          <w:p w:rsidR="002B574D" w:rsidRPr="00EF2265" w:rsidRDefault="002B574D" w:rsidP="00E86605">
            <w:pPr>
              <w:tabs>
                <w:tab w:val="left" w:pos="9356"/>
              </w:tabs>
              <w:jc w:val="left"/>
              <w:rPr>
                <w:rFonts w:ascii="Times New Roman" w:hAnsi="Times New Roman"/>
                <w:b/>
                <w:bCs/>
                <w:sz w:val="20"/>
                <w:szCs w:val="20"/>
                <w:lang w:eastAsia="sk-SK"/>
              </w:rPr>
            </w:pPr>
            <w:r w:rsidRPr="00EF2265">
              <w:rPr>
                <w:rFonts w:ascii="Times New Roman" w:hAnsi="Times New Roman"/>
                <w:b/>
                <w:bCs/>
                <w:sz w:val="20"/>
                <w:szCs w:val="20"/>
                <w:lang w:eastAsia="sk-SK"/>
              </w:rPr>
              <w:t>Spolu</w:t>
            </w:r>
          </w:p>
        </w:tc>
        <w:tc>
          <w:tcPr>
            <w:tcW w:w="1015"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hAnsi="Times New Roman"/>
                <w:b/>
                <w:bCs/>
                <w:sz w:val="20"/>
                <w:szCs w:val="20"/>
                <w:lang w:eastAsia="sk-SK"/>
              </w:rPr>
            </w:pPr>
            <w:r w:rsidRPr="00EF2265">
              <w:rPr>
                <w:rFonts w:ascii="Times New Roman" w:hAnsi="Times New Roman"/>
                <w:b/>
                <w:bCs/>
                <w:sz w:val="20"/>
                <w:szCs w:val="20"/>
                <w:lang w:eastAsia="sk-SK"/>
              </w:rPr>
              <w:t>Študenti</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hAnsi="Times New Roman"/>
                <w:b/>
                <w:bCs/>
                <w:sz w:val="20"/>
                <w:szCs w:val="20"/>
                <w:lang w:eastAsia="sk-SK"/>
              </w:rPr>
            </w:pPr>
            <w:r w:rsidRPr="00EF2265">
              <w:rPr>
                <w:rFonts w:ascii="Times New Roman" w:hAnsi="Times New Roman"/>
                <w:b/>
                <w:bCs/>
                <w:sz w:val="20"/>
                <w:szCs w:val="20"/>
                <w:lang w:eastAsia="sk-SK"/>
              </w:rPr>
              <w:t>Zamestnanci</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hAnsi="Times New Roman"/>
                <w:b/>
                <w:bCs/>
                <w:sz w:val="20"/>
                <w:szCs w:val="20"/>
                <w:lang w:eastAsia="sk-SK"/>
              </w:rPr>
            </w:pPr>
            <w:r w:rsidRPr="00EF2265">
              <w:rPr>
                <w:rFonts w:ascii="Times New Roman" w:hAnsi="Times New Roman"/>
                <w:b/>
                <w:bCs/>
                <w:sz w:val="20"/>
                <w:szCs w:val="20"/>
                <w:lang w:eastAsia="sk-SK"/>
              </w:rPr>
              <w:t>Cudzí</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2B574D" w:rsidRPr="00EF2265" w:rsidRDefault="002B574D" w:rsidP="00E86605">
            <w:pPr>
              <w:tabs>
                <w:tab w:val="left" w:pos="9356"/>
              </w:tabs>
              <w:jc w:val="left"/>
              <w:rPr>
                <w:rFonts w:ascii="Times New Roman" w:hAnsi="Times New Roman"/>
                <w:b/>
                <w:bCs/>
                <w:sz w:val="20"/>
                <w:szCs w:val="20"/>
                <w:lang w:eastAsia="sk-SK"/>
              </w:rPr>
            </w:pPr>
            <w:r w:rsidRPr="00EF2265">
              <w:rPr>
                <w:rFonts w:ascii="Times New Roman" w:hAnsi="Times New Roman"/>
                <w:b/>
                <w:bCs/>
                <w:sz w:val="20"/>
                <w:szCs w:val="20"/>
                <w:lang w:eastAsia="sk-SK"/>
              </w:rPr>
              <w:t>Spolu</w:t>
            </w:r>
          </w:p>
        </w:tc>
      </w:tr>
      <w:tr w:rsidR="002B574D" w:rsidRPr="00EF2265" w:rsidTr="00B15B10">
        <w:trPr>
          <w:trHeight w:val="285"/>
        </w:trPr>
        <w:tc>
          <w:tcPr>
            <w:tcW w:w="1433" w:type="dxa"/>
            <w:tcBorders>
              <w:top w:val="nil"/>
              <w:left w:val="single" w:sz="4" w:space="0" w:color="auto"/>
              <w:bottom w:val="single" w:sz="4" w:space="0" w:color="auto"/>
              <w:right w:val="single" w:sz="12" w:space="0" w:color="auto"/>
            </w:tcBorders>
            <w:shd w:val="clear" w:color="auto" w:fill="FFFFFF"/>
            <w:noWrap/>
            <w:vAlign w:val="bottom"/>
            <w:hideMark/>
          </w:tcPr>
          <w:p w:rsidR="002B574D" w:rsidRPr="00EF2265" w:rsidRDefault="002B574D" w:rsidP="00E86605">
            <w:pPr>
              <w:tabs>
                <w:tab w:val="left" w:pos="9356"/>
              </w:tabs>
              <w:jc w:val="left"/>
              <w:rPr>
                <w:rFonts w:ascii="Times New Roman" w:hAnsi="Times New Roman"/>
                <w:sz w:val="20"/>
                <w:szCs w:val="20"/>
                <w:lang w:eastAsia="sk-SK"/>
              </w:rPr>
            </w:pPr>
            <w:r w:rsidRPr="00EF2265">
              <w:rPr>
                <w:rFonts w:ascii="Times New Roman" w:hAnsi="Times New Roman"/>
                <w:sz w:val="20"/>
                <w:szCs w:val="20"/>
                <w:lang w:eastAsia="sk-SK"/>
              </w:rPr>
              <w:t>Stravovacie centrum</w:t>
            </w:r>
          </w:p>
        </w:tc>
        <w:tc>
          <w:tcPr>
            <w:tcW w:w="1015"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288 931</w:t>
            </w:r>
          </w:p>
        </w:tc>
        <w:tc>
          <w:tcPr>
            <w:tcW w:w="1154" w:type="dxa"/>
            <w:tcBorders>
              <w:top w:val="single" w:sz="4" w:space="0" w:color="auto"/>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86 913</w:t>
            </w:r>
          </w:p>
        </w:tc>
        <w:tc>
          <w:tcPr>
            <w:tcW w:w="877" w:type="dxa"/>
            <w:tcBorders>
              <w:top w:val="single" w:sz="4" w:space="0" w:color="auto"/>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16 008</w:t>
            </w:r>
          </w:p>
        </w:tc>
        <w:tc>
          <w:tcPr>
            <w:tcW w:w="1015" w:type="dxa"/>
            <w:tcBorders>
              <w:top w:val="single" w:sz="4" w:space="0" w:color="auto"/>
              <w:left w:val="nil"/>
              <w:bottom w:val="single" w:sz="4" w:space="0" w:color="auto"/>
              <w:right w:val="single" w:sz="12"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391 852</w:t>
            </w:r>
          </w:p>
        </w:tc>
        <w:tc>
          <w:tcPr>
            <w:tcW w:w="1015" w:type="dxa"/>
            <w:tcBorders>
              <w:top w:val="single" w:sz="4" w:space="0" w:color="auto"/>
              <w:left w:val="single" w:sz="12" w:space="0" w:color="auto"/>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230 952</w:t>
            </w:r>
          </w:p>
        </w:tc>
        <w:tc>
          <w:tcPr>
            <w:tcW w:w="1204" w:type="dxa"/>
            <w:tcBorders>
              <w:top w:val="single" w:sz="4" w:space="0" w:color="auto"/>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81 520</w:t>
            </w:r>
          </w:p>
        </w:tc>
        <w:tc>
          <w:tcPr>
            <w:tcW w:w="827" w:type="dxa"/>
            <w:tcBorders>
              <w:top w:val="single" w:sz="4" w:space="0" w:color="auto"/>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15 218</w:t>
            </w:r>
          </w:p>
        </w:tc>
        <w:tc>
          <w:tcPr>
            <w:tcW w:w="1016" w:type="dxa"/>
            <w:tcBorders>
              <w:top w:val="single" w:sz="4" w:space="0" w:color="auto"/>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327 690</w:t>
            </w:r>
          </w:p>
        </w:tc>
      </w:tr>
      <w:tr w:rsidR="002B574D" w:rsidRPr="00EF2265" w:rsidTr="00B15B10">
        <w:trPr>
          <w:trHeight w:val="285"/>
        </w:trPr>
        <w:tc>
          <w:tcPr>
            <w:tcW w:w="1433" w:type="dxa"/>
            <w:tcBorders>
              <w:top w:val="single" w:sz="4" w:space="0" w:color="auto"/>
              <w:left w:val="single" w:sz="4" w:space="0" w:color="auto"/>
              <w:bottom w:val="single" w:sz="4" w:space="0" w:color="auto"/>
              <w:right w:val="single" w:sz="12" w:space="0" w:color="auto"/>
            </w:tcBorders>
            <w:shd w:val="clear" w:color="auto" w:fill="FFFFFF"/>
            <w:noWrap/>
            <w:vAlign w:val="bottom"/>
            <w:hideMark/>
          </w:tcPr>
          <w:p w:rsidR="002B574D" w:rsidRPr="00EF2265" w:rsidRDefault="002B574D" w:rsidP="00E86605">
            <w:pPr>
              <w:tabs>
                <w:tab w:val="left" w:pos="9356"/>
              </w:tabs>
              <w:jc w:val="left"/>
              <w:rPr>
                <w:rFonts w:ascii="Times New Roman" w:hAnsi="Times New Roman"/>
                <w:sz w:val="20"/>
                <w:szCs w:val="20"/>
                <w:lang w:eastAsia="sk-SK"/>
              </w:rPr>
            </w:pPr>
            <w:r w:rsidRPr="00EF2265">
              <w:rPr>
                <w:rFonts w:ascii="Times New Roman" w:hAnsi="Times New Roman"/>
                <w:sz w:val="20"/>
                <w:szCs w:val="20"/>
                <w:lang w:eastAsia="sk-SK"/>
              </w:rPr>
              <w:t>FEI</w:t>
            </w:r>
          </w:p>
        </w:tc>
        <w:tc>
          <w:tcPr>
            <w:tcW w:w="1015" w:type="dxa"/>
            <w:tcBorders>
              <w:top w:val="single" w:sz="4" w:space="0" w:color="auto"/>
              <w:left w:val="single" w:sz="12" w:space="0" w:color="auto"/>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11 207</w:t>
            </w:r>
          </w:p>
        </w:tc>
        <w:tc>
          <w:tcPr>
            <w:tcW w:w="1154"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52 107</w:t>
            </w:r>
          </w:p>
        </w:tc>
        <w:tc>
          <w:tcPr>
            <w:tcW w:w="877"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538</w:t>
            </w:r>
          </w:p>
        </w:tc>
        <w:tc>
          <w:tcPr>
            <w:tcW w:w="1015" w:type="dxa"/>
            <w:tcBorders>
              <w:top w:val="nil"/>
              <w:left w:val="nil"/>
              <w:bottom w:val="single" w:sz="4" w:space="0" w:color="auto"/>
              <w:right w:val="single" w:sz="12"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63 852</w:t>
            </w:r>
          </w:p>
        </w:tc>
        <w:tc>
          <w:tcPr>
            <w:tcW w:w="1015" w:type="dxa"/>
            <w:tcBorders>
              <w:top w:val="nil"/>
              <w:left w:val="single" w:sz="12" w:space="0" w:color="auto"/>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8 657</w:t>
            </w:r>
          </w:p>
        </w:tc>
        <w:tc>
          <w:tcPr>
            <w:tcW w:w="1204"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44 789</w:t>
            </w:r>
          </w:p>
        </w:tc>
        <w:tc>
          <w:tcPr>
            <w:tcW w:w="827"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5</w:t>
            </w:r>
          </w:p>
        </w:tc>
        <w:tc>
          <w:tcPr>
            <w:tcW w:w="1016"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53 451</w:t>
            </w:r>
          </w:p>
        </w:tc>
      </w:tr>
      <w:tr w:rsidR="002B574D" w:rsidRPr="00EF2265" w:rsidTr="00B15B10">
        <w:trPr>
          <w:trHeight w:val="285"/>
        </w:trPr>
        <w:tc>
          <w:tcPr>
            <w:tcW w:w="1433" w:type="dxa"/>
            <w:tcBorders>
              <w:top w:val="single" w:sz="4" w:space="0" w:color="auto"/>
              <w:left w:val="single" w:sz="4" w:space="0" w:color="auto"/>
              <w:bottom w:val="single" w:sz="4" w:space="0" w:color="auto"/>
              <w:right w:val="single" w:sz="12" w:space="0" w:color="auto"/>
            </w:tcBorders>
            <w:shd w:val="clear" w:color="auto" w:fill="FFFFFF"/>
            <w:noWrap/>
            <w:vAlign w:val="bottom"/>
            <w:hideMark/>
          </w:tcPr>
          <w:p w:rsidR="002B574D" w:rsidRPr="00EF2265" w:rsidRDefault="002B574D" w:rsidP="00E86605">
            <w:pPr>
              <w:tabs>
                <w:tab w:val="left" w:pos="9356"/>
              </w:tabs>
              <w:jc w:val="left"/>
              <w:rPr>
                <w:rFonts w:ascii="Times New Roman" w:hAnsi="Times New Roman"/>
                <w:sz w:val="20"/>
                <w:szCs w:val="20"/>
                <w:lang w:eastAsia="sk-SK"/>
              </w:rPr>
            </w:pPr>
            <w:r w:rsidRPr="00EF2265">
              <w:rPr>
                <w:rFonts w:ascii="Times New Roman" w:hAnsi="Times New Roman"/>
                <w:sz w:val="20"/>
                <w:szCs w:val="20"/>
                <w:lang w:eastAsia="sk-SK"/>
              </w:rPr>
              <w:t>FCHPT</w:t>
            </w:r>
          </w:p>
        </w:tc>
        <w:tc>
          <w:tcPr>
            <w:tcW w:w="1015" w:type="dxa"/>
            <w:tcBorders>
              <w:top w:val="single" w:sz="4" w:space="0" w:color="auto"/>
              <w:left w:val="single" w:sz="12" w:space="0" w:color="auto"/>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13 880</w:t>
            </w:r>
          </w:p>
        </w:tc>
        <w:tc>
          <w:tcPr>
            <w:tcW w:w="1154"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37 029</w:t>
            </w:r>
          </w:p>
        </w:tc>
        <w:tc>
          <w:tcPr>
            <w:tcW w:w="877"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348</w:t>
            </w:r>
          </w:p>
        </w:tc>
        <w:tc>
          <w:tcPr>
            <w:tcW w:w="1015" w:type="dxa"/>
            <w:tcBorders>
              <w:top w:val="nil"/>
              <w:left w:val="nil"/>
              <w:bottom w:val="single" w:sz="4" w:space="0" w:color="auto"/>
              <w:right w:val="single" w:sz="12"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51 257</w:t>
            </w:r>
          </w:p>
        </w:tc>
        <w:tc>
          <w:tcPr>
            <w:tcW w:w="1015" w:type="dxa"/>
            <w:tcBorders>
              <w:top w:val="nil"/>
              <w:left w:val="single" w:sz="12" w:space="0" w:color="auto"/>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21 440</w:t>
            </w:r>
          </w:p>
        </w:tc>
        <w:tc>
          <w:tcPr>
            <w:tcW w:w="1204"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62 655</w:t>
            </w:r>
          </w:p>
        </w:tc>
        <w:tc>
          <w:tcPr>
            <w:tcW w:w="827"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153</w:t>
            </w:r>
          </w:p>
        </w:tc>
        <w:tc>
          <w:tcPr>
            <w:tcW w:w="1016"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vertAlign w:val="superscript"/>
                <w:lang w:eastAsia="sk-SK"/>
              </w:rPr>
            </w:pPr>
            <w:r w:rsidRPr="00EF2265">
              <w:rPr>
                <w:rFonts w:ascii="Times New Roman" w:hAnsi="Times New Roman"/>
                <w:sz w:val="20"/>
                <w:szCs w:val="20"/>
                <w:lang w:eastAsia="sk-SK"/>
              </w:rPr>
              <w:t>84 248</w:t>
            </w:r>
          </w:p>
        </w:tc>
      </w:tr>
      <w:tr w:rsidR="002B574D" w:rsidRPr="00EF2265" w:rsidTr="00B15B10">
        <w:trPr>
          <w:trHeight w:val="285"/>
        </w:trPr>
        <w:tc>
          <w:tcPr>
            <w:tcW w:w="1433" w:type="dxa"/>
            <w:tcBorders>
              <w:top w:val="single" w:sz="4" w:space="0" w:color="auto"/>
              <w:left w:val="single" w:sz="4" w:space="0" w:color="auto"/>
              <w:bottom w:val="single" w:sz="4" w:space="0" w:color="auto"/>
              <w:right w:val="single" w:sz="12" w:space="0" w:color="auto"/>
            </w:tcBorders>
            <w:shd w:val="clear" w:color="auto" w:fill="FFFFFF"/>
            <w:noWrap/>
            <w:vAlign w:val="bottom"/>
            <w:hideMark/>
          </w:tcPr>
          <w:p w:rsidR="002B574D" w:rsidRPr="00EF2265" w:rsidRDefault="002B574D" w:rsidP="00E86605">
            <w:pPr>
              <w:tabs>
                <w:tab w:val="left" w:pos="9356"/>
              </w:tabs>
              <w:jc w:val="left"/>
              <w:rPr>
                <w:rFonts w:ascii="Times New Roman" w:hAnsi="Times New Roman"/>
                <w:sz w:val="20"/>
                <w:szCs w:val="20"/>
                <w:lang w:eastAsia="sk-SK"/>
              </w:rPr>
            </w:pPr>
            <w:r w:rsidRPr="00EF2265">
              <w:rPr>
                <w:rFonts w:ascii="Times New Roman" w:hAnsi="Times New Roman"/>
                <w:sz w:val="20"/>
                <w:szCs w:val="20"/>
                <w:lang w:eastAsia="sk-SK"/>
              </w:rPr>
              <w:t>FIIT</w:t>
            </w:r>
          </w:p>
        </w:tc>
        <w:tc>
          <w:tcPr>
            <w:tcW w:w="1015" w:type="dxa"/>
            <w:tcBorders>
              <w:top w:val="single" w:sz="4" w:space="0" w:color="auto"/>
              <w:left w:val="single" w:sz="12" w:space="0" w:color="auto"/>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0</w:t>
            </w:r>
          </w:p>
        </w:tc>
        <w:tc>
          <w:tcPr>
            <w:tcW w:w="1154"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0</w:t>
            </w:r>
          </w:p>
        </w:tc>
        <w:tc>
          <w:tcPr>
            <w:tcW w:w="877"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0</w:t>
            </w:r>
          </w:p>
        </w:tc>
        <w:tc>
          <w:tcPr>
            <w:tcW w:w="1015" w:type="dxa"/>
            <w:tcBorders>
              <w:top w:val="nil"/>
              <w:left w:val="nil"/>
              <w:bottom w:val="single" w:sz="4" w:space="0" w:color="auto"/>
              <w:right w:val="single" w:sz="12"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0</w:t>
            </w:r>
          </w:p>
        </w:tc>
        <w:tc>
          <w:tcPr>
            <w:tcW w:w="1015" w:type="dxa"/>
            <w:tcBorders>
              <w:top w:val="nil"/>
              <w:left w:val="single" w:sz="12" w:space="0" w:color="auto"/>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5 692</w:t>
            </w:r>
          </w:p>
        </w:tc>
        <w:tc>
          <w:tcPr>
            <w:tcW w:w="1204"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1 632</w:t>
            </w:r>
          </w:p>
        </w:tc>
        <w:tc>
          <w:tcPr>
            <w:tcW w:w="827"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0</w:t>
            </w:r>
          </w:p>
        </w:tc>
        <w:tc>
          <w:tcPr>
            <w:tcW w:w="1016" w:type="dxa"/>
            <w:tcBorders>
              <w:top w:val="nil"/>
              <w:left w:val="nil"/>
              <w:bottom w:val="single" w:sz="4" w:space="0" w:color="auto"/>
              <w:right w:val="single" w:sz="4" w:space="0" w:color="auto"/>
            </w:tcBorders>
            <w:noWrap/>
            <w:vAlign w:val="center"/>
            <w:hideMark/>
          </w:tcPr>
          <w:p w:rsidR="002B574D" w:rsidRPr="00EF2265" w:rsidRDefault="002B574D" w:rsidP="00E86605">
            <w:pPr>
              <w:jc w:val="left"/>
              <w:rPr>
                <w:rFonts w:ascii="Times New Roman" w:hAnsi="Times New Roman"/>
                <w:sz w:val="20"/>
                <w:szCs w:val="20"/>
                <w:vertAlign w:val="superscript"/>
                <w:lang w:eastAsia="sk-SK"/>
              </w:rPr>
            </w:pPr>
            <w:r w:rsidRPr="00EF2265">
              <w:rPr>
                <w:rFonts w:ascii="Times New Roman" w:hAnsi="Times New Roman"/>
                <w:sz w:val="20"/>
                <w:szCs w:val="20"/>
                <w:lang w:eastAsia="sk-SK"/>
              </w:rPr>
              <w:t>7 324</w:t>
            </w:r>
          </w:p>
        </w:tc>
      </w:tr>
      <w:tr w:rsidR="002B574D" w:rsidRPr="00EF2265" w:rsidTr="00B15B10">
        <w:trPr>
          <w:trHeight w:val="285"/>
        </w:trPr>
        <w:tc>
          <w:tcPr>
            <w:tcW w:w="1433" w:type="dxa"/>
            <w:tcBorders>
              <w:top w:val="single" w:sz="4" w:space="0" w:color="auto"/>
              <w:left w:val="single" w:sz="4" w:space="0" w:color="auto"/>
              <w:bottom w:val="nil"/>
              <w:right w:val="single" w:sz="12" w:space="0" w:color="auto"/>
            </w:tcBorders>
            <w:shd w:val="clear" w:color="auto" w:fill="FFFFFF"/>
            <w:noWrap/>
            <w:vAlign w:val="bottom"/>
            <w:hideMark/>
          </w:tcPr>
          <w:p w:rsidR="002B574D" w:rsidRPr="00EF2265" w:rsidRDefault="002B574D" w:rsidP="00E86605">
            <w:pPr>
              <w:tabs>
                <w:tab w:val="left" w:pos="9356"/>
              </w:tabs>
              <w:jc w:val="left"/>
              <w:rPr>
                <w:rFonts w:ascii="Times New Roman" w:hAnsi="Times New Roman"/>
                <w:sz w:val="20"/>
                <w:szCs w:val="20"/>
                <w:lang w:eastAsia="sk-SK"/>
              </w:rPr>
            </w:pPr>
            <w:r w:rsidRPr="00EF2265">
              <w:rPr>
                <w:rFonts w:ascii="Times New Roman" w:hAnsi="Times New Roman"/>
                <w:sz w:val="20"/>
                <w:szCs w:val="20"/>
                <w:lang w:eastAsia="sk-SK"/>
              </w:rPr>
              <w:lastRenderedPageBreak/>
              <w:t>MTF</w:t>
            </w:r>
          </w:p>
        </w:tc>
        <w:tc>
          <w:tcPr>
            <w:tcW w:w="1015" w:type="dxa"/>
            <w:tcBorders>
              <w:top w:val="single" w:sz="4" w:space="0" w:color="auto"/>
              <w:left w:val="single" w:sz="12" w:space="0" w:color="auto"/>
              <w:bottom w:val="nil"/>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40 901</w:t>
            </w:r>
          </w:p>
        </w:tc>
        <w:tc>
          <w:tcPr>
            <w:tcW w:w="1154" w:type="dxa"/>
            <w:tcBorders>
              <w:top w:val="single" w:sz="4" w:space="0" w:color="auto"/>
              <w:left w:val="nil"/>
              <w:bottom w:val="nil"/>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40 414</w:t>
            </w:r>
          </w:p>
        </w:tc>
        <w:tc>
          <w:tcPr>
            <w:tcW w:w="877" w:type="dxa"/>
            <w:tcBorders>
              <w:top w:val="single" w:sz="4" w:space="0" w:color="auto"/>
              <w:left w:val="nil"/>
              <w:bottom w:val="nil"/>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3 204</w:t>
            </w:r>
          </w:p>
        </w:tc>
        <w:tc>
          <w:tcPr>
            <w:tcW w:w="1015" w:type="dxa"/>
            <w:tcBorders>
              <w:top w:val="nil"/>
              <w:left w:val="nil"/>
              <w:bottom w:val="nil"/>
              <w:right w:val="single" w:sz="12"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84 519</w:t>
            </w:r>
          </w:p>
        </w:tc>
        <w:tc>
          <w:tcPr>
            <w:tcW w:w="1015" w:type="dxa"/>
            <w:tcBorders>
              <w:top w:val="nil"/>
              <w:left w:val="single" w:sz="12" w:space="0" w:color="auto"/>
              <w:bottom w:val="nil"/>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31 216</w:t>
            </w:r>
          </w:p>
        </w:tc>
        <w:tc>
          <w:tcPr>
            <w:tcW w:w="1204" w:type="dxa"/>
            <w:tcBorders>
              <w:top w:val="nil"/>
              <w:left w:val="nil"/>
              <w:bottom w:val="nil"/>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37 686</w:t>
            </w:r>
          </w:p>
        </w:tc>
        <w:tc>
          <w:tcPr>
            <w:tcW w:w="827" w:type="dxa"/>
            <w:tcBorders>
              <w:top w:val="nil"/>
              <w:left w:val="nil"/>
              <w:bottom w:val="nil"/>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6 369</w:t>
            </w:r>
          </w:p>
        </w:tc>
        <w:tc>
          <w:tcPr>
            <w:tcW w:w="1016" w:type="dxa"/>
            <w:tcBorders>
              <w:top w:val="nil"/>
              <w:left w:val="nil"/>
              <w:bottom w:val="nil"/>
              <w:right w:val="single" w:sz="4" w:space="0" w:color="auto"/>
            </w:tcBorders>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sz w:val="20"/>
                <w:szCs w:val="20"/>
                <w:lang w:eastAsia="sk-SK"/>
              </w:rPr>
              <w:t>75 271</w:t>
            </w:r>
          </w:p>
        </w:tc>
      </w:tr>
      <w:tr w:rsidR="002B574D" w:rsidRPr="00EF2265" w:rsidTr="00B15B10">
        <w:trPr>
          <w:trHeight w:val="261"/>
        </w:trPr>
        <w:tc>
          <w:tcPr>
            <w:tcW w:w="1433" w:type="dxa"/>
            <w:tcBorders>
              <w:top w:val="single" w:sz="8" w:space="0" w:color="auto"/>
              <w:left w:val="single" w:sz="4" w:space="0" w:color="auto"/>
              <w:bottom w:val="single" w:sz="8" w:space="0" w:color="auto"/>
              <w:right w:val="single" w:sz="12" w:space="0" w:color="auto"/>
            </w:tcBorders>
            <w:shd w:val="clear" w:color="auto" w:fill="EEECE1" w:themeFill="background2"/>
            <w:noWrap/>
            <w:vAlign w:val="bottom"/>
            <w:hideMark/>
          </w:tcPr>
          <w:p w:rsidR="002B574D" w:rsidRPr="00EF2265" w:rsidRDefault="002B574D" w:rsidP="00E86605">
            <w:pPr>
              <w:tabs>
                <w:tab w:val="left" w:pos="9356"/>
              </w:tabs>
              <w:jc w:val="left"/>
              <w:rPr>
                <w:rFonts w:ascii="Times New Roman" w:hAnsi="Times New Roman"/>
                <w:b/>
                <w:bCs/>
                <w:sz w:val="20"/>
                <w:szCs w:val="20"/>
                <w:lang w:eastAsia="sk-SK"/>
              </w:rPr>
            </w:pPr>
            <w:r w:rsidRPr="00EF2265">
              <w:rPr>
                <w:rFonts w:ascii="Times New Roman" w:hAnsi="Times New Roman"/>
                <w:b/>
                <w:bCs/>
                <w:sz w:val="20"/>
                <w:szCs w:val="20"/>
                <w:lang w:eastAsia="sk-SK"/>
              </w:rPr>
              <w:t>Spolu</w:t>
            </w:r>
          </w:p>
        </w:tc>
        <w:tc>
          <w:tcPr>
            <w:tcW w:w="1015" w:type="dxa"/>
            <w:tcBorders>
              <w:top w:val="single" w:sz="8" w:space="0" w:color="auto"/>
              <w:left w:val="single" w:sz="12" w:space="0" w:color="auto"/>
              <w:bottom w:val="single" w:sz="8"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b/>
                <w:bCs/>
                <w:sz w:val="20"/>
                <w:szCs w:val="20"/>
                <w:lang w:eastAsia="sk-SK"/>
              </w:rPr>
              <w:t>354 919</w:t>
            </w:r>
          </w:p>
        </w:tc>
        <w:tc>
          <w:tcPr>
            <w:tcW w:w="1154" w:type="dxa"/>
            <w:tcBorders>
              <w:top w:val="single" w:sz="8" w:space="0" w:color="auto"/>
              <w:left w:val="nil"/>
              <w:bottom w:val="single" w:sz="8"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b/>
                <w:bCs/>
                <w:sz w:val="20"/>
                <w:szCs w:val="20"/>
                <w:lang w:eastAsia="sk-SK"/>
              </w:rPr>
              <w:t>216 463</w:t>
            </w:r>
          </w:p>
        </w:tc>
        <w:tc>
          <w:tcPr>
            <w:tcW w:w="877" w:type="dxa"/>
            <w:tcBorders>
              <w:top w:val="single" w:sz="8" w:space="0" w:color="auto"/>
              <w:left w:val="nil"/>
              <w:bottom w:val="single" w:sz="8"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b/>
                <w:bCs/>
                <w:sz w:val="20"/>
                <w:szCs w:val="20"/>
                <w:lang w:eastAsia="sk-SK"/>
              </w:rPr>
              <w:t>20 098</w:t>
            </w:r>
          </w:p>
        </w:tc>
        <w:tc>
          <w:tcPr>
            <w:tcW w:w="1015" w:type="dxa"/>
            <w:tcBorders>
              <w:top w:val="single" w:sz="8" w:space="0" w:color="auto"/>
              <w:left w:val="nil"/>
              <w:bottom w:val="single" w:sz="8" w:space="0" w:color="auto"/>
              <w:right w:val="single" w:sz="12"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b/>
                <w:bCs/>
                <w:sz w:val="20"/>
                <w:szCs w:val="20"/>
                <w:lang w:eastAsia="sk-SK"/>
              </w:rPr>
              <w:t>591 480</w:t>
            </w:r>
          </w:p>
        </w:tc>
        <w:tc>
          <w:tcPr>
            <w:tcW w:w="1015" w:type="dxa"/>
            <w:tcBorders>
              <w:top w:val="single" w:sz="8" w:space="0" w:color="auto"/>
              <w:left w:val="single" w:sz="12" w:space="0" w:color="auto"/>
              <w:bottom w:val="single" w:sz="8"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b/>
                <w:bCs/>
                <w:sz w:val="20"/>
                <w:szCs w:val="20"/>
                <w:lang w:eastAsia="sk-SK"/>
              </w:rPr>
              <w:t>297 957</w:t>
            </w:r>
          </w:p>
        </w:tc>
        <w:tc>
          <w:tcPr>
            <w:tcW w:w="1204" w:type="dxa"/>
            <w:tcBorders>
              <w:top w:val="single" w:sz="8" w:space="0" w:color="auto"/>
              <w:left w:val="nil"/>
              <w:bottom w:val="single" w:sz="8"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b/>
                <w:bCs/>
                <w:sz w:val="20"/>
                <w:szCs w:val="20"/>
                <w:lang w:eastAsia="sk-SK"/>
              </w:rPr>
              <w:t>228 282</w:t>
            </w:r>
          </w:p>
        </w:tc>
        <w:tc>
          <w:tcPr>
            <w:tcW w:w="827" w:type="dxa"/>
            <w:tcBorders>
              <w:top w:val="single" w:sz="8" w:space="0" w:color="auto"/>
              <w:left w:val="nil"/>
              <w:bottom w:val="single" w:sz="8"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b/>
                <w:bCs/>
                <w:sz w:val="20"/>
                <w:szCs w:val="20"/>
                <w:lang w:eastAsia="sk-SK"/>
              </w:rPr>
              <w:t>21 745</w:t>
            </w:r>
          </w:p>
        </w:tc>
        <w:tc>
          <w:tcPr>
            <w:tcW w:w="1016" w:type="dxa"/>
            <w:tcBorders>
              <w:top w:val="single" w:sz="8" w:space="0" w:color="auto"/>
              <w:left w:val="nil"/>
              <w:bottom w:val="single" w:sz="8" w:space="0" w:color="auto"/>
              <w:right w:val="single" w:sz="4" w:space="0" w:color="auto"/>
            </w:tcBorders>
            <w:shd w:val="clear" w:color="auto" w:fill="EEECE1" w:themeFill="background2"/>
            <w:noWrap/>
            <w:vAlign w:val="center"/>
            <w:hideMark/>
          </w:tcPr>
          <w:p w:rsidR="002B574D" w:rsidRPr="00EF2265" w:rsidRDefault="002B574D" w:rsidP="00E86605">
            <w:pPr>
              <w:jc w:val="left"/>
              <w:rPr>
                <w:rFonts w:ascii="Times New Roman" w:hAnsi="Times New Roman"/>
                <w:sz w:val="20"/>
                <w:szCs w:val="20"/>
                <w:lang w:eastAsia="sk-SK"/>
              </w:rPr>
            </w:pPr>
            <w:r w:rsidRPr="00EF2265">
              <w:rPr>
                <w:rFonts w:ascii="Times New Roman" w:hAnsi="Times New Roman"/>
                <w:b/>
                <w:bCs/>
                <w:sz w:val="20"/>
                <w:szCs w:val="20"/>
                <w:lang w:eastAsia="sk-SK"/>
              </w:rPr>
              <w:t>547 984</w:t>
            </w:r>
          </w:p>
        </w:tc>
      </w:tr>
    </w:tbl>
    <w:p w:rsidR="002B574D" w:rsidRPr="00EF2265" w:rsidRDefault="002B574D" w:rsidP="00E86605">
      <w:pPr>
        <w:tabs>
          <w:tab w:val="left" w:pos="9356"/>
        </w:tabs>
        <w:jc w:val="left"/>
        <w:rPr>
          <w:rFonts w:ascii="Times New Roman" w:hAnsi="Times New Roman"/>
          <w:sz w:val="20"/>
          <w:szCs w:val="20"/>
        </w:rPr>
      </w:pPr>
      <w:r w:rsidRPr="00EF2265">
        <w:rPr>
          <w:rFonts w:ascii="Times New Roman" w:hAnsi="Times New Roman"/>
          <w:bCs/>
          <w:sz w:val="20"/>
          <w:szCs w:val="20"/>
        </w:rPr>
        <w:t>Vysvetlivky:</w:t>
      </w:r>
    </w:p>
    <w:p w:rsidR="002B574D" w:rsidRPr="00EF2265" w:rsidRDefault="002B574D" w:rsidP="00E86605">
      <w:pPr>
        <w:pStyle w:val="Odsekzoznamu"/>
        <w:spacing w:line="240" w:lineRule="auto"/>
        <w:ind w:left="0"/>
        <w:rPr>
          <w:rFonts w:ascii="Times New Roman" w:hAnsi="Times New Roman"/>
          <w:sz w:val="20"/>
          <w:szCs w:val="20"/>
        </w:rPr>
      </w:pPr>
      <w:r w:rsidRPr="00EF2265">
        <w:rPr>
          <w:rFonts w:ascii="Times New Roman" w:hAnsi="Times New Roman"/>
          <w:sz w:val="20"/>
          <w:szCs w:val="20"/>
        </w:rPr>
        <w:t>ŠJ na FCHPT bola do apríla 2017 v rekonštrukcii. Od mesiaca máj 2017 je v prenájme a je napojená na stravovací systém Kredit.</w:t>
      </w:r>
    </w:p>
    <w:p w:rsidR="002B574D" w:rsidRPr="00EF2265" w:rsidRDefault="002B574D" w:rsidP="00E86605">
      <w:pPr>
        <w:pStyle w:val="Odsekzoznamu"/>
        <w:ind w:left="0"/>
        <w:rPr>
          <w:rFonts w:ascii="Times New Roman" w:hAnsi="Times New Roman"/>
          <w:sz w:val="20"/>
          <w:szCs w:val="20"/>
        </w:rPr>
      </w:pPr>
      <w:r w:rsidRPr="00EF2265">
        <w:rPr>
          <w:rFonts w:ascii="Times New Roman" w:hAnsi="Times New Roman"/>
          <w:sz w:val="20"/>
          <w:szCs w:val="20"/>
        </w:rPr>
        <w:t>ŠJ na FIIT je v prenájme od mesiaca september 2018 a je napojená na stravovací systém Kredit.</w:t>
      </w:r>
    </w:p>
    <w:p w:rsidR="002B574D" w:rsidRPr="00EF2265" w:rsidRDefault="002B574D" w:rsidP="00E86605">
      <w:pPr>
        <w:jc w:val="left"/>
        <w:rPr>
          <w:rFonts w:ascii="Times New Roman" w:eastAsia="Times New Roman" w:hAnsi="Times New Roman"/>
          <w:sz w:val="20"/>
          <w:szCs w:val="20"/>
          <w:lang w:eastAsia="sk-SK"/>
        </w:rPr>
      </w:pPr>
    </w:p>
    <w:p w:rsidR="002B574D" w:rsidRPr="00EF2265" w:rsidRDefault="002B574D" w:rsidP="00E86605">
      <w:pPr>
        <w:pStyle w:val="Nadpis2"/>
        <w:numPr>
          <w:ilvl w:val="1"/>
          <w:numId w:val="51"/>
        </w:numPr>
        <w:tabs>
          <w:tab w:val="left" w:pos="9356"/>
        </w:tabs>
        <w:ind w:left="0" w:firstLine="0"/>
        <w:rPr>
          <w:rFonts w:ascii="Times New Roman" w:hAnsi="Times New Roman" w:cs="Times New Roman"/>
          <w:color w:val="auto"/>
          <w:sz w:val="20"/>
          <w:szCs w:val="20"/>
        </w:rPr>
      </w:pPr>
      <w:bookmarkStart w:id="234" w:name="_Toc534722901"/>
      <w:r w:rsidRPr="00EF2265">
        <w:rPr>
          <w:rFonts w:ascii="Times New Roman" w:hAnsi="Times New Roman" w:cs="Times New Roman"/>
          <w:color w:val="auto"/>
          <w:sz w:val="20"/>
          <w:szCs w:val="20"/>
        </w:rPr>
        <w:t>Študentské organizácie</w:t>
      </w:r>
      <w:bookmarkEnd w:id="234"/>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Na STU pôsobí niekoľko študentských organizácií a združení študentov STU. Ich úlohou je organizovať voľnočasové aktivity študentov, rozvíjať osobnosť študentov v oblasti športu a kultúry, ako aj prispievať k ich odbornému rastu. Študentské organizácie sa podieľajú aj na propagácii štúdia na STU, na medzinárodných, či domácich mobilitách študentov, doučovaní mladších kolegov „koučing“ a tiež na humánne orientovaných akciách ako je napr. darcovstvo krvi. </w:t>
      </w:r>
    </w:p>
    <w:p w:rsidR="002B574D" w:rsidRPr="00EF2265" w:rsidRDefault="002B574D" w:rsidP="00E86605">
      <w:pPr>
        <w:tabs>
          <w:tab w:val="left" w:pos="9356"/>
        </w:tabs>
        <w:jc w:val="left"/>
        <w:rPr>
          <w:rFonts w:ascii="Times New Roman" w:hAnsi="Times New Roman"/>
          <w:sz w:val="20"/>
          <w:szCs w:val="20"/>
        </w:rPr>
      </w:pPr>
      <w:r w:rsidRPr="00EF2265">
        <w:rPr>
          <w:rFonts w:ascii="Times New Roman" w:hAnsi="Times New Roman"/>
          <w:sz w:val="20"/>
          <w:szCs w:val="20"/>
        </w:rPr>
        <w:t>V akademickom roku 2016/2017 rektor STU vydal smernicu rektora č. 1/2017 Pravidlá podpory študentských organizácií STU (ďalej len „smernica rektora“), ktorá upravuje pravidlá pre priznávanie a poskytnutie finančného príspevku na činnosť a rozvoj študentských organizácií STU, postup pri predkladaní návrhov na poskytnutie podpory a preukazovanie dodržania účelu použitia poskytnutej podpory zo strany študentskej organizácie. Program podpory študentských organizácií je financovaný z dotácie zo štátneho rozpočtu a tiež z vlastných prostriedkov STU. O podporu sa môžu uchádzať študentské organizácie STU, ktoré sú neziskovými organizáciami alebo združeniami, spravidla s právnou subjektivitou a iné organizácie, v ktorých sú združení v prevažnej miere študenti STU a ktoré sú v čase výzvy v zmysle uvedenej smernice zverejnené na web sídle STU na adrese:</w:t>
      </w:r>
    </w:p>
    <w:p w:rsidR="002B574D" w:rsidRPr="00EF2265" w:rsidRDefault="00F43069" w:rsidP="00E86605">
      <w:pPr>
        <w:tabs>
          <w:tab w:val="left" w:pos="9356"/>
        </w:tabs>
        <w:spacing w:after="120"/>
        <w:jc w:val="left"/>
        <w:rPr>
          <w:rFonts w:ascii="Times New Roman" w:hAnsi="Times New Roman"/>
          <w:sz w:val="20"/>
          <w:szCs w:val="20"/>
        </w:rPr>
      </w:pPr>
      <w:hyperlink r:id="rId87" w:history="1">
        <w:r w:rsidR="002B574D" w:rsidRPr="00EF2265">
          <w:rPr>
            <w:rStyle w:val="Hypertextovprepojenie"/>
            <w:rFonts w:ascii="Times New Roman" w:hAnsi="Times New Roman"/>
            <w:sz w:val="20"/>
            <w:szCs w:val="20"/>
          </w:rPr>
          <w:t>http://www.stuba.sk/sk/studentov/studentske-organizacie.html?page_id=5484</w:t>
        </w:r>
      </w:hyperlink>
      <w:r w:rsidR="002B574D" w:rsidRPr="00EF2265">
        <w:rPr>
          <w:rFonts w:ascii="Times New Roman" w:hAnsi="Times New Roman"/>
          <w:sz w:val="20"/>
          <w:szCs w:val="20"/>
        </w:rPr>
        <w:t xml:space="preserve">. </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Na uvedenej webovej stránke boli zverejnené študentské organizácie, ktoré predložili podklady preukazujúce právnu formu alebo právnu subjektivitu a sú oprávnené uchádzať sa o finančnú podporu v zmysle uvedenej smernice rektora. </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roku 2018 boli zverejnené dve výzvy, vo februári 2018 a v októbri 2018. </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 prípade prvej výzvy bolo v termíne na predkladanie návrhov, to je do 15.03.2018 (vrátane), predložených 14 návrhov v celkovej výške požadovanej finančnej podpory 19 538 €. Návrhy predložilo 9 študentských organizácii STU oprávnených uchádzať sa o podporu v súlade so smernicou rektora. Jeden návrh bol predložený jednotlivcom - študentkou, ktorá nie je študentskou organizáciou v zmysle smernice rektora. Po posúdení predložených návrhov na vedení STU rektor rozhodol o podpore </w:t>
      </w:r>
      <w:r w:rsidRPr="00EF2265">
        <w:rPr>
          <w:rFonts w:ascii="Times New Roman" w:hAnsi="Times New Roman"/>
          <w:b/>
          <w:sz w:val="20"/>
          <w:szCs w:val="20"/>
        </w:rPr>
        <w:t>8 projektov</w:t>
      </w:r>
      <w:r w:rsidRPr="00EF2265">
        <w:rPr>
          <w:rFonts w:ascii="Times New Roman" w:hAnsi="Times New Roman"/>
          <w:sz w:val="20"/>
          <w:szCs w:val="20"/>
        </w:rPr>
        <w:t xml:space="preserve"> v celkovej požadovanej výške </w:t>
      </w:r>
      <w:r w:rsidRPr="00EF2265">
        <w:rPr>
          <w:rFonts w:ascii="Times New Roman" w:hAnsi="Times New Roman"/>
          <w:b/>
          <w:sz w:val="20"/>
          <w:szCs w:val="20"/>
        </w:rPr>
        <w:t>8 901 €</w:t>
      </w:r>
      <w:r w:rsidRPr="00EF2265">
        <w:rPr>
          <w:rFonts w:ascii="Times New Roman" w:hAnsi="Times New Roman"/>
          <w:sz w:val="20"/>
          <w:szCs w:val="20"/>
        </w:rPr>
        <w:t>.</w:t>
      </w:r>
    </w:p>
    <w:p w:rsidR="002B574D" w:rsidRPr="00EF2265" w:rsidRDefault="002B574D" w:rsidP="00E86605">
      <w:pPr>
        <w:tabs>
          <w:tab w:val="left" w:pos="9356"/>
        </w:tabs>
        <w:spacing w:after="120"/>
        <w:jc w:val="left"/>
        <w:rPr>
          <w:rFonts w:ascii="Times New Roman" w:hAnsi="Times New Roman"/>
          <w:b/>
          <w:sz w:val="20"/>
          <w:szCs w:val="20"/>
        </w:rPr>
      </w:pPr>
      <w:r w:rsidRPr="00EF2265">
        <w:rPr>
          <w:rFonts w:ascii="Times New Roman" w:hAnsi="Times New Roman"/>
          <w:sz w:val="20"/>
          <w:szCs w:val="20"/>
        </w:rPr>
        <w:t xml:space="preserve">V prípade druhej výzvy bolo v termíne na predkladanie návrhov, to je do 15. 10. 2018 (vrátane), predložených 14 návrhov v celkovej výške požadovanej finančnej podpory 13 425 €. Návrhy predložilo 8 študentských organizácii STU oprávnených uchádzať sa o podporu. Dva návrhy boli predložené študentskou organizáciou, ktorá v čase výzvy nebola oprávnená uchádzať sa o podporu. Po posúdení predložených návrhov na vedení STU rektor rozhodol o podpore </w:t>
      </w:r>
      <w:r w:rsidRPr="00EF2265">
        <w:rPr>
          <w:rFonts w:ascii="Times New Roman" w:hAnsi="Times New Roman"/>
          <w:b/>
          <w:sz w:val="20"/>
          <w:szCs w:val="20"/>
        </w:rPr>
        <w:t xml:space="preserve">12 projektov </w:t>
      </w:r>
      <w:r w:rsidRPr="00EF2265">
        <w:rPr>
          <w:rFonts w:ascii="Times New Roman" w:hAnsi="Times New Roman"/>
          <w:sz w:val="20"/>
          <w:szCs w:val="20"/>
        </w:rPr>
        <w:t xml:space="preserve">v celkovej požadovanej výške </w:t>
      </w:r>
      <w:r w:rsidRPr="00EF2265">
        <w:rPr>
          <w:rFonts w:ascii="Times New Roman" w:hAnsi="Times New Roman"/>
          <w:b/>
          <w:sz w:val="20"/>
          <w:szCs w:val="20"/>
        </w:rPr>
        <w:t>12 025 €.</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Ku všetkým predloženým návrhom bolo vypracované stanovisko študentskej časti Akademického senátu STU.</w:t>
      </w:r>
    </w:p>
    <w:p w:rsidR="002B574D" w:rsidRPr="00EF2265" w:rsidRDefault="002B574D"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Išlo o zaujímavé projekty ako napr. nákup počítača, fotoaparátu, či stolového futbalu, renovácia voľnočasových priestorov na študentskom domove, revitalizácia študovne, rekonštrukcia šatne a toaliet posilňovne, rozšírenie a dobudovanie úschovne bicyklov, príspevky na organizovanie športových podujatí (Šachový turnaj o pohár STU) a iných podujatí a voľnočasových aktivít pre študentov ako napr. Inžinierska súťaž ebec Bratislava, Training day, Your knowledge, Tvoj vlastný JARVIS a podpora aktivít a činnosti študentských organizácií. </w:t>
      </w:r>
    </w:p>
    <w:p w:rsidR="002B574D" w:rsidRPr="00EF2265" w:rsidRDefault="002B574D" w:rsidP="00E86605">
      <w:pPr>
        <w:jc w:val="left"/>
        <w:rPr>
          <w:rFonts w:ascii="Times New Roman" w:hAnsi="Times New Roman"/>
          <w:sz w:val="20"/>
          <w:szCs w:val="20"/>
        </w:rPr>
      </w:pPr>
    </w:p>
    <w:p w:rsidR="002B574D" w:rsidRPr="00EF2265" w:rsidRDefault="002B574D" w:rsidP="00E86605">
      <w:pPr>
        <w:tabs>
          <w:tab w:val="left" w:pos="9356"/>
        </w:tabs>
        <w:spacing w:after="240"/>
        <w:jc w:val="left"/>
        <w:rPr>
          <w:rFonts w:ascii="Times New Roman" w:hAnsi="Times New Roman"/>
          <w:b/>
          <w:sz w:val="20"/>
          <w:szCs w:val="20"/>
          <w:u w:val="single"/>
        </w:rPr>
      </w:pPr>
      <w:r w:rsidRPr="00EF2265">
        <w:rPr>
          <w:rFonts w:ascii="Times New Roman" w:hAnsi="Times New Roman"/>
          <w:b/>
          <w:sz w:val="20"/>
          <w:szCs w:val="20"/>
          <w:u w:val="single"/>
        </w:rPr>
        <w:t>Prehľad študentských organizácií a združení študentov pôsobiacich na STU:</w:t>
      </w:r>
    </w:p>
    <w:p w:rsidR="002B574D" w:rsidRPr="00EF2265" w:rsidRDefault="002B574D" w:rsidP="00E86605">
      <w:pPr>
        <w:tabs>
          <w:tab w:val="left" w:pos="9356"/>
        </w:tabs>
        <w:jc w:val="left"/>
        <w:rPr>
          <w:rFonts w:ascii="Times New Roman" w:hAnsi="Times New Roman"/>
          <w:sz w:val="20"/>
          <w:szCs w:val="20"/>
        </w:rPr>
      </w:pPr>
      <w:r w:rsidRPr="00EF2265">
        <w:rPr>
          <w:rFonts w:ascii="Times New Roman" w:hAnsi="Times New Roman"/>
          <w:b/>
          <w:sz w:val="20"/>
          <w:szCs w:val="20"/>
        </w:rPr>
        <w:t>Študentské organizácie,</w:t>
      </w:r>
      <w:r w:rsidRPr="00EF2265">
        <w:rPr>
          <w:rFonts w:ascii="Times New Roman" w:hAnsi="Times New Roman"/>
          <w:sz w:val="20"/>
          <w:szCs w:val="20"/>
        </w:rPr>
        <w:t xml:space="preserve"> </w:t>
      </w:r>
      <w:r w:rsidRPr="00EF2265">
        <w:rPr>
          <w:rFonts w:ascii="Times New Roman" w:hAnsi="Times New Roman"/>
          <w:b/>
          <w:sz w:val="20"/>
          <w:szCs w:val="20"/>
        </w:rPr>
        <w:t>ktoré splnili podmienky pre poskytnutie finančnej podpory v zmysle smernice rektora</w:t>
      </w:r>
      <w:r w:rsidRPr="00EF2265">
        <w:rPr>
          <w:rFonts w:ascii="Times New Roman" w:hAnsi="Times New Roman"/>
          <w:sz w:val="20"/>
          <w:szCs w:val="20"/>
        </w:rPr>
        <w:t xml:space="preserve"> (predložili podklady preukazujúce právnu formu alebo právnu subjektivitu)</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bCs/>
          <w:sz w:val="20"/>
          <w:szCs w:val="20"/>
        </w:rPr>
      </w:pPr>
      <w:r w:rsidRPr="00EF2265">
        <w:rPr>
          <w:rFonts w:ascii="Times New Roman" w:hAnsi="Times New Roman"/>
          <w:bCs/>
          <w:sz w:val="20"/>
          <w:szCs w:val="20"/>
        </w:rPr>
        <w:t>BEST - Board of European Students of Technology</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ESN STUBA - Erasmus Student Network</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CHEM – Spolok študentov FCHPT STU</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bCs/>
          <w:sz w:val="20"/>
          <w:szCs w:val="20"/>
        </w:rPr>
      </w:pPr>
      <w:r w:rsidRPr="00EF2265">
        <w:rPr>
          <w:rFonts w:ascii="Times New Roman" w:hAnsi="Times New Roman"/>
          <w:bCs/>
          <w:sz w:val="20"/>
          <w:szCs w:val="20"/>
        </w:rPr>
        <w:t>IAESTE - The International Association for the Exchange of Students for Technical Experience</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bCs/>
          <w:sz w:val="20"/>
          <w:szCs w:val="20"/>
        </w:rPr>
      </w:pPr>
      <w:r w:rsidRPr="00EF2265">
        <w:rPr>
          <w:rFonts w:ascii="Times New Roman" w:hAnsi="Times New Roman"/>
          <w:bCs/>
          <w:sz w:val="20"/>
          <w:szCs w:val="20"/>
        </w:rPr>
        <w:t>IRŠ TLIS</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bCs/>
          <w:sz w:val="20"/>
          <w:szCs w:val="20"/>
        </w:rPr>
      </w:pPr>
      <w:r w:rsidRPr="00EF2265">
        <w:rPr>
          <w:rFonts w:ascii="Times New Roman" w:hAnsi="Times New Roman"/>
          <w:bCs/>
          <w:sz w:val="20"/>
          <w:szCs w:val="20"/>
        </w:rPr>
        <w:lastRenderedPageBreak/>
        <w:t>Klub Sokrates, o. z.</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bCs/>
          <w:sz w:val="20"/>
          <w:szCs w:val="20"/>
        </w:rPr>
      </w:pPr>
      <w:r w:rsidRPr="00EF2265">
        <w:rPr>
          <w:rFonts w:ascii="Times New Roman" w:hAnsi="Times New Roman"/>
          <w:bCs/>
          <w:sz w:val="20"/>
          <w:szCs w:val="20"/>
        </w:rPr>
        <w:t>Omega - Rádio klub STU</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bCs/>
          <w:sz w:val="20"/>
          <w:szCs w:val="20"/>
        </w:rPr>
      </w:pPr>
      <w:r w:rsidRPr="00EF2265">
        <w:rPr>
          <w:rFonts w:ascii="Times New Roman" w:hAnsi="Times New Roman"/>
          <w:bCs/>
          <w:sz w:val="20"/>
          <w:szCs w:val="20"/>
        </w:rPr>
        <w:t>Športový klub CASSIUS</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bCs/>
          <w:sz w:val="20"/>
          <w:szCs w:val="20"/>
        </w:rPr>
      </w:pPr>
      <w:r w:rsidRPr="00EF2265">
        <w:rPr>
          <w:rFonts w:ascii="Times New Roman" w:hAnsi="Times New Roman"/>
          <w:bCs/>
          <w:sz w:val="20"/>
          <w:szCs w:val="20"/>
        </w:rPr>
        <w:t>ŠCS - Študentský cech strojárov SjF STU</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ŠPEAI - Študentský parlament elektrotechnikov a informatikov</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bCs/>
          <w:sz w:val="20"/>
          <w:szCs w:val="20"/>
        </w:rPr>
      </w:pPr>
      <w:r w:rsidRPr="00EF2265">
        <w:rPr>
          <w:rFonts w:ascii="Times New Roman" w:hAnsi="Times New Roman"/>
          <w:bCs/>
          <w:sz w:val="20"/>
          <w:szCs w:val="20"/>
        </w:rPr>
        <w:t>Študentská rada MTF STU</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bCs/>
          <w:sz w:val="20"/>
          <w:szCs w:val="20"/>
        </w:rPr>
      </w:pPr>
      <w:r w:rsidRPr="00EF2265">
        <w:rPr>
          <w:rFonts w:ascii="Times New Roman" w:hAnsi="Times New Roman"/>
          <w:bCs/>
          <w:sz w:val="20"/>
          <w:szCs w:val="20"/>
        </w:rPr>
        <w:t>ZŠ SvF - Združenie študentov Stavebnej fakulty</w:t>
      </w:r>
    </w:p>
    <w:p w:rsidR="002B574D" w:rsidRPr="00EF2265" w:rsidRDefault="002B574D" w:rsidP="00E86605">
      <w:pPr>
        <w:pStyle w:val="Odsekzoznamu"/>
        <w:numPr>
          <w:ilvl w:val="0"/>
          <w:numId w:val="49"/>
        </w:numPr>
        <w:tabs>
          <w:tab w:val="left" w:pos="9356"/>
        </w:tabs>
        <w:spacing w:line="240" w:lineRule="auto"/>
        <w:ind w:left="426" w:hanging="426"/>
        <w:rPr>
          <w:rFonts w:ascii="Times New Roman" w:hAnsi="Times New Roman"/>
          <w:sz w:val="20"/>
          <w:szCs w:val="20"/>
        </w:rPr>
      </w:pPr>
      <w:r w:rsidRPr="00EF2265">
        <w:rPr>
          <w:rFonts w:ascii="Times New Roman" w:hAnsi="Times New Roman"/>
          <w:bCs/>
          <w:sz w:val="20"/>
          <w:szCs w:val="20"/>
        </w:rPr>
        <w:t>Ynet - Viac ako internet na internáte</w:t>
      </w:r>
    </w:p>
    <w:p w:rsidR="002B574D" w:rsidRPr="00EF2265" w:rsidRDefault="002B574D" w:rsidP="00E86605">
      <w:pPr>
        <w:tabs>
          <w:tab w:val="left" w:pos="9356"/>
        </w:tabs>
        <w:jc w:val="left"/>
        <w:rPr>
          <w:rFonts w:ascii="Times New Roman" w:hAnsi="Times New Roman"/>
          <w:b/>
          <w:sz w:val="20"/>
          <w:szCs w:val="20"/>
        </w:rPr>
      </w:pPr>
      <w:r w:rsidRPr="00EF2265">
        <w:rPr>
          <w:rFonts w:ascii="Times New Roman" w:hAnsi="Times New Roman"/>
          <w:b/>
          <w:sz w:val="20"/>
          <w:szCs w:val="20"/>
        </w:rPr>
        <w:t>Ostatné študentské organizácie a združenia študentov STU</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bCs/>
          <w:sz w:val="20"/>
          <w:szCs w:val="20"/>
        </w:rPr>
        <w:t>AIESEC</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AM Team – študentská formula</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Elam klub</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FME Racing Team</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Chemnet</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Manageria</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Nexteria</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RUŠ – Rada ubytovaných študentov</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Stavbárske srdce, o. z.</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STUBA Green Team – študentská formula</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Študentská rada vysokých škôl</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Študentská televízia mc2</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Študentský cech chemikov - Študentský parlament FCHPT STU</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Študentský časopis OKO</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Študentský parlament FA STU</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Študentský parlament ÚM STU</w:t>
      </w:r>
    </w:p>
    <w:p w:rsidR="002B574D" w:rsidRPr="00EF2265" w:rsidRDefault="002B574D" w:rsidP="00E86605">
      <w:pPr>
        <w:pStyle w:val="Odsekzoznamu"/>
        <w:numPr>
          <w:ilvl w:val="0"/>
          <w:numId w:val="50"/>
        </w:numPr>
        <w:tabs>
          <w:tab w:val="left" w:pos="9356"/>
        </w:tabs>
        <w:spacing w:line="240" w:lineRule="auto"/>
        <w:ind w:left="426" w:hanging="426"/>
        <w:rPr>
          <w:rFonts w:ascii="Times New Roman" w:hAnsi="Times New Roman"/>
          <w:sz w:val="20"/>
          <w:szCs w:val="20"/>
        </w:rPr>
      </w:pPr>
      <w:r w:rsidRPr="00EF2265">
        <w:rPr>
          <w:rFonts w:ascii="Times New Roman" w:hAnsi="Times New Roman"/>
          <w:sz w:val="20"/>
          <w:szCs w:val="20"/>
        </w:rPr>
        <w:t>Študentský radca FIIT STU</w:t>
      </w:r>
    </w:p>
    <w:p w:rsidR="002B574D" w:rsidRPr="00EF2265" w:rsidRDefault="002B574D" w:rsidP="00F94172">
      <w:pPr>
        <w:pStyle w:val="Odsekzoznamu"/>
        <w:tabs>
          <w:tab w:val="left" w:pos="426"/>
          <w:tab w:val="left" w:pos="9356"/>
        </w:tabs>
        <w:spacing w:line="240" w:lineRule="auto"/>
        <w:rPr>
          <w:rFonts w:ascii="Times New Roman" w:hAnsi="Times New Roman"/>
          <w:sz w:val="20"/>
          <w:szCs w:val="20"/>
        </w:rPr>
      </w:pPr>
    </w:p>
    <w:p w:rsidR="00FE0774" w:rsidRPr="00F94172" w:rsidRDefault="00FE0774" w:rsidP="00E86605">
      <w:pPr>
        <w:pStyle w:val="Nadpis2"/>
        <w:keepLines w:val="0"/>
        <w:numPr>
          <w:ilvl w:val="0"/>
          <w:numId w:val="0"/>
        </w:numPr>
        <w:tabs>
          <w:tab w:val="clear" w:pos="567"/>
        </w:tabs>
        <w:spacing w:before="240" w:after="240"/>
        <w:rPr>
          <w:rFonts w:ascii="Times New Roman" w:hAnsi="Times New Roman" w:cs="Times New Roman"/>
          <w:bCs w:val="0"/>
          <w:sz w:val="24"/>
          <w:szCs w:val="24"/>
        </w:rPr>
      </w:pPr>
      <w:r w:rsidRPr="00F94172">
        <w:rPr>
          <w:rFonts w:ascii="Times New Roman" w:hAnsi="Times New Roman" w:cs="Times New Roman"/>
          <w:bCs w:val="0"/>
          <w:sz w:val="24"/>
          <w:szCs w:val="24"/>
        </w:rPr>
        <w:t>9. Podporné činnosti vysokej školy</w:t>
      </w:r>
    </w:p>
    <w:p w:rsidR="00FE0774" w:rsidRPr="00EF2265" w:rsidRDefault="00FE0774" w:rsidP="00E86605">
      <w:pPr>
        <w:pStyle w:val="Nadpis2"/>
        <w:keepLines w:val="0"/>
        <w:numPr>
          <w:ilvl w:val="0"/>
          <w:numId w:val="0"/>
        </w:numPr>
        <w:tabs>
          <w:tab w:val="clear" w:pos="567"/>
        </w:tabs>
        <w:spacing w:before="240" w:after="240"/>
        <w:rPr>
          <w:rFonts w:ascii="Times New Roman" w:hAnsi="Times New Roman" w:cs="Times New Roman"/>
          <w:noProof/>
          <w:color w:val="auto"/>
          <w:sz w:val="20"/>
          <w:szCs w:val="20"/>
        </w:rPr>
      </w:pPr>
      <w:r w:rsidRPr="00EF2265">
        <w:rPr>
          <w:rFonts w:ascii="Times New Roman" w:hAnsi="Times New Roman" w:cs="Times New Roman"/>
          <w:bCs w:val="0"/>
          <w:sz w:val="20"/>
          <w:szCs w:val="20"/>
        </w:rPr>
        <w:t xml:space="preserve">9.1. </w:t>
      </w:r>
      <w:bookmarkStart w:id="235" w:name="_Toc508876776"/>
      <w:r w:rsidRPr="00EF2265">
        <w:rPr>
          <w:rFonts w:ascii="Times New Roman" w:hAnsi="Times New Roman" w:cs="Times New Roman"/>
          <w:noProof/>
          <w:color w:val="auto"/>
          <w:sz w:val="20"/>
          <w:szCs w:val="20"/>
        </w:rPr>
        <w:t>Informačné a komunikačné technológie</w:t>
      </w:r>
      <w:bookmarkEnd w:id="235"/>
    </w:p>
    <w:p w:rsidR="00FE0774" w:rsidRPr="00EF2265" w:rsidRDefault="00FE0774" w:rsidP="00E86605">
      <w:pPr>
        <w:jc w:val="left"/>
        <w:rPr>
          <w:rFonts w:ascii="Times New Roman" w:hAnsi="Times New Roman"/>
          <w:noProof/>
          <w:sz w:val="20"/>
          <w:szCs w:val="20"/>
        </w:rPr>
      </w:pPr>
      <w:r w:rsidRPr="00EF2265">
        <w:rPr>
          <w:rFonts w:ascii="Times New Roman" w:hAnsi="Times New Roman"/>
          <w:b/>
          <w:bCs/>
          <w:noProof/>
          <w:sz w:val="20"/>
          <w:szCs w:val="20"/>
        </w:rPr>
        <w:t xml:space="preserve">Akademický informačný systém </w:t>
      </w:r>
    </w:p>
    <w:p w:rsidR="00FE0774" w:rsidRPr="00EF2265" w:rsidRDefault="00FE0774" w:rsidP="00E86605">
      <w:pPr>
        <w:jc w:val="left"/>
        <w:rPr>
          <w:rFonts w:ascii="Times New Roman" w:hAnsi="Times New Roman"/>
          <w:noProof/>
          <w:sz w:val="20"/>
          <w:szCs w:val="20"/>
        </w:rPr>
      </w:pPr>
      <w:r w:rsidRPr="00EF2265">
        <w:rPr>
          <w:rFonts w:ascii="Times New Roman" w:hAnsi="Times New Roman"/>
          <w:noProof/>
          <w:sz w:val="20"/>
          <w:szCs w:val="20"/>
        </w:rPr>
        <w:t xml:space="preserve">Komplexný informačný systém pre riadenie a správu pedagogickej a vedecko-výskumnej činnosti univerzity. Študentom významne pomáha v organizácií ich štúdia – cez AIS sledujú rozvrh, zapisujú si termíny skúšok, komunikujú s pedagógmi a navyše majú dostupnú online a bezplatne študijnú literatúru, ktorá vyšla v univerzitnom Vydavateľstve Spektrum STU. </w:t>
      </w:r>
    </w:p>
    <w:p w:rsidR="00FE0774" w:rsidRPr="00EF2265" w:rsidRDefault="00FE0774" w:rsidP="00E86605">
      <w:pPr>
        <w:jc w:val="left"/>
        <w:rPr>
          <w:rFonts w:ascii="Times New Roman" w:hAnsi="Times New Roman"/>
          <w:noProof/>
          <w:sz w:val="20"/>
          <w:szCs w:val="20"/>
        </w:rPr>
      </w:pPr>
      <w:r w:rsidRPr="00EF2265">
        <w:rPr>
          <w:rFonts w:ascii="Times New Roman" w:hAnsi="Times New Roman"/>
          <w:b/>
          <w:bCs/>
          <w:noProof/>
          <w:sz w:val="20"/>
          <w:szCs w:val="20"/>
        </w:rPr>
        <w:t>Preukaz študenta a učiteľa</w:t>
      </w:r>
    </w:p>
    <w:p w:rsidR="00FE0774" w:rsidRPr="00EF2265" w:rsidRDefault="00FE0774" w:rsidP="00E86605">
      <w:pPr>
        <w:jc w:val="left"/>
        <w:rPr>
          <w:rFonts w:ascii="Times New Roman" w:hAnsi="Times New Roman"/>
          <w:noProof/>
          <w:sz w:val="20"/>
          <w:szCs w:val="20"/>
        </w:rPr>
      </w:pPr>
      <w:r w:rsidRPr="00EF2265">
        <w:rPr>
          <w:rFonts w:ascii="Times New Roman" w:hAnsi="Times New Roman"/>
          <w:noProof/>
          <w:sz w:val="20"/>
          <w:szCs w:val="20"/>
        </w:rPr>
        <w:t xml:space="preserve">Okrem aplikácií na STU slúžia ako preukazy na vstupy do knižníc, na zľavu na MHD, ŽSR, vo vybraných podnikoch SAD a pod. STU vydáva aj medzinárodné preukazy ITIC a ISIC. </w:t>
      </w:r>
    </w:p>
    <w:p w:rsidR="00FE0774" w:rsidRPr="00EF2265" w:rsidRDefault="00FE0774" w:rsidP="00E86605">
      <w:pPr>
        <w:pStyle w:val="Podtitul"/>
        <w:rPr>
          <w:rFonts w:ascii="Times New Roman" w:eastAsia="MS Mincho" w:hAnsi="Times New Roman" w:cs="Times New Roman"/>
          <w:b/>
          <w:bCs/>
          <w:i w:val="0"/>
          <w:iCs w:val="0"/>
          <w:noProof/>
          <w:color w:val="auto"/>
          <w:spacing w:val="0"/>
          <w:sz w:val="20"/>
          <w:szCs w:val="20"/>
        </w:rPr>
      </w:pPr>
      <w:r w:rsidRPr="00EF2265">
        <w:rPr>
          <w:rFonts w:ascii="Times New Roman" w:eastAsia="MS Mincho" w:hAnsi="Times New Roman" w:cs="Times New Roman"/>
          <w:b/>
          <w:bCs/>
          <w:i w:val="0"/>
          <w:iCs w:val="0"/>
          <w:noProof/>
          <w:color w:val="auto"/>
          <w:spacing w:val="0"/>
          <w:sz w:val="20"/>
          <w:szCs w:val="20"/>
        </w:rPr>
        <w:t>Jednotné elektronické prostredie</w:t>
      </w:r>
    </w:p>
    <w:p w:rsidR="00FE0774" w:rsidRPr="00EF2265" w:rsidRDefault="00FE0774" w:rsidP="00E86605">
      <w:pPr>
        <w:jc w:val="left"/>
        <w:rPr>
          <w:rFonts w:ascii="Times New Roman" w:hAnsi="Times New Roman"/>
          <w:noProof/>
          <w:sz w:val="20"/>
          <w:szCs w:val="20"/>
        </w:rPr>
      </w:pPr>
      <w:r w:rsidRPr="00EF2265">
        <w:rPr>
          <w:rFonts w:ascii="Times New Roman" w:hAnsi="Times New Roman"/>
          <w:noProof/>
          <w:sz w:val="20"/>
          <w:szCs w:val="20"/>
        </w:rPr>
        <w:t>Študenti STU majú automaticky vygenerovanú adresu na komunikáciu prostredníctvom AIS a každý študent má právo vytvoriť si elektronickú adresu na serveri Webmail STU.</w:t>
      </w:r>
    </w:p>
    <w:p w:rsidR="00FE0774" w:rsidRPr="00EF2265" w:rsidRDefault="00FE0774" w:rsidP="00E86605">
      <w:pPr>
        <w:pStyle w:val="Nadpis8"/>
        <w:spacing w:before="0" w:after="0"/>
        <w:ind w:left="1440" w:hanging="1440"/>
        <w:jc w:val="left"/>
        <w:rPr>
          <w:rFonts w:ascii="Times New Roman" w:hAnsi="Times New Roman"/>
          <w:noProof/>
          <w:color w:val="auto"/>
          <w:sz w:val="20"/>
          <w:szCs w:val="20"/>
        </w:rPr>
      </w:pPr>
      <w:r w:rsidRPr="00EF2265">
        <w:rPr>
          <w:rFonts w:ascii="Times New Roman" w:hAnsi="Times New Roman"/>
          <w:b/>
          <w:bCs/>
          <w:i w:val="0"/>
          <w:iCs w:val="0"/>
          <w:noProof/>
          <w:color w:val="auto"/>
          <w:sz w:val="20"/>
          <w:szCs w:val="20"/>
        </w:rPr>
        <w:t>Knižničný informačný systém</w:t>
      </w:r>
    </w:p>
    <w:p w:rsidR="00FE0774" w:rsidRPr="00EF2265" w:rsidRDefault="00FE0774" w:rsidP="00E86605">
      <w:pPr>
        <w:jc w:val="left"/>
        <w:rPr>
          <w:rFonts w:ascii="Times New Roman" w:hAnsi="Times New Roman"/>
          <w:noProof/>
          <w:sz w:val="20"/>
          <w:szCs w:val="20"/>
        </w:rPr>
      </w:pPr>
      <w:r w:rsidRPr="00EF2265">
        <w:rPr>
          <w:rFonts w:ascii="Times New Roman" w:hAnsi="Times New Roman"/>
          <w:noProof/>
          <w:sz w:val="20"/>
          <w:szCs w:val="20"/>
        </w:rPr>
        <w:t xml:space="preserve">Systém je dostupný cez WEB STU a umožňuje získať informácie o publikáciách v knižniciach STU z každého počítača v sieti. Možné sú výpožičky kníh cez internet. </w:t>
      </w:r>
    </w:p>
    <w:p w:rsidR="00FE0774" w:rsidRPr="00EF2265" w:rsidRDefault="00FE0774" w:rsidP="00E86605">
      <w:pPr>
        <w:jc w:val="left"/>
        <w:rPr>
          <w:rFonts w:ascii="Times New Roman" w:hAnsi="Times New Roman"/>
          <w:b/>
          <w:noProof/>
          <w:sz w:val="20"/>
          <w:szCs w:val="20"/>
        </w:rPr>
      </w:pPr>
      <w:r w:rsidRPr="00EF2265">
        <w:rPr>
          <w:rFonts w:ascii="Times New Roman" w:hAnsi="Times New Roman"/>
          <w:b/>
          <w:noProof/>
          <w:sz w:val="20"/>
          <w:szCs w:val="20"/>
        </w:rPr>
        <w:t>Tlač diplomov</w:t>
      </w:r>
    </w:p>
    <w:p w:rsidR="00FE0774" w:rsidRPr="00EF2265" w:rsidRDefault="00FE0774" w:rsidP="00E86605">
      <w:pPr>
        <w:pStyle w:val="Zkladntext"/>
        <w:jc w:val="left"/>
        <w:rPr>
          <w:rFonts w:ascii="Times New Roman" w:hAnsi="Times New Roman"/>
          <w:noProof/>
          <w:color w:val="auto"/>
          <w:sz w:val="20"/>
          <w:szCs w:val="20"/>
        </w:rPr>
      </w:pPr>
      <w:r w:rsidRPr="00EF2265">
        <w:rPr>
          <w:rFonts w:ascii="Times New Roman" w:hAnsi="Times New Roman"/>
          <w:noProof/>
          <w:color w:val="auto"/>
          <w:sz w:val="20"/>
          <w:szCs w:val="20"/>
        </w:rPr>
        <w:t xml:space="preserve">Na STU sa tlačia diplomy bakalárskeho a inžinierskeho štúdia centrálne priamo z AIS. </w:t>
      </w:r>
    </w:p>
    <w:p w:rsidR="00FE0774" w:rsidRPr="00EF2265" w:rsidRDefault="00FE0774" w:rsidP="00E86605">
      <w:pPr>
        <w:jc w:val="left"/>
        <w:rPr>
          <w:rFonts w:ascii="Times New Roman" w:hAnsi="Times New Roman"/>
          <w:noProof/>
          <w:sz w:val="20"/>
          <w:szCs w:val="20"/>
        </w:rPr>
      </w:pPr>
      <w:r w:rsidRPr="00EF2265">
        <w:rPr>
          <w:rFonts w:ascii="Times New Roman" w:hAnsi="Times New Roman"/>
          <w:b/>
          <w:bCs/>
          <w:noProof/>
          <w:sz w:val="20"/>
          <w:szCs w:val="20"/>
        </w:rPr>
        <w:t>Ekonomický informačný systém</w:t>
      </w:r>
    </w:p>
    <w:p w:rsidR="00FE0774" w:rsidRPr="00EF2265" w:rsidRDefault="00FE0774" w:rsidP="00E86605">
      <w:pPr>
        <w:jc w:val="left"/>
        <w:rPr>
          <w:rFonts w:ascii="Times New Roman" w:hAnsi="Times New Roman"/>
          <w:noProof/>
          <w:sz w:val="20"/>
          <w:szCs w:val="20"/>
        </w:rPr>
      </w:pPr>
      <w:r w:rsidRPr="00EF2265">
        <w:rPr>
          <w:rFonts w:ascii="Times New Roman" w:hAnsi="Times New Roman"/>
          <w:noProof/>
          <w:sz w:val="20"/>
          <w:szCs w:val="20"/>
        </w:rPr>
        <w:t>Pozostáva z modulov: personalistika a mzdy, majetok, finančné účtovníctvo, rozpočet a výkazy, MTZ, elektronický systém obeh dokladov, samostatný informačný systém evidencie a správy prenájmu nehnuteľností, stravovací systém Kredit 8 a elektronický registratúrny systém.</w:t>
      </w:r>
    </w:p>
    <w:p w:rsidR="00FE0774" w:rsidRPr="00EF2265" w:rsidRDefault="00FE0774" w:rsidP="00E86605">
      <w:pPr>
        <w:jc w:val="left"/>
        <w:rPr>
          <w:rFonts w:ascii="Times New Roman" w:hAnsi="Times New Roman"/>
          <w:noProof/>
          <w:sz w:val="20"/>
          <w:szCs w:val="20"/>
        </w:rPr>
      </w:pPr>
      <w:r w:rsidRPr="00EF2265">
        <w:rPr>
          <w:rFonts w:ascii="Times New Roman" w:hAnsi="Times New Roman"/>
          <w:b/>
          <w:bCs/>
          <w:noProof/>
          <w:sz w:val="20"/>
          <w:szCs w:val="20"/>
        </w:rPr>
        <w:t>Vysokovýkonné počítanie</w:t>
      </w:r>
    </w:p>
    <w:p w:rsidR="00FE0774" w:rsidRPr="00EF2265" w:rsidRDefault="00FE0774" w:rsidP="00E86605">
      <w:pPr>
        <w:jc w:val="left"/>
        <w:rPr>
          <w:rFonts w:ascii="Times New Roman" w:hAnsi="Times New Roman"/>
          <w:noProof/>
          <w:sz w:val="20"/>
          <w:szCs w:val="20"/>
        </w:rPr>
      </w:pPr>
      <w:r w:rsidRPr="00EF2265">
        <w:rPr>
          <w:rFonts w:ascii="Times New Roman" w:hAnsi="Times New Roman"/>
          <w:noProof/>
          <w:sz w:val="20"/>
          <w:szCs w:val="20"/>
        </w:rPr>
        <w:t xml:space="preserve">Od júla 2012 CVT zabezpečuje prevádzku výpočtového klastra IBM iDataPlex s výpočtovým výkonom 6,76 TFLOPS (624 cpu + 3584 cuda jadier, 2,5 TB RAM). CVT je zároveň pracoviskom zabezpečujúcim kooperovaný prístup na ďalšie superpočítače v rámci projektu SIVVP. Hlavný partner projektu je Výpočtové stredisko SAV, partneri sú Slovenská technická univerzita v Bratislave, Ústav informatiky SAV, Žilinská </w:t>
      </w:r>
      <w:r w:rsidRPr="00EF2265">
        <w:rPr>
          <w:rFonts w:ascii="Times New Roman" w:hAnsi="Times New Roman"/>
          <w:noProof/>
          <w:sz w:val="20"/>
          <w:szCs w:val="20"/>
        </w:rPr>
        <w:lastRenderedPageBreak/>
        <w:t xml:space="preserve">univerzita v Žiline, Technická univerzita v Košiciach, Univerzita Mateja Bela v Banskej Bystrici a Ústav experimentálnej fyziky SAV. Podrobnosti o projekte na </w:t>
      </w:r>
      <w:hyperlink r:id="rId88" w:history="1">
        <w:r w:rsidRPr="00EF2265">
          <w:rPr>
            <w:rStyle w:val="Hypertextovprepojenie"/>
            <w:rFonts w:ascii="Times New Roman" w:hAnsi="Times New Roman"/>
            <w:noProof/>
            <w:sz w:val="20"/>
            <w:szCs w:val="20"/>
          </w:rPr>
          <w:t>www.hpc.stuba.sk</w:t>
        </w:r>
      </w:hyperlink>
      <w:r w:rsidRPr="00EF2265">
        <w:rPr>
          <w:rFonts w:ascii="Times New Roman" w:hAnsi="Times New Roman"/>
          <w:noProof/>
          <w:sz w:val="20"/>
          <w:szCs w:val="20"/>
        </w:rPr>
        <w:t>.</w:t>
      </w:r>
    </w:p>
    <w:p w:rsidR="00FE0774" w:rsidRPr="00EF2265" w:rsidRDefault="00FE0774" w:rsidP="00E86605">
      <w:pPr>
        <w:jc w:val="left"/>
        <w:rPr>
          <w:rFonts w:ascii="Times New Roman" w:eastAsia="Times New Roman" w:hAnsi="Times New Roman"/>
          <w:sz w:val="20"/>
          <w:szCs w:val="20"/>
        </w:rPr>
      </w:pPr>
      <w:r w:rsidRPr="00EF2265">
        <w:rPr>
          <w:rFonts w:ascii="Times New Roman" w:eastAsia="Times New Roman" w:hAnsi="Times New Roman"/>
          <w:b/>
          <w:bCs/>
          <w:sz w:val="20"/>
          <w:szCs w:val="20"/>
        </w:rPr>
        <w:t>Informačný systém e-Porady</w:t>
      </w:r>
      <w:r w:rsidRPr="00EF2265">
        <w:rPr>
          <w:rFonts w:ascii="Times New Roman" w:eastAsia="Times New Roman" w:hAnsi="Times New Roman"/>
          <w:sz w:val="20"/>
          <w:szCs w:val="20"/>
        </w:rPr>
        <w:t xml:space="preserve"> </w:t>
      </w:r>
    </w:p>
    <w:p w:rsidR="00FE0774" w:rsidRPr="00EF2265" w:rsidRDefault="00FE0774" w:rsidP="00E86605">
      <w:pPr>
        <w:jc w:val="left"/>
        <w:rPr>
          <w:rFonts w:ascii="Times New Roman" w:eastAsia="Times New Roman" w:hAnsi="Times New Roman"/>
          <w:sz w:val="20"/>
          <w:szCs w:val="20"/>
        </w:rPr>
      </w:pPr>
      <w:r w:rsidRPr="00EF2265">
        <w:rPr>
          <w:rFonts w:ascii="Times New Roman" w:eastAsia="Times New Roman" w:hAnsi="Times New Roman"/>
          <w:sz w:val="20"/>
          <w:szCs w:val="20"/>
        </w:rPr>
        <w:t xml:space="preserve">Systém na podporu rokovaní akademických orgánov STU, ktorý eliminuje papierový kolobeh materiálov na rokovania a umožňuje plne elektronickú správu uvedených dokumentov. </w:t>
      </w:r>
    </w:p>
    <w:p w:rsidR="00FE0774" w:rsidRPr="00EF2265" w:rsidRDefault="00FE0774" w:rsidP="00E86605">
      <w:pPr>
        <w:jc w:val="left"/>
        <w:rPr>
          <w:rFonts w:ascii="Times New Roman" w:hAnsi="Times New Roman"/>
          <w:noProof/>
          <w:sz w:val="20"/>
          <w:szCs w:val="20"/>
        </w:rPr>
      </w:pPr>
      <w:r w:rsidRPr="00EF2265">
        <w:rPr>
          <w:rFonts w:ascii="Times New Roman" w:hAnsi="Times New Roman"/>
          <w:b/>
          <w:bCs/>
          <w:noProof/>
          <w:sz w:val="20"/>
          <w:szCs w:val="20"/>
        </w:rPr>
        <w:t xml:space="preserve">Komunikačná infraštruktúra </w:t>
      </w:r>
    </w:p>
    <w:p w:rsidR="00FE0774" w:rsidRPr="00EF2265" w:rsidRDefault="00FE0774" w:rsidP="00E86605">
      <w:pPr>
        <w:jc w:val="left"/>
        <w:rPr>
          <w:rFonts w:ascii="Times New Roman" w:hAnsi="Times New Roman"/>
          <w:noProof/>
          <w:sz w:val="20"/>
          <w:szCs w:val="20"/>
        </w:rPr>
      </w:pPr>
      <w:r w:rsidRPr="00EF2265">
        <w:rPr>
          <w:rFonts w:ascii="Times New Roman" w:hAnsi="Times New Roman"/>
          <w:noProof/>
          <w:sz w:val="20"/>
          <w:szCs w:val="20"/>
        </w:rPr>
        <w:t xml:space="preserve">Na STU je v plnej 24-hodinovej prevádzke hlavný uzol siete SANET, do nej sa prepája sieť STUNET a iné akademické medzinárodné siete (ACONET, GEANT a CESNET). Na STU je v 24-hodinovej prevádzke slovenské peeringové centrum – SIX (Slovak Internet eXchange, ktoré predstavuje neutrálne miesto na výmenu sieťovej infraštruktúry poskytovateľov internetu na Slovensku. </w:t>
      </w:r>
    </w:p>
    <w:p w:rsidR="00FE0774" w:rsidRPr="00EF2265" w:rsidRDefault="00FE0774" w:rsidP="00E86605">
      <w:pPr>
        <w:jc w:val="left"/>
        <w:rPr>
          <w:rFonts w:ascii="Times New Roman" w:hAnsi="Times New Roman"/>
          <w:b/>
          <w:noProof/>
          <w:sz w:val="20"/>
          <w:szCs w:val="20"/>
        </w:rPr>
      </w:pPr>
      <w:r w:rsidRPr="00EF2265">
        <w:rPr>
          <w:rFonts w:ascii="Times New Roman" w:hAnsi="Times New Roman"/>
          <w:b/>
          <w:noProof/>
          <w:sz w:val="20"/>
          <w:szCs w:val="20"/>
        </w:rPr>
        <w:t>Videokonferencie</w:t>
      </w:r>
    </w:p>
    <w:p w:rsidR="00FE0774" w:rsidRPr="00EF2265" w:rsidRDefault="00FE0774" w:rsidP="00E86605">
      <w:pPr>
        <w:jc w:val="left"/>
        <w:rPr>
          <w:rFonts w:ascii="Times New Roman" w:hAnsi="Times New Roman"/>
          <w:b/>
          <w:noProof/>
          <w:sz w:val="20"/>
          <w:szCs w:val="20"/>
        </w:rPr>
      </w:pPr>
      <w:r w:rsidRPr="00EF2265">
        <w:rPr>
          <w:rFonts w:ascii="Times New Roman" w:hAnsi="Times New Roman"/>
          <w:noProof/>
          <w:sz w:val="20"/>
          <w:szCs w:val="20"/>
        </w:rPr>
        <w:t>Na rektoráte STU a na MTF v Trnave je k dispozícii aj zariadenie pre telekonferencie CISCO Telepresence, ktoré umožňuje video</w:t>
      </w:r>
      <w:r w:rsidRPr="00EF2265">
        <w:rPr>
          <w:rFonts w:ascii="Times New Roman" w:hAnsi="Times New Roman"/>
          <w:noProof/>
          <w:sz w:val="20"/>
          <w:szCs w:val="20"/>
        </w:rPr>
        <w:softHyphen/>
        <w:t xml:space="preserve">konferenčné prepojenie so slovenskými, európskymi i zámorskými univerzitami i komerčnými pracoviskami. </w:t>
      </w:r>
    </w:p>
    <w:p w:rsidR="00D84F47" w:rsidRPr="00EF2265" w:rsidRDefault="00D84F47" w:rsidP="00E86605">
      <w:pPr>
        <w:jc w:val="left"/>
        <w:rPr>
          <w:rFonts w:ascii="Times New Roman" w:hAnsi="Times New Roman"/>
          <w:bCs/>
          <w:sz w:val="20"/>
          <w:szCs w:val="20"/>
        </w:rPr>
      </w:pPr>
    </w:p>
    <w:p w:rsidR="00F94172" w:rsidRDefault="00F94172" w:rsidP="00E86605">
      <w:pPr>
        <w:jc w:val="left"/>
        <w:rPr>
          <w:rFonts w:ascii="Times New Roman" w:hAnsi="Times New Roman"/>
          <w:b/>
          <w:bCs/>
          <w:sz w:val="20"/>
          <w:szCs w:val="20"/>
        </w:rPr>
      </w:pPr>
    </w:p>
    <w:p w:rsidR="007E1F2D" w:rsidRPr="00EF2265" w:rsidRDefault="007E1F2D" w:rsidP="00E86605">
      <w:pPr>
        <w:jc w:val="left"/>
        <w:rPr>
          <w:rFonts w:ascii="Times New Roman" w:hAnsi="Times New Roman"/>
          <w:b/>
          <w:sz w:val="20"/>
          <w:szCs w:val="20"/>
        </w:rPr>
      </w:pPr>
      <w:r w:rsidRPr="00F94172">
        <w:rPr>
          <w:rFonts w:ascii="Times New Roman" w:hAnsi="Times New Roman"/>
          <w:b/>
          <w:bCs/>
          <w:sz w:val="20"/>
          <w:szCs w:val="20"/>
        </w:rPr>
        <w:t xml:space="preserve">9.2. </w:t>
      </w:r>
      <w:r w:rsidRPr="00EF2265">
        <w:rPr>
          <w:rFonts w:ascii="Times New Roman" w:hAnsi="Times New Roman"/>
          <w:b/>
          <w:sz w:val="20"/>
          <w:szCs w:val="20"/>
        </w:rPr>
        <w:t>Vysokoškolský umelecký súbor Technik STU</w:t>
      </w:r>
    </w:p>
    <w:p w:rsidR="007E1F2D" w:rsidRPr="00EF2265" w:rsidRDefault="007E1F2D" w:rsidP="00E86605">
      <w:pPr>
        <w:spacing w:line="223" w:lineRule="auto"/>
        <w:jc w:val="left"/>
        <w:rPr>
          <w:rFonts w:ascii="Times New Roman" w:hAnsi="Times New Roman"/>
          <w:sz w:val="20"/>
          <w:szCs w:val="20"/>
        </w:rPr>
      </w:pPr>
      <w:r w:rsidRPr="00EF2265">
        <w:rPr>
          <w:rFonts w:ascii="Times New Roman" w:hAnsi="Times New Roman"/>
          <w:sz w:val="20"/>
          <w:szCs w:val="20"/>
        </w:rPr>
        <w:t>VUS TECHNIK v období od 1. 1. 2018 do 31. 12. 2018 pracoval v zložení</w:t>
      </w:r>
    </w:p>
    <w:p w:rsidR="007E1F2D" w:rsidRPr="00EF2265" w:rsidRDefault="007E1F2D" w:rsidP="00E86605">
      <w:pPr>
        <w:spacing w:line="223" w:lineRule="auto"/>
        <w:jc w:val="left"/>
        <w:rPr>
          <w:rFonts w:ascii="Times New Roman" w:hAnsi="Times New Roman"/>
          <w:sz w:val="20"/>
          <w:szCs w:val="20"/>
        </w:rPr>
      </w:pP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Vedenie súboru :</w:t>
      </w:r>
    </w:p>
    <w:p w:rsidR="007E1F2D" w:rsidRPr="00EF2265" w:rsidRDefault="007E1F2D" w:rsidP="00E86605">
      <w:pPr>
        <w:ind w:left="-142"/>
        <w:jc w:val="left"/>
        <w:rPr>
          <w:rFonts w:ascii="Times New Roman" w:hAnsi="Times New Roman"/>
          <w:bCs/>
          <w:sz w:val="20"/>
          <w:szCs w:val="20"/>
        </w:rPr>
      </w:pP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 xml:space="preserve">Mgr. art. Ľubica Mešková </w:t>
      </w:r>
      <w:r w:rsidRPr="00EF2265">
        <w:rPr>
          <w:rFonts w:ascii="Times New Roman" w:hAnsi="Times New Roman"/>
          <w:bCs/>
          <w:sz w:val="20"/>
          <w:szCs w:val="20"/>
        </w:rPr>
        <w:tab/>
      </w:r>
      <w:r w:rsidRPr="00EF2265">
        <w:rPr>
          <w:rFonts w:ascii="Times New Roman" w:hAnsi="Times New Roman"/>
          <w:bCs/>
          <w:sz w:val="20"/>
          <w:szCs w:val="20"/>
        </w:rPr>
        <w:tab/>
        <w:t xml:space="preserve">riaditeľka  súboru </w:t>
      </w:r>
    </w:p>
    <w:p w:rsidR="007E1F2D" w:rsidRPr="00EF2265" w:rsidRDefault="00E02570" w:rsidP="00E86605">
      <w:pPr>
        <w:ind w:left="-142"/>
        <w:jc w:val="left"/>
        <w:rPr>
          <w:rFonts w:ascii="Times New Roman" w:hAnsi="Times New Roman"/>
          <w:bCs/>
          <w:sz w:val="20"/>
          <w:szCs w:val="20"/>
        </w:rPr>
      </w:pPr>
      <w:r>
        <w:rPr>
          <w:rFonts w:ascii="Times New Roman" w:hAnsi="Times New Roman"/>
          <w:bCs/>
          <w:sz w:val="20"/>
          <w:szCs w:val="20"/>
        </w:rPr>
        <w:t xml:space="preserve">Ing. Lucia Otrubová </w:t>
      </w:r>
      <w:r>
        <w:rPr>
          <w:rFonts w:ascii="Times New Roman" w:hAnsi="Times New Roman"/>
          <w:bCs/>
          <w:sz w:val="20"/>
          <w:szCs w:val="20"/>
        </w:rPr>
        <w:tab/>
      </w:r>
      <w:r>
        <w:rPr>
          <w:rFonts w:ascii="Times New Roman" w:hAnsi="Times New Roman"/>
          <w:bCs/>
          <w:sz w:val="20"/>
          <w:szCs w:val="20"/>
        </w:rPr>
        <w:tab/>
      </w:r>
      <w:r w:rsidR="007E1F2D" w:rsidRPr="00EF2265">
        <w:rPr>
          <w:rFonts w:ascii="Times New Roman" w:hAnsi="Times New Roman"/>
          <w:bCs/>
          <w:sz w:val="20"/>
          <w:szCs w:val="20"/>
        </w:rPr>
        <w:t xml:space="preserve">tajomníčka súboru </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 xml:space="preserve">Bc. Igor Hajdučík </w:t>
      </w:r>
      <w:r w:rsidRPr="00EF2265">
        <w:rPr>
          <w:rFonts w:ascii="Times New Roman" w:hAnsi="Times New Roman"/>
          <w:bCs/>
          <w:sz w:val="20"/>
          <w:szCs w:val="20"/>
        </w:rPr>
        <w:tab/>
      </w:r>
      <w:r w:rsidRPr="00EF2265">
        <w:rPr>
          <w:rFonts w:ascii="Times New Roman" w:hAnsi="Times New Roman"/>
          <w:bCs/>
          <w:sz w:val="20"/>
          <w:szCs w:val="20"/>
        </w:rPr>
        <w:tab/>
        <w:t xml:space="preserve">              umelecký vedúci Folklórneho súboru </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 xml:space="preserve">Lenka Demovičová </w:t>
      </w:r>
      <w:r w:rsidRPr="00EF2265">
        <w:rPr>
          <w:rFonts w:ascii="Times New Roman" w:hAnsi="Times New Roman"/>
          <w:bCs/>
          <w:sz w:val="20"/>
          <w:szCs w:val="20"/>
        </w:rPr>
        <w:tab/>
      </w:r>
      <w:r w:rsidRPr="00EF2265">
        <w:rPr>
          <w:rFonts w:ascii="Times New Roman" w:hAnsi="Times New Roman"/>
          <w:bCs/>
          <w:sz w:val="20"/>
          <w:szCs w:val="20"/>
        </w:rPr>
        <w:tab/>
        <w:t xml:space="preserve">organizačná vedúca Folklórneho súboru </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Denisa Cicáková</w:t>
      </w:r>
      <w:r w:rsidRPr="00EF2265">
        <w:rPr>
          <w:rFonts w:ascii="Times New Roman" w:hAnsi="Times New Roman"/>
          <w:bCs/>
          <w:sz w:val="20"/>
          <w:szCs w:val="20"/>
        </w:rPr>
        <w:tab/>
      </w:r>
      <w:r w:rsidRPr="00EF2265">
        <w:rPr>
          <w:rFonts w:ascii="Times New Roman" w:hAnsi="Times New Roman"/>
          <w:bCs/>
          <w:sz w:val="20"/>
          <w:szCs w:val="20"/>
        </w:rPr>
        <w:tab/>
      </w:r>
      <w:r w:rsidRPr="00EF2265">
        <w:rPr>
          <w:rFonts w:ascii="Times New Roman" w:hAnsi="Times New Roman"/>
          <w:bCs/>
          <w:sz w:val="20"/>
          <w:szCs w:val="20"/>
        </w:rPr>
        <w:tab/>
        <w:t>krojárka Folklórneho súboru</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 xml:space="preserve">Mgr. Jozef Hudák </w:t>
      </w:r>
      <w:r w:rsidRPr="00EF2265">
        <w:rPr>
          <w:rFonts w:ascii="Times New Roman" w:hAnsi="Times New Roman"/>
          <w:bCs/>
          <w:sz w:val="20"/>
          <w:szCs w:val="20"/>
        </w:rPr>
        <w:tab/>
      </w:r>
      <w:r w:rsidRPr="00EF2265">
        <w:rPr>
          <w:rFonts w:ascii="Times New Roman" w:hAnsi="Times New Roman"/>
          <w:bCs/>
          <w:sz w:val="20"/>
          <w:szCs w:val="20"/>
        </w:rPr>
        <w:tab/>
      </w:r>
      <w:r w:rsidRPr="00EF2265">
        <w:rPr>
          <w:rFonts w:ascii="Times New Roman" w:hAnsi="Times New Roman"/>
          <w:bCs/>
          <w:sz w:val="20"/>
          <w:szCs w:val="20"/>
        </w:rPr>
        <w:tab/>
        <w:t xml:space="preserve">primáš ľudovej hudby Folklórneho súboru </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Štefan Molota</w:t>
      </w:r>
      <w:r w:rsidRPr="00EF2265">
        <w:rPr>
          <w:rFonts w:ascii="Times New Roman" w:hAnsi="Times New Roman"/>
          <w:bCs/>
          <w:sz w:val="20"/>
          <w:szCs w:val="20"/>
        </w:rPr>
        <w:tab/>
      </w:r>
      <w:r w:rsidRPr="00EF2265">
        <w:rPr>
          <w:rFonts w:ascii="Times New Roman" w:hAnsi="Times New Roman"/>
          <w:bCs/>
          <w:sz w:val="20"/>
          <w:szCs w:val="20"/>
        </w:rPr>
        <w:tab/>
      </w:r>
      <w:r w:rsidRPr="00EF2265">
        <w:rPr>
          <w:rFonts w:ascii="Times New Roman" w:hAnsi="Times New Roman"/>
          <w:bCs/>
          <w:sz w:val="20"/>
          <w:szCs w:val="20"/>
        </w:rPr>
        <w:tab/>
        <w:t>vedúci ľudovej hudby</w:t>
      </w:r>
      <w:r w:rsidRPr="00EF2265">
        <w:rPr>
          <w:rFonts w:ascii="Times New Roman" w:hAnsi="Times New Roman"/>
          <w:bCs/>
          <w:sz w:val="20"/>
          <w:szCs w:val="20"/>
        </w:rPr>
        <w:tab/>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Ing. Lucia Turiničová</w:t>
      </w:r>
      <w:r w:rsidRPr="00EF2265">
        <w:rPr>
          <w:rFonts w:ascii="Times New Roman" w:hAnsi="Times New Roman"/>
          <w:bCs/>
          <w:sz w:val="20"/>
          <w:szCs w:val="20"/>
        </w:rPr>
        <w:tab/>
      </w:r>
      <w:r w:rsidRPr="00EF2265">
        <w:rPr>
          <w:rFonts w:ascii="Times New Roman" w:hAnsi="Times New Roman"/>
          <w:bCs/>
          <w:sz w:val="20"/>
          <w:szCs w:val="20"/>
        </w:rPr>
        <w:tab/>
        <w:t>vedúca dievčenskej speváckej skupiny</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Mgr. art. Mirko Krajči</w:t>
      </w:r>
      <w:r w:rsidRPr="00EF2265">
        <w:rPr>
          <w:rFonts w:ascii="Times New Roman" w:hAnsi="Times New Roman"/>
          <w:bCs/>
          <w:sz w:val="20"/>
          <w:szCs w:val="20"/>
        </w:rPr>
        <w:tab/>
      </w:r>
      <w:r w:rsidRPr="00EF2265">
        <w:rPr>
          <w:rFonts w:ascii="Times New Roman" w:hAnsi="Times New Roman"/>
          <w:bCs/>
          <w:sz w:val="20"/>
          <w:szCs w:val="20"/>
        </w:rPr>
        <w:tab/>
        <w:t>dirigent  Komorného orchestra</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František Török</w:t>
      </w:r>
      <w:r w:rsidRPr="00EF2265">
        <w:rPr>
          <w:rFonts w:ascii="Times New Roman" w:hAnsi="Times New Roman"/>
          <w:bCs/>
          <w:sz w:val="20"/>
          <w:szCs w:val="20"/>
        </w:rPr>
        <w:tab/>
      </w:r>
      <w:r w:rsidRPr="00EF2265">
        <w:rPr>
          <w:rFonts w:ascii="Times New Roman" w:hAnsi="Times New Roman"/>
          <w:bCs/>
          <w:sz w:val="20"/>
          <w:szCs w:val="20"/>
        </w:rPr>
        <w:tab/>
      </w:r>
      <w:r w:rsidRPr="00EF2265">
        <w:rPr>
          <w:rFonts w:ascii="Times New Roman" w:hAnsi="Times New Roman"/>
          <w:bCs/>
          <w:sz w:val="20"/>
          <w:szCs w:val="20"/>
        </w:rPr>
        <w:tab/>
        <w:t>prvé husle  Komorného súboru</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 xml:space="preserve">Andrea Pavlovičová                           koncertná majsterka </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Martina Hudcovská</w:t>
      </w:r>
      <w:r w:rsidRPr="00EF2265">
        <w:rPr>
          <w:rFonts w:ascii="Times New Roman" w:hAnsi="Times New Roman"/>
          <w:bCs/>
          <w:sz w:val="20"/>
          <w:szCs w:val="20"/>
        </w:rPr>
        <w:tab/>
      </w:r>
      <w:r w:rsidRPr="00EF2265">
        <w:rPr>
          <w:rFonts w:ascii="Times New Roman" w:hAnsi="Times New Roman"/>
          <w:bCs/>
          <w:sz w:val="20"/>
          <w:szCs w:val="20"/>
        </w:rPr>
        <w:tab/>
        <w:t xml:space="preserve">organizačná vedúca KO </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Bibiana  Rybarová                             organizačná vedúca KO</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Mgr. Petra Torkošová</w:t>
      </w:r>
      <w:r w:rsidRPr="00EF2265">
        <w:rPr>
          <w:rFonts w:ascii="Times New Roman" w:hAnsi="Times New Roman"/>
          <w:bCs/>
          <w:sz w:val="20"/>
          <w:szCs w:val="20"/>
        </w:rPr>
        <w:tab/>
      </w:r>
      <w:r w:rsidRPr="00EF2265">
        <w:rPr>
          <w:rFonts w:ascii="Times New Roman" w:hAnsi="Times New Roman"/>
          <w:bCs/>
          <w:sz w:val="20"/>
          <w:szCs w:val="20"/>
        </w:rPr>
        <w:tab/>
        <w:t xml:space="preserve">dirigentka Speváckeho zboru </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Kristína Gotthardt</w:t>
      </w:r>
      <w:r w:rsidRPr="00EF2265">
        <w:rPr>
          <w:rFonts w:ascii="Times New Roman" w:hAnsi="Times New Roman"/>
          <w:bCs/>
          <w:sz w:val="20"/>
          <w:szCs w:val="20"/>
        </w:rPr>
        <w:tab/>
        <w:t xml:space="preserve">                            organizačná vedúca SZ </w:t>
      </w:r>
    </w:p>
    <w:p w:rsidR="008E2A03" w:rsidRDefault="008E2A03" w:rsidP="008E2A03">
      <w:pPr>
        <w:ind w:left="-142"/>
        <w:jc w:val="left"/>
        <w:rPr>
          <w:rFonts w:ascii="Times New Roman" w:hAnsi="Times New Roman"/>
          <w:bCs/>
          <w:sz w:val="20"/>
          <w:szCs w:val="20"/>
        </w:rPr>
      </w:pPr>
      <w:r>
        <w:rPr>
          <w:rFonts w:ascii="Times New Roman" w:hAnsi="Times New Roman"/>
          <w:bCs/>
          <w:sz w:val="20"/>
          <w:szCs w:val="20"/>
        </w:rPr>
        <w:t xml:space="preserve"> </w:t>
      </w:r>
    </w:p>
    <w:p w:rsidR="007E1F2D" w:rsidRPr="008E2A03" w:rsidRDefault="007E1F2D" w:rsidP="008E2A03">
      <w:pPr>
        <w:ind w:left="-142"/>
        <w:jc w:val="left"/>
        <w:rPr>
          <w:rFonts w:ascii="Times New Roman" w:hAnsi="Times New Roman"/>
          <w:bCs/>
          <w:sz w:val="20"/>
          <w:szCs w:val="20"/>
        </w:rPr>
      </w:pPr>
      <w:r w:rsidRPr="00EF2265">
        <w:rPr>
          <w:rFonts w:ascii="Times New Roman" w:hAnsi="Times New Roman"/>
          <w:b/>
          <w:sz w:val="20"/>
          <w:szCs w:val="20"/>
        </w:rPr>
        <w:t>Folklórny súbor</w:t>
      </w:r>
    </w:p>
    <w:p w:rsidR="007E1F2D" w:rsidRPr="00EF2265" w:rsidRDefault="007E1F2D" w:rsidP="00E86605">
      <w:pPr>
        <w:ind w:left="-142"/>
        <w:jc w:val="left"/>
        <w:rPr>
          <w:rFonts w:ascii="Times New Roman" w:hAnsi="Times New Roman"/>
          <w:sz w:val="20"/>
          <w:szCs w:val="20"/>
        </w:rPr>
      </w:pPr>
      <w:r w:rsidRPr="00EF2265">
        <w:rPr>
          <w:rFonts w:ascii="Times New Roman" w:hAnsi="Times New Roman"/>
          <w:sz w:val="20"/>
          <w:szCs w:val="20"/>
        </w:rPr>
        <w:t>V prvom polroku 2018 sa súbor pripravoval na nový program venovaný 65.výročiu VUS Technik STU. Okrem prípravy nových programových čísiel Na muzike, Pri Žitave ruža kvitne, Z dvoch strán, Svadobné obrázky, sa hudobná spevácka zložka prípravu na nahrávanie v poradí už piateho CD nosiča   pod názvom Tancujte mládenci / 23 nových speváckych a hudobných čísiel/ .</w:t>
      </w:r>
    </w:p>
    <w:p w:rsidR="007E1F2D" w:rsidRPr="00EF2265" w:rsidRDefault="007E1F2D" w:rsidP="00E86605">
      <w:pPr>
        <w:ind w:left="-142"/>
        <w:jc w:val="left"/>
        <w:rPr>
          <w:rFonts w:ascii="Times New Roman" w:hAnsi="Times New Roman"/>
          <w:color w:val="000000"/>
          <w:sz w:val="20"/>
          <w:szCs w:val="20"/>
        </w:rPr>
      </w:pPr>
      <w:r w:rsidRPr="00EF2265">
        <w:rPr>
          <w:rFonts w:ascii="Times New Roman" w:hAnsi="Times New Roman"/>
          <w:sz w:val="20"/>
          <w:szCs w:val="20"/>
        </w:rPr>
        <w:t xml:space="preserve">Počas leta sa predstavil na Folklórnych festivaloch  Duna Carnival Budapešť 2018, MFF Klenovec – Klenovská Rontouka 2018, MFF Korytárky 2018,  FF Zázrivá 2018,  MFF Červený Kostelec 2018, kde sa žiaľ už nikdy viac zúčastniť nechceme, kvôli nevhodnému ubytovaniu a strave pre súbor, ktorý má byť k dispozícií od rána do neskorých nočných hodín, bez možností vysušenia si krojov, oddýchnutia si počas prestojov medzi jednotlivými programami. Na festivale </w:t>
      </w:r>
      <w:r w:rsidRPr="00EF2265">
        <w:rPr>
          <w:rFonts w:ascii="Times New Roman" w:hAnsi="Times New Roman"/>
          <w:color w:val="000000"/>
          <w:sz w:val="20"/>
          <w:szCs w:val="20"/>
        </w:rPr>
        <w:t>vysokoškolských akademických súborov Akademická Nitra 2018 s choreografiou  Na muzike sme sa stali Laureátmi Akademických folklórnych súborov 2018.</w:t>
      </w:r>
    </w:p>
    <w:p w:rsidR="007E1F2D" w:rsidRPr="00EF2265" w:rsidRDefault="007E1F2D" w:rsidP="00E86605">
      <w:pPr>
        <w:ind w:left="-142"/>
        <w:jc w:val="left"/>
        <w:rPr>
          <w:rFonts w:ascii="Times New Roman" w:hAnsi="Times New Roman"/>
          <w:color w:val="000000"/>
          <w:sz w:val="20"/>
          <w:szCs w:val="20"/>
        </w:rPr>
      </w:pPr>
      <w:r w:rsidRPr="00EF2265">
        <w:rPr>
          <w:rFonts w:ascii="Times New Roman" w:hAnsi="Times New Roman"/>
          <w:color w:val="000000"/>
          <w:sz w:val="20"/>
          <w:szCs w:val="20"/>
        </w:rPr>
        <w:t>Hudobné, tanečné ako aj spevácke nácviky pokračovali aj počas prázdnin 2018. V termíne od 23.júla do 3.augusta boli prázdniny. Po nich sa naskočilo na veľmi prísnu prípravu na výročný program My Technikári – scenár a réžia Ľ. Mešková / I. Hajdučík, texty: Jozef Šulaj. Program pozostával z viacerých folklórnych regiónov Slovenska v prevedení ľudovej hudby, dievčenskej speváckej zložky a tanečného súboru. Okrem nových programových čísiel sa siahlo aj po historických programových číslach z jednotlivých etáp súboru.</w:t>
      </w:r>
    </w:p>
    <w:p w:rsidR="007E1F2D" w:rsidRPr="00EF2265" w:rsidRDefault="007E1F2D" w:rsidP="00E86605">
      <w:pPr>
        <w:ind w:left="-142"/>
        <w:jc w:val="left"/>
        <w:rPr>
          <w:rFonts w:ascii="Times New Roman" w:hAnsi="Times New Roman"/>
          <w:color w:val="000000"/>
          <w:sz w:val="20"/>
          <w:szCs w:val="20"/>
        </w:rPr>
      </w:pPr>
      <w:r w:rsidRPr="00EF2265">
        <w:rPr>
          <w:rFonts w:ascii="Times New Roman" w:hAnsi="Times New Roman"/>
          <w:color w:val="000000"/>
          <w:sz w:val="20"/>
          <w:szCs w:val="20"/>
        </w:rPr>
        <w:t>Na programe sa zúčastnilo 1100 bývalých členov a priateľov súboru Technik. Súčasťou večerného programu bol aj sa krst dvoch publikácií a nového CD nosiču súboru, ktoré vznikli aj vďaka vydavateľstvu Spektrum STU: Technik, umelecká cesta časom / J. Dosza/Ľ. Mešková/- bibliografia súboru od roku 1953 -2018 – 368 strán a Tanec života Cyrila Zálešáka –/ M. Minárik/ J. Dosza/Ľ. Mešková/ – bibliografia zakladateľa folklórneho hnutia na Slovensku a dlhoročného umeleckého vedúceho a choreografa súboru.</w:t>
      </w:r>
    </w:p>
    <w:p w:rsidR="007E1F2D" w:rsidRPr="00EF2265" w:rsidRDefault="007E1F2D" w:rsidP="00E86605">
      <w:pPr>
        <w:ind w:left="-142"/>
        <w:jc w:val="left"/>
        <w:rPr>
          <w:rFonts w:ascii="Times New Roman" w:hAnsi="Times New Roman"/>
          <w:color w:val="000000"/>
          <w:sz w:val="20"/>
          <w:szCs w:val="20"/>
        </w:rPr>
      </w:pPr>
      <w:r w:rsidRPr="00EF2265">
        <w:rPr>
          <w:rFonts w:ascii="Times New Roman" w:hAnsi="Times New Roman"/>
          <w:color w:val="000000"/>
          <w:sz w:val="20"/>
          <w:szCs w:val="20"/>
        </w:rPr>
        <w:t>Na výročie do dnešného dňa prichádza veľa pozitívnych ohlasov.</w:t>
      </w:r>
    </w:p>
    <w:p w:rsidR="007E1F2D" w:rsidRPr="00EF2265" w:rsidRDefault="007E1F2D" w:rsidP="00E86605">
      <w:pPr>
        <w:ind w:left="-142"/>
        <w:jc w:val="left"/>
        <w:rPr>
          <w:rFonts w:ascii="Times New Roman" w:hAnsi="Times New Roman"/>
          <w:color w:val="000000"/>
          <w:sz w:val="20"/>
          <w:szCs w:val="20"/>
        </w:rPr>
      </w:pP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color w:val="000000"/>
          <w:sz w:val="20"/>
          <w:szCs w:val="20"/>
        </w:rPr>
        <w:lastRenderedPageBreak/>
        <w:t xml:space="preserve">Reprízu programu sme prezentovali v Radošinskom naivnom divadle. Spolu so Stavebnou fakultou STU sme oslávili ich výročie. Nakoniec </w:t>
      </w:r>
      <w:r w:rsidRPr="00EF2265">
        <w:rPr>
          <w:rFonts w:ascii="Times New Roman" w:hAnsi="Times New Roman"/>
          <w:bCs/>
          <w:sz w:val="20"/>
          <w:szCs w:val="20"/>
        </w:rPr>
        <w:t>slávnostným koncertom STU Prajeme Vám –  / 17.12.2018/ sme ukončili rovnako ako Spevácky zbor a Komorný orchester úspešne sezónu 2018.</w:t>
      </w:r>
    </w:p>
    <w:p w:rsidR="007E1F2D" w:rsidRPr="00EF2265" w:rsidRDefault="007E1F2D" w:rsidP="00E86605">
      <w:pPr>
        <w:spacing w:line="223" w:lineRule="auto"/>
        <w:jc w:val="left"/>
        <w:rPr>
          <w:rFonts w:ascii="Times New Roman" w:hAnsi="Times New Roman"/>
          <w:b/>
          <w:sz w:val="20"/>
          <w:szCs w:val="20"/>
        </w:rPr>
      </w:pPr>
    </w:p>
    <w:p w:rsidR="007E1F2D" w:rsidRPr="00EF2265" w:rsidRDefault="007E1F2D" w:rsidP="00E86605">
      <w:pPr>
        <w:spacing w:line="223" w:lineRule="auto"/>
        <w:jc w:val="left"/>
        <w:rPr>
          <w:rFonts w:ascii="Times New Roman" w:hAnsi="Times New Roman"/>
          <w:sz w:val="20"/>
          <w:szCs w:val="20"/>
        </w:rPr>
      </w:pPr>
    </w:p>
    <w:p w:rsidR="007E1F2D" w:rsidRPr="00EF2265" w:rsidRDefault="007E1F2D" w:rsidP="00E86605">
      <w:pPr>
        <w:pStyle w:val="Nadpis1"/>
        <w:numPr>
          <w:ilvl w:val="0"/>
          <w:numId w:val="52"/>
        </w:numPr>
        <w:spacing w:line="223" w:lineRule="auto"/>
        <w:rPr>
          <w:rFonts w:ascii="Times New Roman" w:hAnsi="Times New Roman" w:cs="Times New Roman"/>
          <w:sz w:val="20"/>
          <w:szCs w:val="20"/>
        </w:rPr>
      </w:pPr>
      <w:r w:rsidRPr="00EF2265">
        <w:rPr>
          <w:rFonts w:ascii="Times New Roman" w:hAnsi="Times New Roman" w:cs="Times New Roman"/>
          <w:sz w:val="20"/>
          <w:szCs w:val="20"/>
        </w:rPr>
        <w:t>Spevácky zbor</w:t>
      </w:r>
    </w:p>
    <w:p w:rsidR="007E1F2D" w:rsidRPr="00EF2265" w:rsidRDefault="007E1F2D" w:rsidP="00E86605">
      <w:pPr>
        <w:ind w:left="-142"/>
        <w:jc w:val="left"/>
        <w:rPr>
          <w:rFonts w:ascii="Times New Roman" w:hAnsi="Times New Roman"/>
          <w:sz w:val="20"/>
          <w:szCs w:val="20"/>
        </w:rPr>
      </w:pPr>
      <w:r w:rsidRPr="00EF2265">
        <w:rPr>
          <w:rFonts w:ascii="Times New Roman" w:hAnsi="Times New Roman"/>
          <w:sz w:val="20"/>
          <w:szCs w:val="20"/>
        </w:rPr>
        <w:t xml:space="preserve">Spevácky zbor sa v prvom polroku 2018 sústreďoval na  posledné drobné úpravy a doštudovania repertoáru, s ktorým vystupoval na letných zájazdoch. Ešte predtým sa stal dvakrát zlatým víťazom súťaže Slovakia Cantat . </w:t>
      </w:r>
      <w:r w:rsidRPr="00EF2265">
        <w:rPr>
          <w:rFonts w:ascii="Times New Roman" w:hAnsi="Times New Roman"/>
          <w:i/>
          <w:sz w:val="20"/>
          <w:szCs w:val="20"/>
        </w:rPr>
        <w:t>“Technik má veľmi dobrú spevácku základňu, šikovnú a ambicióznu dirigentku, čo iste zúročujú aj na mimo súťažných pódiách, s iným ako folklórnym repertoárom, s akým sa predviedli na súťaži,” povedal Ondrej Šaray člen medzinárodnej poroty, ktorý nás radí medzi najlepšie amatérske vokálne telesá na Slovensku.</w:t>
      </w:r>
      <w:r w:rsidRPr="00EF2265">
        <w:rPr>
          <w:rFonts w:ascii="Times New Roman" w:hAnsi="Times New Roman"/>
          <w:sz w:val="20"/>
          <w:szCs w:val="20"/>
        </w:rPr>
        <w:t xml:space="preserve"> Uprostred júla aj vďaka podpore MŠVVaR zúčastnil festivalu </w:t>
      </w:r>
      <w:hyperlink r:id="rId89" w:tgtFrame="_blank" w:history="1">
        <w:r w:rsidRPr="00EF2265">
          <w:rPr>
            <w:rFonts w:ascii="Times New Roman" w:hAnsi="Times New Roman"/>
            <w:sz w:val="20"/>
            <w:szCs w:val="20"/>
          </w:rPr>
          <w:t>10th International festival of choirs and orchestra</w:t>
        </w:r>
      </w:hyperlink>
      <w:r w:rsidRPr="00EF2265">
        <w:rPr>
          <w:rFonts w:ascii="Times New Roman" w:hAnsi="Times New Roman"/>
          <w:b/>
          <w:bCs/>
          <w:sz w:val="20"/>
          <w:szCs w:val="20"/>
        </w:rPr>
        <w:t xml:space="preserve"> </w:t>
      </w:r>
      <w:r w:rsidRPr="00EF2265">
        <w:rPr>
          <w:rFonts w:ascii="Times New Roman" w:hAnsi="Times New Roman"/>
          <w:bCs/>
          <w:sz w:val="20"/>
          <w:szCs w:val="20"/>
        </w:rPr>
        <w:t>in Tuscany v Montecatini Terme</w:t>
      </w:r>
      <w:r w:rsidRPr="00EF2265">
        <w:rPr>
          <w:rFonts w:ascii="Times New Roman" w:hAnsi="Times New Roman"/>
          <w:b/>
          <w:bCs/>
          <w:sz w:val="20"/>
          <w:szCs w:val="20"/>
        </w:rPr>
        <w:t>.</w:t>
      </w:r>
      <w:r w:rsidRPr="00EF2265">
        <w:rPr>
          <w:rFonts w:ascii="Times New Roman" w:hAnsi="Times New Roman"/>
          <w:sz w:val="20"/>
          <w:szCs w:val="20"/>
        </w:rPr>
        <w:t xml:space="preserve">  Zbor počas festivalu predstavil širokej verejnosti klenoty slovenskej zborovej hudby v podobe interpretácie výberu úprav ľudových piesní z pera slovenských skladateľov. Po ňom načerpali silu na nasledujúci polrok a ďalší zájazd. Ten ich čakal v auguste, kedy sa v dňoch 18-22. zúčastnili </w:t>
      </w:r>
      <w:hyperlink r:id="rId90" w:tgtFrame="_blank" w:history="1">
        <w:r w:rsidRPr="00EF2265">
          <w:rPr>
            <w:rFonts w:ascii="Times New Roman" w:hAnsi="Times New Roman"/>
            <w:sz w:val="20"/>
            <w:szCs w:val="20"/>
          </w:rPr>
          <w:t>12th Cantemus International Choir Festival</w:t>
        </w:r>
      </w:hyperlink>
      <w:r w:rsidRPr="00EF2265">
        <w:rPr>
          <w:rFonts w:ascii="Times New Roman" w:hAnsi="Times New Roman"/>
          <w:b/>
          <w:bCs/>
          <w:sz w:val="20"/>
          <w:szCs w:val="20"/>
        </w:rPr>
        <w:t> </w:t>
      </w:r>
      <w:r w:rsidRPr="00EF2265">
        <w:rPr>
          <w:rFonts w:ascii="Times New Roman" w:hAnsi="Times New Roman"/>
          <w:bCs/>
          <w:sz w:val="20"/>
          <w:szCs w:val="20"/>
        </w:rPr>
        <w:t>v Nyíregyházi</w:t>
      </w:r>
      <w:r w:rsidRPr="00EF2265">
        <w:rPr>
          <w:rFonts w:ascii="Times New Roman" w:hAnsi="Times New Roman"/>
          <w:b/>
          <w:bCs/>
          <w:sz w:val="20"/>
          <w:szCs w:val="20"/>
        </w:rPr>
        <w:t>.</w:t>
      </w:r>
      <w:r w:rsidRPr="00EF2265">
        <w:rPr>
          <w:rFonts w:ascii="Times New Roman" w:hAnsi="Times New Roman"/>
          <w:sz w:val="20"/>
          <w:szCs w:val="20"/>
        </w:rPr>
        <w:t xml:space="preserve"> V Maďarsku sa ich spevácky repertoár taktiež zameriaval hlavne na slovenské ľudové piesne v úpravách skladateľov ako </w:t>
      </w:r>
      <w:r w:rsidRPr="00EF2265">
        <w:rPr>
          <w:rFonts w:ascii="Times New Roman" w:hAnsi="Times New Roman"/>
          <w:bCs/>
          <w:sz w:val="20"/>
          <w:szCs w:val="20"/>
        </w:rPr>
        <w:t>Suchoň, Cikker, Hrušovský, Cón, Šmíd, Hatrík, Breiner i Uhliarik.</w:t>
      </w:r>
      <w:r w:rsidRPr="00EF2265">
        <w:rPr>
          <w:rFonts w:ascii="Times New Roman" w:hAnsi="Times New Roman"/>
          <w:sz w:val="20"/>
          <w:szCs w:val="20"/>
        </w:rPr>
        <w:t xml:space="preserve"> Tento výber skladieb vyplynul z nahrávania CD </w:t>
      </w:r>
      <w:r w:rsidRPr="00EF2265">
        <w:rPr>
          <w:rFonts w:ascii="Times New Roman" w:hAnsi="Times New Roman"/>
          <w:bCs/>
          <w:sz w:val="20"/>
          <w:szCs w:val="20"/>
        </w:rPr>
        <w:t>Ľudové premeny,</w:t>
      </w:r>
      <w:r w:rsidRPr="00EF2265">
        <w:rPr>
          <w:rFonts w:ascii="Times New Roman" w:hAnsi="Times New Roman"/>
          <w:sz w:val="20"/>
          <w:szCs w:val="20"/>
        </w:rPr>
        <w:t xml:space="preserve"> ktoré sa krstilo v júni. Druhý polrok sa niesol v znamení príprav na nasledujúce koncerty :</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Koncert v Pružinskej Jaskyni júl 2018, Slávnostný koncert k 110. výročiu narodenia E. Suchoňa /22.9.2018/. Spevy a spievanky, pocta k 110. výročiu /7.12.2018 v SRO/ - Na koncerte odzneli skladateľove diela ako Spievanky, Slovenské ľudové piesne, Terchovské spevy alebo Piesne z hôr, ktoré boli inšpirované ľudovou piesňou. Interpretmi skladateľových skladieb boli štyri popredné slovenské spevácke zbory Lúčnica, Technik STU, Ad una Corda, Spevácky zbor slovenských učiteľov a  za spoluúčinkovania Symfonického orchestra Slovenského rozhlasu a popredných slovenských sólistov. Išlo o výnimočný a neopakovateľný koncertný formát, avizujúci okrem iného budúcoročné jubileum: 70 rokov od premiéry našej neprekonateľnej národnej opery Krútňava, v ktorej vyvrcholilo Suchoňovo skladateľské majstrovstvo vo vzťahu k ľudovej piesni. Akoby symbolicky sa na koncerte predstavila aj súčasná vynikajúca predstaviteľka Katreny, jednej z hlavných postáv opery Krútňava – Mária Porubčinová, Spevácky zbor svoju úspešnú sezónu ukončil slávnostným koncertom STU Prajeme Vám –  / 17.12.2018/ .</w:t>
      </w:r>
    </w:p>
    <w:p w:rsidR="007E1F2D" w:rsidRPr="00EF2265" w:rsidRDefault="007E1F2D" w:rsidP="00E86605">
      <w:pPr>
        <w:spacing w:line="223" w:lineRule="auto"/>
        <w:jc w:val="left"/>
        <w:rPr>
          <w:rFonts w:ascii="Times New Roman" w:hAnsi="Times New Roman"/>
          <w:sz w:val="20"/>
          <w:szCs w:val="20"/>
        </w:rPr>
      </w:pPr>
    </w:p>
    <w:p w:rsidR="007E1F2D" w:rsidRPr="00EF2265" w:rsidRDefault="007E1F2D" w:rsidP="00E86605">
      <w:pPr>
        <w:pStyle w:val="Nadpis1"/>
        <w:numPr>
          <w:ilvl w:val="0"/>
          <w:numId w:val="41"/>
        </w:numPr>
        <w:spacing w:line="223" w:lineRule="auto"/>
        <w:ind w:left="0" w:firstLine="0"/>
        <w:rPr>
          <w:rFonts w:ascii="Times New Roman" w:hAnsi="Times New Roman" w:cs="Times New Roman"/>
          <w:sz w:val="20"/>
          <w:szCs w:val="20"/>
        </w:rPr>
      </w:pPr>
      <w:r w:rsidRPr="00EF2265">
        <w:rPr>
          <w:rFonts w:ascii="Times New Roman" w:hAnsi="Times New Roman" w:cs="Times New Roman"/>
          <w:sz w:val="20"/>
          <w:szCs w:val="20"/>
        </w:rPr>
        <w:t>Komorný orchester :</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Komorný orchester sa v prvom polroku sústreďoval na prípravu a naštudovaniu diel, potrebných k aktivitám počas roku 2018, ktorý je zároveň výročným rokom.</w:t>
      </w:r>
    </w:p>
    <w:p w:rsidR="007E1F2D" w:rsidRPr="00EF2265" w:rsidRDefault="007E1F2D" w:rsidP="00E86605">
      <w:pPr>
        <w:ind w:left="-142"/>
        <w:jc w:val="left"/>
        <w:rPr>
          <w:rFonts w:ascii="Times New Roman" w:hAnsi="Times New Roman"/>
          <w:bCs/>
          <w:sz w:val="20"/>
          <w:szCs w:val="20"/>
        </w:rPr>
      </w:pPr>
      <w:r w:rsidRPr="00EF2265">
        <w:rPr>
          <w:rFonts w:ascii="Times New Roman" w:hAnsi="Times New Roman"/>
          <w:bCs/>
          <w:sz w:val="20"/>
          <w:szCs w:val="20"/>
        </w:rPr>
        <w:t xml:space="preserve">V máji 2018 sa vďaka mimoriadnej podpore- MŠVVa R – dotácii na zahraničný zájazd pre komorný orchester a Spevácky zbor zúčastnil medzinárodného multi žánrového hudobného festivalu FIMU - </w:t>
      </w:r>
      <w:hyperlink r:id="rId91" w:tgtFrame="_blank" w:history="1">
        <w:r w:rsidRPr="00EF2265">
          <w:rPr>
            <w:rFonts w:ascii="Times New Roman" w:hAnsi="Times New Roman"/>
            <w:bCs/>
            <w:sz w:val="20"/>
            <w:szCs w:val="20"/>
          </w:rPr>
          <w:t>www.fimu.com</w:t>
        </w:r>
      </w:hyperlink>
      <w:r w:rsidRPr="00EF2265">
        <w:rPr>
          <w:rFonts w:ascii="Times New Roman" w:hAnsi="Times New Roman"/>
          <w:bCs/>
          <w:sz w:val="20"/>
          <w:szCs w:val="20"/>
        </w:rPr>
        <w:t>  - vo francúzskom Belforte v dňoch 17.-21. mája 2018. Orchester Technik sa predstavil na dvoch samostatných koncertoch, v sobotu 19. mája v Katedrále St. Christophe a v nedeľu 20. mája na scéne divadla Granit. Koncertný program si vypočulo spolu takmer 800 divákov. V programe koncertov zazneli dve slovenské diela – Musica Slovaca od Ilju Zeljenku s husľovým sólom v podaní Františka Töröka, koncertného majstra a hudobného pedagóga orchestra; a v medzinárodnej i „technikárskej“ premiére skladba Arcott slovenského skladateľa a dirigenta orchestra Mirka Krajčiho. Sólisticky sa na koncerte predstavili aj dve mladé talentované hudobníčky Emma Tarkayová (husle) a Alžbeta Struňáková (hoboj) v Koncerte pre husle, hoboj a sláčiky d mol, BWV 1060. Súčasťou programu boli tiež dve významné skladby z klasického repertoáru pre komorné sláčikové orchestre: Concertino in Sol G. B. Pergolesiho a svetoznáma Serenáda E dur, op. 22 od Antonína Dvořáka. Podľa reakcií poslucháčov aj organizátorov festivalu sa vystúpenie Techniku stretlo s veľkým a pozitívnym ohlasom. V kontexte kvalitných hudobných zoskupení, ktoré organizátori do programu festivalu vybrali, Komorný orchester Technik na vysokej úrovni reprezentoval svoju alma mater - Slovensku technickú univerzitu i slovenskú hudobnú tvorbu a kultúru.  Tradičný letný koncert Komorného orchestra Technik bol 19.6.2018 vo Dvorane VŠMU. Po lete sa orchester predstavil koncertom  v Litomyšli (Česká republika). Po oslovení rodného osvetového centra sa predstavil v rámci festivalu TVORBA, neskôr sa predstavil  svojím zimným koncertom 15.12.2018 vo Dvorane VŠMU , Adventným koncertom Komorného orchestra Technik a Speváckeho zboru Spirituale 16. decembra 2018 v  Zálesí pri Bratislave. Nakoniec slávnostným koncertom STU Prajeme Vám –  / 17.12.2018/ ukončil rovnako ako Spevácky zbor úspešne sezónu 2018.</w:t>
      </w:r>
    </w:p>
    <w:p w:rsidR="007E1F2D" w:rsidRPr="00EF2265" w:rsidRDefault="007E1F2D" w:rsidP="00E86605">
      <w:pPr>
        <w:ind w:left="-142"/>
        <w:jc w:val="left"/>
        <w:rPr>
          <w:rFonts w:ascii="Times New Roman" w:hAnsi="Times New Roman"/>
          <w:bCs/>
          <w:sz w:val="20"/>
          <w:szCs w:val="20"/>
        </w:rPr>
      </w:pPr>
    </w:p>
    <w:p w:rsidR="007E1F2D" w:rsidRPr="00EF2265" w:rsidRDefault="007E1F2D" w:rsidP="00E86605">
      <w:pPr>
        <w:spacing w:line="223" w:lineRule="auto"/>
        <w:jc w:val="left"/>
        <w:rPr>
          <w:rFonts w:ascii="Times New Roman" w:hAnsi="Times New Roman"/>
          <w:sz w:val="20"/>
          <w:szCs w:val="20"/>
        </w:rPr>
      </w:pPr>
      <w:r w:rsidRPr="00EF2265">
        <w:rPr>
          <w:rFonts w:ascii="Times New Roman" w:hAnsi="Times New Roman"/>
          <w:sz w:val="20"/>
          <w:szCs w:val="20"/>
        </w:rPr>
        <w:t>V súčasnom období sa členská základňa pohybuje</w:t>
      </w:r>
      <w:r w:rsidR="004849A8" w:rsidRPr="00EF2265">
        <w:rPr>
          <w:rFonts w:ascii="Times New Roman" w:hAnsi="Times New Roman"/>
          <w:sz w:val="20"/>
          <w:szCs w:val="20"/>
        </w:rPr>
        <w:t xml:space="preserve">: </w:t>
      </w:r>
    </w:p>
    <w:p w:rsidR="007E1F2D" w:rsidRPr="00EF2265" w:rsidRDefault="007E1F2D" w:rsidP="00E86605">
      <w:pPr>
        <w:spacing w:line="223" w:lineRule="auto"/>
        <w:ind w:left="1276"/>
        <w:jc w:val="left"/>
        <w:rPr>
          <w:rFonts w:ascii="Times New Roman" w:hAnsi="Times New Roman"/>
          <w:sz w:val="20"/>
          <w:szCs w:val="20"/>
        </w:rPr>
      </w:pPr>
      <w:r w:rsidRPr="00EF2265">
        <w:rPr>
          <w:rFonts w:ascii="Times New Roman" w:hAnsi="Times New Roman"/>
          <w:sz w:val="20"/>
          <w:szCs w:val="20"/>
        </w:rPr>
        <w:t>FS</w:t>
      </w:r>
      <w:r w:rsidRPr="00EF2265">
        <w:rPr>
          <w:rFonts w:ascii="Times New Roman" w:hAnsi="Times New Roman"/>
          <w:sz w:val="20"/>
          <w:szCs w:val="20"/>
        </w:rPr>
        <w:tab/>
      </w:r>
      <w:r w:rsidRPr="00EF2265">
        <w:rPr>
          <w:rFonts w:ascii="Times New Roman" w:hAnsi="Times New Roman"/>
          <w:sz w:val="20"/>
          <w:szCs w:val="20"/>
        </w:rPr>
        <w:tab/>
        <w:t xml:space="preserve">  69</w:t>
      </w:r>
    </w:p>
    <w:p w:rsidR="007E1F2D" w:rsidRPr="00EF2265" w:rsidRDefault="007E1F2D" w:rsidP="00E86605">
      <w:pPr>
        <w:spacing w:line="223" w:lineRule="auto"/>
        <w:ind w:left="1276"/>
        <w:jc w:val="left"/>
        <w:rPr>
          <w:rFonts w:ascii="Times New Roman" w:hAnsi="Times New Roman"/>
          <w:sz w:val="20"/>
          <w:szCs w:val="20"/>
        </w:rPr>
      </w:pPr>
      <w:r w:rsidRPr="00EF2265">
        <w:rPr>
          <w:rFonts w:ascii="Times New Roman" w:hAnsi="Times New Roman"/>
          <w:sz w:val="20"/>
          <w:szCs w:val="20"/>
        </w:rPr>
        <w:t>KO</w:t>
      </w:r>
      <w:r w:rsidRPr="00EF2265">
        <w:rPr>
          <w:rFonts w:ascii="Times New Roman" w:hAnsi="Times New Roman"/>
          <w:sz w:val="20"/>
          <w:szCs w:val="20"/>
        </w:rPr>
        <w:tab/>
      </w:r>
      <w:r w:rsidRPr="00EF2265">
        <w:rPr>
          <w:rFonts w:ascii="Times New Roman" w:hAnsi="Times New Roman"/>
          <w:sz w:val="20"/>
          <w:szCs w:val="20"/>
        </w:rPr>
        <w:tab/>
        <w:t xml:space="preserve">  23</w:t>
      </w:r>
    </w:p>
    <w:p w:rsidR="007E1F2D" w:rsidRPr="00EF2265" w:rsidRDefault="007E1F2D" w:rsidP="00E86605">
      <w:pPr>
        <w:spacing w:line="223" w:lineRule="auto"/>
        <w:ind w:left="1276"/>
        <w:jc w:val="left"/>
        <w:rPr>
          <w:rFonts w:ascii="Times New Roman" w:hAnsi="Times New Roman"/>
          <w:sz w:val="20"/>
          <w:szCs w:val="20"/>
        </w:rPr>
      </w:pPr>
      <w:r w:rsidRPr="00EF2265">
        <w:rPr>
          <w:rFonts w:ascii="Times New Roman" w:hAnsi="Times New Roman"/>
          <w:sz w:val="20"/>
          <w:szCs w:val="20"/>
        </w:rPr>
        <w:t>SZ</w:t>
      </w:r>
      <w:r w:rsidRPr="00EF2265">
        <w:rPr>
          <w:rFonts w:ascii="Times New Roman" w:hAnsi="Times New Roman"/>
          <w:sz w:val="20"/>
          <w:szCs w:val="20"/>
        </w:rPr>
        <w:tab/>
      </w:r>
      <w:r w:rsidRPr="00EF2265">
        <w:rPr>
          <w:rFonts w:ascii="Times New Roman" w:hAnsi="Times New Roman"/>
          <w:sz w:val="20"/>
          <w:szCs w:val="20"/>
        </w:rPr>
        <w:tab/>
        <w:t xml:space="preserve">  53</w:t>
      </w:r>
    </w:p>
    <w:p w:rsidR="007E1F2D" w:rsidRPr="00EF2265" w:rsidRDefault="007E1F2D" w:rsidP="00E86605">
      <w:pPr>
        <w:spacing w:line="223" w:lineRule="auto"/>
        <w:ind w:left="1276"/>
        <w:jc w:val="left"/>
        <w:rPr>
          <w:rFonts w:ascii="Times New Roman" w:hAnsi="Times New Roman"/>
          <w:sz w:val="20"/>
          <w:szCs w:val="20"/>
          <w:u w:val="single"/>
        </w:rPr>
      </w:pPr>
      <w:r w:rsidRPr="00EF2265">
        <w:rPr>
          <w:rFonts w:ascii="Times New Roman" w:hAnsi="Times New Roman"/>
          <w:sz w:val="20"/>
          <w:szCs w:val="20"/>
          <w:u w:val="single"/>
        </w:rPr>
        <w:t>vedenie</w:t>
      </w:r>
      <w:r w:rsidRPr="00EF2265">
        <w:rPr>
          <w:rFonts w:ascii="Times New Roman" w:hAnsi="Times New Roman"/>
          <w:sz w:val="20"/>
          <w:szCs w:val="20"/>
          <w:u w:val="single"/>
        </w:rPr>
        <w:tab/>
      </w:r>
      <w:r w:rsidRPr="00EF2265">
        <w:rPr>
          <w:rFonts w:ascii="Times New Roman" w:hAnsi="Times New Roman"/>
          <w:sz w:val="20"/>
          <w:szCs w:val="20"/>
          <w:u w:val="single"/>
        </w:rPr>
        <w:tab/>
        <w:t xml:space="preserve">    1</w:t>
      </w:r>
    </w:p>
    <w:p w:rsidR="004849A8" w:rsidRPr="00EF2265" w:rsidRDefault="007E1F2D" w:rsidP="00E86605">
      <w:pPr>
        <w:spacing w:line="223" w:lineRule="auto"/>
        <w:ind w:left="1276"/>
        <w:jc w:val="left"/>
        <w:rPr>
          <w:rFonts w:ascii="Times New Roman" w:hAnsi="Times New Roman"/>
          <w:b/>
          <w:bCs/>
          <w:sz w:val="20"/>
          <w:szCs w:val="20"/>
        </w:rPr>
      </w:pPr>
      <w:r w:rsidRPr="00EF2265">
        <w:rPr>
          <w:rFonts w:ascii="Times New Roman" w:hAnsi="Times New Roman"/>
          <w:b/>
          <w:bCs/>
          <w:sz w:val="20"/>
          <w:szCs w:val="20"/>
        </w:rPr>
        <w:t>celkovo</w:t>
      </w:r>
      <w:r w:rsidRPr="00EF2265">
        <w:rPr>
          <w:rFonts w:ascii="Times New Roman" w:hAnsi="Times New Roman"/>
          <w:b/>
          <w:bCs/>
          <w:sz w:val="20"/>
          <w:szCs w:val="20"/>
        </w:rPr>
        <w:tab/>
      </w:r>
      <w:r w:rsidRPr="00EF2265">
        <w:rPr>
          <w:rFonts w:ascii="Times New Roman" w:hAnsi="Times New Roman"/>
          <w:b/>
          <w:bCs/>
          <w:sz w:val="20"/>
          <w:szCs w:val="20"/>
        </w:rPr>
        <w:tab/>
        <w:t xml:space="preserve">    146</w:t>
      </w:r>
      <w:r w:rsidR="004849A8" w:rsidRPr="00EF2265">
        <w:rPr>
          <w:rFonts w:ascii="Times New Roman" w:hAnsi="Times New Roman"/>
          <w:b/>
          <w:bCs/>
          <w:sz w:val="20"/>
          <w:szCs w:val="20"/>
        </w:rPr>
        <w:t xml:space="preserve">                          </w:t>
      </w:r>
    </w:p>
    <w:p w:rsidR="004849A8" w:rsidRPr="00EF2265" w:rsidRDefault="004849A8" w:rsidP="00E86605">
      <w:pPr>
        <w:spacing w:line="223" w:lineRule="auto"/>
        <w:jc w:val="left"/>
        <w:rPr>
          <w:rFonts w:ascii="Times New Roman" w:hAnsi="Times New Roman"/>
          <w:b/>
          <w:bCs/>
          <w:sz w:val="20"/>
          <w:szCs w:val="20"/>
        </w:rPr>
      </w:pPr>
    </w:p>
    <w:p w:rsidR="004849A8" w:rsidRPr="00EF2265" w:rsidRDefault="004849A8" w:rsidP="00E86605">
      <w:pPr>
        <w:spacing w:line="223" w:lineRule="auto"/>
        <w:jc w:val="left"/>
        <w:rPr>
          <w:rFonts w:ascii="Times New Roman" w:hAnsi="Times New Roman"/>
          <w:b/>
          <w:bCs/>
          <w:sz w:val="20"/>
          <w:szCs w:val="20"/>
        </w:rPr>
      </w:pPr>
    </w:p>
    <w:p w:rsidR="004849A8" w:rsidRPr="00EF2265" w:rsidRDefault="004849A8" w:rsidP="00E86605">
      <w:pPr>
        <w:spacing w:line="223" w:lineRule="auto"/>
        <w:jc w:val="left"/>
        <w:rPr>
          <w:rFonts w:ascii="Times New Roman" w:hAnsi="Times New Roman"/>
          <w:b/>
          <w:bCs/>
          <w:sz w:val="20"/>
          <w:szCs w:val="20"/>
        </w:rPr>
      </w:pPr>
    </w:p>
    <w:p w:rsidR="004849A8" w:rsidRPr="00EF2265" w:rsidRDefault="004849A8" w:rsidP="00E86605">
      <w:pPr>
        <w:jc w:val="left"/>
        <w:rPr>
          <w:rFonts w:ascii="Times New Roman" w:hAnsi="Times New Roman"/>
          <w:b/>
          <w:bCs/>
          <w:sz w:val="20"/>
          <w:szCs w:val="20"/>
        </w:rPr>
      </w:pPr>
      <w:r w:rsidRPr="00EF2265">
        <w:rPr>
          <w:rFonts w:ascii="Times New Roman" w:hAnsi="Times New Roman"/>
          <w:b/>
          <w:bCs/>
          <w:sz w:val="20"/>
          <w:szCs w:val="20"/>
        </w:rPr>
        <w:t xml:space="preserve">9.3. Vydavateľstvo Spektrum STU </w:t>
      </w:r>
    </w:p>
    <w:p w:rsidR="004849A8" w:rsidRPr="00EF2265" w:rsidRDefault="004849A8" w:rsidP="00E86605">
      <w:pPr>
        <w:jc w:val="left"/>
        <w:rPr>
          <w:rFonts w:ascii="Times New Roman" w:hAnsi="Times New Roman"/>
          <w:sz w:val="20"/>
          <w:szCs w:val="20"/>
        </w:rPr>
      </w:pPr>
      <w:r w:rsidRPr="00EF2265">
        <w:rPr>
          <w:rFonts w:ascii="Times New Roman" w:hAnsi="Times New Roman"/>
          <w:sz w:val="20"/>
          <w:szCs w:val="20"/>
        </w:rPr>
        <w:t>Vydavateľstvo Spektrum STU je pracovisko, ktoré vydáva na základe požiadaviek fakúlt a pracovísk STU študijnú literatúru vo forme skrípt, vysokoškolských učebníc a príručiek, monografií, zborníkov vedeckých prác a zborníkov z odborných seminárov a konferencií, odborných časopisov. Okrem literatúry na študijné účely sa venuje aj vydávaniu populárno-náučných publikácií a monografií zameraných na významné osobnosti, stavby, pamiatky a ďalšie oblasti súvisiace s technikou či česko-slovenskou históriou. Väčšina predaja vydavateľskej produkcie sa realizuje prostredníctvom elektronického obchodu (eshop vydavateľstva) a kníhkupectiev lokalizovaných na fakultách, populárno-náučné publikácie sú predávané aj prostredníctvom komerčnej siete kníhkupectiev. Kvalitu pracoviska dokazujú aj viaceré oficiálne ocenenia od národnokultúrnej inštitúcie Literárny fond, ktorá podporuje vznik kvalitných diel v oblasti vedeckej a odbornej literatúry, a pravidelne udeľuje ocenenia výnimočným knihám. V predchádzajúcich dvoch rokoch boli ocenené 4 publikácie z Vydavateľstva SPEKTRUM STU. V minulom roku získala publikácia NAJVÄČŠÍ Z VEĽKÝCH – AUREL BOHUSLAV STODOLA (autor Milan Petráš) z produkcie vydavateľstva SPEKTRUM STU Prémiu za vedeckú a odbornú literatúru v kategórii slovníková a encyklopedická literatúra za rok 2017.</w:t>
      </w:r>
    </w:p>
    <w:p w:rsidR="004849A8" w:rsidRPr="00EF2265" w:rsidRDefault="004849A8" w:rsidP="00E86605">
      <w:pPr>
        <w:pStyle w:val="Default"/>
        <w:rPr>
          <w:rFonts w:ascii="Times New Roman" w:hAnsi="Times New Roman" w:cs="Times New Roman"/>
          <w:sz w:val="20"/>
          <w:szCs w:val="20"/>
          <w:lang w:val="sk-SK"/>
        </w:rPr>
      </w:pPr>
    </w:p>
    <w:p w:rsidR="004849A8" w:rsidRPr="00EF2265" w:rsidRDefault="004849A8" w:rsidP="00E86605">
      <w:pPr>
        <w:jc w:val="left"/>
        <w:rPr>
          <w:rFonts w:ascii="Times New Roman" w:hAnsi="Times New Roman"/>
          <w:b/>
          <w:sz w:val="20"/>
          <w:szCs w:val="20"/>
        </w:rPr>
      </w:pPr>
      <w:r w:rsidRPr="00EF2265">
        <w:rPr>
          <w:rFonts w:ascii="Times New Roman" w:hAnsi="Times New Roman"/>
          <w:b/>
          <w:sz w:val="20"/>
          <w:szCs w:val="20"/>
        </w:rPr>
        <w:t>9.4. Portál absolventov</w:t>
      </w:r>
    </w:p>
    <w:p w:rsidR="004849A8" w:rsidRPr="00EF2265" w:rsidRDefault="004849A8" w:rsidP="00E86605">
      <w:pPr>
        <w:jc w:val="left"/>
        <w:rPr>
          <w:rFonts w:ascii="Times New Roman" w:hAnsi="Times New Roman"/>
          <w:sz w:val="20"/>
          <w:szCs w:val="20"/>
        </w:rPr>
      </w:pPr>
      <w:r w:rsidRPr="00EF2265">
        <w:rPr>
          <w:rFonts w:ascii="Times New Roman" w:hAnsi="Times New Roman"/>
          <w:sz w:val="20"/>
          <w:szCs w:val="20"/>
        </w:rPr>
        <w:t>Portál bol spustený k 25. 2. 2013. Vývoj registrovaných absolventov  ilustruje graf nižšie.</w:t>
      </w:r>
      <w:r w:rsidRPr="00EF2265">
        <w:rPr>
          <w:rFonts w:ascii="Times New Roman" w:hAnsi="Times New Roman"/>
          <w:sz w:val="20"/>
          <w:szCs w:val="20"/>
        </w:rPr>
        <w:br/>
      </w:r>
    </w:p>
    <w:p w:rsidR="004849A8" w:rsidRPr="00EF2265" w:rsidRDefault="004849A8" w:rsidP="00E86605">
      <w:pPr>
        <w:jc w:val="left"/>
        <w:rPr>
          <w:rFonts w:ascii="Times New Roman" w:hAnsi="Times New Roman"/>
          <w:sz w:val="20"/>
          <w:szCs w:val="20"/>
        </w:rPr>
      </w:pPr>
      <w:r w:rsidRPr="00EF2265">
        <w:rPr>
          <w:rFonts w:ascii="Times New Roman" w:hAnsi="Times New Roman"/>
          <w:noProof/>
          <w:sz w:val="20"/>
          <w:szCs w:val="20"/>
          <w:lang w:eastAsia="sk-SK"/>
        </w:rPr>
        <w:drawing>
          <wp:inline distT="0" distB="0" distL="0" distR="0" wp14:anchorId="69366607" wp14:editId="66F50E61">
            <wp:extent cx="5059106" cy="2876550"/>
            <wp:effectExtent l="0" t="0" r="8255"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59106" cy="2876550"/>
                    </a:xfrm>
                    <a:prstGeom prst="rect">
                      <a:avLst/>
                    </a:prstGeom>
                  </pic:spPr>
                </pic:pic>
              </a:graphicData>
            </a:graphic>
          </wp:inline>
        </w:drawing>
      </w:r>
      <w:r w:rsidRPr="00EF2265">
        <w:rPr>
          <w:rFonts w:ascii="Times New Roman" w:hAnsi="Times New Roman"/>
          <w:sz w:val="20"/>
          <w:szCs w:val="20"/>
        </w:rPr>
        <w:br/>
      </w:r>
    </w:p>
    <w:p w:rsidR="004849A8" w:rsidRPr="00EF2265" w:rsidRDefault="004849A8" w:rsidP="00E86605">
      <w:pPr>
        <w:jc w:val="left"/>
        <w:rPr>
          <w:rFonts w:ascii="Times New Roman" w:hAnsi="Times New Roman"/>
          <w:color w:val="000000"/>
          <w:sz w:val="20"/>
          <w:szCs w:val="20"/>
        </w:rPr>
      </w:pPr>
      <w:r w:rsidRPr="00EF2265">
        <w:rPr>
          <w:rFonts w:ascii="Times New Roman" w:hAnsi="Times New Roman"/>
          <w:sz w:val="20"/>
          <w:szCs w:val="20"/>
        </w:rPr>
        <w:t xml:space="preserve">Funkcionality portálu </w:t>
      </w:r>
      <w:r w:rsidRPr="00EF2265">
        <w:rPr>
          <w:rFonts w:ascii="Times New Roman" w:hAnsi="Times New Roman"/>
          <w:sz w:val="20"/>
          <w:szCs w:val="20"/>
        </w:rPr>
        <w:br/>
        <w:t>pre verejnosť</w:t>
      </w:r>
    </w:p>
    <w:p w:rsidR="004849A8" w:rsidRPr="00EF2265" w:rsidRDefault="004849A8" w:rsidP="00E86605">
      <w:pPr>
        <w:numPr>
          <w:ilvl w:val="0"/>
          <w:numId w:val="53"/>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publikovanie aktuálnych informácií z prostredia STU a jej fakúlt</w:t>
      </w:r>
    </w:p>
    <w:p w:rsidR="004849A8" w:rsidRPr="00EF2265" w:rsidRDefault="004849A8" w:rsidP="00E86605">
      <w:pPr>
        <w:numPr>
          <w:ilvl w:val="0"/>
          <w:numId w:val="53"/>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publikovanie informácií o aktuálnych podujatiach (v rámci STU alebo partnerskými inštitúciami)</w:t>
      </w:r>
    </w:p>
    <w:p w:rsidR="004849A8" w:rsidRPr="00EF2265" w:rsidRDefault="004849A8" w:rsidP="00E86605">
      <w:pPr>
        <w:numPr>
          <w:ilvl w:val="0"/>
          <w:numId w:val="53"/>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zasielanie informácií registrovaným odberateľom prostredníctvom Newsletteru</w:t>
      </w:r>
    </w:p>
    <w:p w:rsidR="004849A8" w:rsidRPr="00EF2265" w:rsidRDefault="004849A8" w:rsidP="00E86605">
      <w:pPr>
        <w:numPr>
          <w:ilvl w:val="0"/>
          <w:numId w:val="53"/>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 xml:space="preserve">zverejňovanie pracovných ponúk a brigád určených študentom a absolventom STU externými spoločnosťami </w:t>
      </w:r>
    </w:p>
    <w:p w:rsidR="004849A8" w:rsidRPr="00EF2265" w:rsidRDefault="004849A8" w:rsidP="00E86605">
      <w:pPr>
        <w:numPr>
          <w:ilvl w:val="0"/>
          <w:numId w:val="53"/>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 xml:space="preserve">zverejňovanie dopytov  absolventov STU, hľadajúcich zamestnanie </w:t>
      </w:r>
    </w:p>
    <w:p w:rsidR="004849A8" w:rsidRPr="00EF2265" w:rsidRDefault="004849A8" w:rsidP="00E86605">
      <w:pPr>
        <w:numPr>
          <w:ilvl w:val="0"/>
          <w:numId w:val="53"/>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publikovanie informácií o štipendiách, stážach, súťažiach a postgraduálnych pobytoch</w:t>
      </w:r>
    </w:p>
    <w:p w:rsidR="004849A8" w:rsidRPr="00EF2265" w:rsidRDefault="004849A8" w:rsidP="00E86605">
      <w:pPr>
        <w:numPr>
          <w:ilvl w:val="0"/>
          <w:numId w:val="53"/>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obrazové fotogalérie zo zaujímavých podujatí organizovaných v rámci STU</w:t>
      </w:r>
    </w:p>
    <w:p w:rsidR="004849A8" w:rsidRPr="00EF2265" w:rsidRDefault="004849A8" w:rsidP="00E86605">
      <w:pPr>
        <w:numPr>
          <w:ilvl w:val="0"/>
          <w:numId w:val="53"/>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profilové medailóny významných absolventov STU</w:t>
      </w:r>
    </w:p>
    <w:p w:rsidR="004849A8" w:rsidRPr="00EF2265" w:rsidRDefault="004849A8" w:rsidP="00E86605">
      <w:pPr>
        <w:numPr>
          <w:ilvl w:val="0"/>
          <w:numId w:val="53"/>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možnosť podporiť STU prostredníctvom platobného rozhrania Tatrapay</w:t>
      </w:r>
    </w:p>
    <w:p w:rsidR="004849A8" w:rsidRPr="00EF2265" w:rsidRDefault="004849A8" w:rsidP="00E86605">
      <w:pPr>
        <w:shd w:val="clear" w:color="auto" w:fill="FFFFFF"/>
        <w:spacing w:line="270" w:lineRule="atLeast"/>
        <w:jc w:val="left"/>
        <w:rPr>
          <w:rFonts w:ascii="Times New Roman" w:eastAsia="Times New Roman" w:hAnsi="Times New Roman"/>
          <w:b/>
          <w:bCs/>
          <w:color w:val="333333"/>
          <w:sz w:val="20"/>
          <w:szCs w:val="20"/>
          <w:lang w:eastAsia="sk-SK"/>
        </w:rPr>
      </w:pPr>
    </w:p>
    <w:p w:rsidR="004849A8" w:rsidRPr="00EF2265" w:rsidRDefault="004849A8" w:rsidP="00E86605">
      <w:pPr>
        <w:shd w:val="clear" w:color="auto" w:fill="FFFFFF"/>
        <w:spacing w:line="270" w:lineRule="atLeast"/>
        <w:jc w:val="left"/>
        <w:rPr>
          <w:rFonts w:ascii="Times New Roman" w:eastAsia="Times New Roman" w:hAnsi="Times New Roman"/>
          <w:bCs/>
          <w:color w:val="333333"/>
          <w:sz w:val="20"/>
          <w:szCs w:val="20"/>
          <w:lang w:eastAsia="sk-SK"/>
        </w:rPr>
      </w:pPr>
      <w:r w:rsidRPr="00EF2265">
        <w:rPr>
          <w:rFonts w:ascii="Times New Roman" w:eastAsia="Times New Roman" w:hAnsi="Times New Roman"/>
          <w:bCs/>
          <w:color w:val="333333"/>
          <w:sz w:val="20"/>
          <w:szCs w:val="20"/>
          <w:lang w:eastAsia="sk-SK"/>
        </w:rPr>
        <w:t>pre registrovaných absolventov STU</w:t>
      </w:r>
    </w:p>
    <w:p w:rsidR="004849A8" w:rsidRPr="00EF2265" w:rsidRDefault="004849A8" w:rsidP="00E86605">
      <w:pPr>
        <w:numPr>
          <w:ilvl w:val="0"/>
          <w:numId w:val="54"/>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registrácia na portáli s možnosťou využitia sociálnych  sietí</w:t>
      </w:r>
    </w:p>
    <w:p w:rsidR="004849A8" w:rsidRPr="00EF2265" w:rsidRDefault="004849A8" w:rsidP="00E86605">
      <w:pPr>
        <w:numPr>
          <w:ilvl w:val="0"/>
          <w:numId w:val="54"/>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možnosť získať rôzne zaujímavé bonusy, špeciálne pozvánky na akcie organizované STU</w:t>
      </w:r>
    </w:p>
    <w:p w:rsidR="004849A8" w:rsidRPr="00EF2265" w:rsidRDefault="004849A8" w:rsidP="00E86605">
      <w:pPr>
        <w:numPr>
          <w:ilvl w:val="0"/>
          <w:numId w:val="54"/>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vytvorenie vlastnej profilovej stránky s profilovou fotografiou</w:t>
      </w:r>
    </w:p>
    <w:p w:rsidR="004849A8" w:rsidRPr="00EF2265" w:rsidRDefault="004849A8" w:rsidP="00E86605">
      <w:pPr>
        <w:numPr>
          <w:ilvl w:val="0"/>
          <w:numId w:val="54"/>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vytvorenie osobnej fotogalérie</w:t>
      </w:r>
    </w:p>
    <w:p w:rsidR="004849A8" w:rsidRPr="00EF2265" w:rsidRDefault="004849A8" w:rsidP="00E86605">
      <w:pPr>
        <w:numPr>
          <w:ilvl w:val="0"/>
          <w:numId w:val="54"/>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lastRenderedPageBreak/>
        <w:t>vyhľadávanie v databáze absolventov STU</w:t>
      </w:r>
    </w:p>
    <w:p w:rsidR="004849A8" w:rsidRPr="00EF2265" w:rsidRDefault="004849A8" w:rsidP="00E86605">
      <w:pPr>
        <w:numPr>
          <w:ilvl w:val="0"/>
          <w:numId w:val="54"/>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zoznamy spolužiakov z jednotlivých stupňov vysokoškolského štúdia</w:t>
      </w:r>
    </w:p>
    <w:p w:rsidR="004849A8" w:rsidRPr="00EF2265" w:rsidRDefault="004849A8" w:rsidP="00E86605">
      <w:pPr>
        <w:numPr>
          <w:ilvl w:val="0"/>
          <w:numId w:val="54"/>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možnosť kontaktovať už zaregistrovaných absolventov/spolužiakov</w:t>
      </w:r>
    </w:p>
    <w:p w:rsidR="004849A8" w:rsidRPr="00EF2265" w:rsidRDefault="004849A8" w:rsidP="00E86605">
      <w:pPr>
        <w:numPr>
          <w:ilvl w:val="0"/>
          <w:numId w:val="54"/>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publikovanie oznamov na nástenke portálu pre ostatných absolventov/spolužiakov</w:t>
      </w:r>
    </w:p>
    <w:p w:rsidR="004849A8" w:rsidRPr="00EF2265" w:rsidRDefault="004849A8" w:rsidP="00E86605">
      <w:pPr>
        <w:numPr>
          <w:ilvl w:val="0"/>
          <w:numId w:val="54"/>
        </w:num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vytváranie vlastných virtuálnych krúžkov z už zaregistrovaných absolventov/spolužiakov</w:t>
      </w:r>
    </w:p>
    <w:p w:rsidR="004849A8" w:rsidRPr="00EF2265" w:rsidRDefault="004849A8" w:rsidP="00E86605">
      <w:pPr>
        <w:shd w:val="clear" w:color="auto" w:fill="FFFFFF"/>
        <w:jc w:val="left"/>
        <w:rPr>
          <w:rFonts w:ascii="Times New Roman" w:eastAsia="Times New Roman" w:hAnsi="Times New Roman"/>
          <w:color w:val="333333"/>
          <w:sz w:val="20"/>
          <w:szCs w:val="20"/>
          <w:lang w:eastAsia="sk-SK"/>
        </w:rPr>
      </w:pPr>
    </w:p>
    <w:p w:rsidR="004849A8" w:rsidRPr="00EF2265" w:rsidRDefault="004849A8" w:rsidP="00E86605">
      <w:pPr>
        <w:jc w:val="left"/>
        <w:rPr>
          <w:rFonts w:ascii="Times New Roman" w:eastAsia="Times New Roman" w:hAnsi="Times New Roman"/>
          <w:color w:val="333333"/>
          <w:sz w:val="20"/>
          <w:szCs w:val="20"/>
          <w:lang w:eastAsia="sk-SK"/>
        </w:rPr>
      </w:pPr>
    </w:p>
    <w:p w:rsidR="004849A8" w:rsidRPr="00EF2265" w:rsidRDefault="004849A8" w:rsidP="00E86605">
      <w:pPr>
        <w:shd w:val="clear" w:color="auto" w:fill="FFFFFF"/>
        <w:jc w:val="left"/>
        <w:rPr>
          <w:rFonts w:ascii="Times New Roman" w:eastAsia="Times New Roman" w:hAnsi="Times New Roman"/>
          <w:color w:val="333333"/>
          <w:sz w:val="20"/>
          <w:szCs w:val="20"/>
          <w:lang w:eastAsia="sk-SK"/>
        </w:rPr>
      </w:pPr>
      <w:r w:rsidRPr="00EF2265">
        <w:rPr>
          <w:rFonts w:ascii="Times New Roman" w:eastAsia="Times New Roman" w:hAnsi="Times New Roman"/>
          <w:color w:val="333333"/>
          <w:sz w:val="20"/>
          <w:szCs w:val="20"/>
          <w:lang w:eastAsia="sk-SK"/>
        </w:rPr>
        <w:t>Zmeny v podobe newslet</w:t>
      </w:r>
      <w:r w:rsidR="00E7261D" w:rsidRPr="00EF2265">
        <w:rPr>
          <w:rFonts w:ascii="Times New Roman" w:eastAsia="Times New Roman" w:hAnsi="Times New Roman"/>
          <w:color w:val="333333"/>
          <w:sz w:val="20"/>
          <w:szCs w:val="20"/>
          <w:lang w:eastAsia="sk-SK"/>
        </w:rPr>
        <w:t>te</w:t>
      </w:r>
      <w:r w:rsidRPr="00EF2265">
        <w:rPr>
          <w:rFonts w:ascii="Times New Roman" w:eastAsia="Times New Roman" w:hAnsi="Times New Roman"/>
          <w:color w:val="333333"/>
          <w:sz w:val="20"/>
          <w:szCs w:val="20"/>
          <w:lang w:eastAsia="sk-SK"/>
        </w:rPr>
        <w:t>ra:</w:t>
      </w:r>
    </w:p>
    <w:p w:rsidR="004849A8" w:rsidRPr="00EF2265" w:rsidRDefault="004849A8" w:rsidP="00E86605">
      <w:pPr>
        <w:jc w:val="left"/>
        <w:rPr>
          <w:rFonts w:ascii="Times New Roman" w:hAnsi="Times New Roman"/>
          <w:b/>
          <w:sz w:val="20"/>
          <w:szCs w:val="20"/>
        </w:rPr>
      </w:pPr>
      <w:r w:rsidRPr="00EF2265">
        <w:rPr>
          <w:rFonts w:ascii="Times New Roman" w:hAnsi="Times New Roman"/>
          <w:b/>
          <w:noProof/>
          <w:sz w:val="20"/>
          <w:szCs w:val="20"/>
          <w:lang w:eastAsia="sk-SK"/>
        </w:rPr>
        <w:drawing>
          <wp:inline distT="0" distB="0" distL="0" distR="0" wp14:anchorId="62359865" wp14:editId="3D244FE1">
            <wp:extent cx="2447925" cy="3165737"/>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l_portál_vývoj.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63393" cy="3185741"/>
                    </a:xfrm>
                    <a:prstGeom prst="rect">
                      <a:avLst/>
                    </a:prstGeom>
                  </pic:spPr>
                </pic:pic>
              </a:graphicData>
            </a:graphic>
          </wp:inline>
        </w:drawing>
      </w:r>
    </w:p>
    <w:p w:rsidR="004849A8" w:rsidRPr="00EF2265" w:rsidRDefault="004849A8" w:rsidP="00E86605">
      <w:pPr>
        <w:jc w:val="left"/>
        <w:rPr>
          <w:rFonts w:ascii="Times New Roman" w:hAnsi="Times New Roman"/>
          <w:sz w:val="20"/>
          <w:szCs w:val="20"/>
        </w:rPr>
      </w:pPr>
    </w:p>
    <w:p w:rsidR="004849A8" w:rsidRPr="00EF2265" w:rsidRDefault="004849A8" w:rsidP="00E86605">
      <w:pPr>
        <w:jc w:val="left"/>
        <w:rPr>
          <w:rFonts w:ascii="Times New Roman" w:hAnsi="Times New Roman"/>
          <w:sz w:val="20"/>
          <w:szCs w:val="20"/>
        </w:rPr>
      </w:pPr>
      <w:r w:rsidRPr="00EF2265">
        <w:rPr>
          <w:rFonts w:ascii="Times New Roman" w:hAnsi="Times New Roman"/>
          <w:sz w:val="20"/>
          <w:szCs w:val="20"/>
        </w:rPr>
        <w:t>NL je distribuovaný mesačne, obvykle k 2. dňu v mesiaci (s výnimkou letných prádznin).</w:t>
      </w:r>
    </w:p>
    <w:p w:rsidR="004849A8" w:rsidRPr="00EF2265" w:rsidRDefault="004849A8" w:rsidP="00E86605">
      <w:pPr>
        <w:jc w:val="left"/>
        <w:rPr>
          <w:rFonts w:ascii="Times New Roman" w:hAnsi="Times New Roman"/>
          <w:b/>
          <w:sz w:val="20"/>
          <w:szCs w:val="20"/>
        </w:rPr>
      </w:pPr>
      <w:r w:rsidRPr="00EF2265">
        <w:rPr>
          <w:rFonts w:ascii="Times New Roman" w:hAnsi="Times New Roman"/>
          <w:sz w:val="20"/>
          <w:szCs w:val="20"/>
        </w:rPr>
        <w:t xml:space="preserve">Vývoj na portáli absolventov za uplynulý rok je viditeľný z nižšie uvedenej tabuľky. V porovnaní s rokom 2017 výrazne poklesla distribúcia NL. Pokles bol spôsobený nevyhnutnosťou aplikácie novej legislativy (GDPR). Respondenti reagovali na potvrdenie súhlasu s používaním ich osobných údajov v minimálnej miere, nakoľko </w:t>
      </w:r>
      <w:r w:rsidRPr="00EF2265">
        <w:rPr>
          <w:rFonts w:ascii="Times New Roman" w:hAnsi="Times New Roman"/>
          <w:sz w:val="20"/>
          <w:szCs w:val="20"/>
        </w:rPr>
        <w:br/>
        <w:t>v rovnakom období prichádzali takéto upozornenia od veľkého množstva ďalších subjektov.</w:t>
      </w:r>
      <w:r w:rsidRPr="00EF2265">
        <w:rPr>
          <w:rFonts w:ascii="Times New Roman" w:hAnsi="Times New Roman"/>
          <w:sz w:val="20"/>
          <w:szCs w:val="20"/>
        </w:rPr>
        <w:br/>
      </w:r>
    </w:p>
    <w:p w:rsidR="004849A8" w:rsidRPr="00EF2265" w:rsidRDefault="004849A8" w:rsidP="00E86605">
      <w:pPr>
        <w:jc w:val="left"/>
        <w:rPr>
          <w:rFonts w:ascii="Times New Roman" w:hAnsi="Times New Roman"/>
          <w:b/>
          <w:sz w:val="20"/>
          <w:szCs w:val="20"/>
        </w:rPr>
      </w:pPr>
      <w:r w:rsidRPr="00EF2265">
        <w:rPr>
          <w:rFonts w:ascii="Times New Roman" w:hAnsi="Times New Roman"/>
          <w:noProof/>
          <w:sz w:val="20"/>
          <w:szCs w:val="20"/>
          <w:lang w:eastAsia="sk-SK"/>
        </w:rPr>
        <w:drawing>
          <wp:inline distT="0" distB="0" distL="0" distR="0" wp14:anchorId="351947E0" wp14:editId="25E72DC0">
            <wp:extent cx="6392229" cy="1514475"/>
            <wp:effectExtent l="0" t="0" r="889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17076" cy="1520362"/>
                    </a:xfrm>
                    <a:prstGeom prst="rect">
                      <a:avLst/>
                    </a:prstGeom>
                  </pic:spPr>
                </pic:pic>
              </a:graphicData>
            </a:graphic>
          </wp:inline>
        </w:drawing>
      </w:r>
    </w:p>
    <w:p w:rsidR="004849A8" w:rsidRPr="00EF2265" w:rsidRDefault="004849A8" w:rsidP="00E86605">
      <w:pPr>
        <w:jc w:val="left"/>
        <w:rPr>
          <w:rFonts w:ascii="Times New Roman" w:hAnsi="Times New Roman"/>
          <w:b/>
          <w:sz w:val="20"/>
          <w:szCs w:val="20"/>
        </w:rPr>
      </w:pPr>
    </w:p>
    <w:p w:rsidR="004849A8" w:rsidRPr="00EF2265" w:rsidRDefault="004849A8" w:rsidP="00E86605">
      <w:pPr>
        <w:jc w:val="left"/>
        <w:rPr>
          <w:rFonts w:ascii="Times New Roman" w:hAnsi="Times New Roman"/>
          <w:b/>
          <w:sz w:val="20"/>
          <w:szCs w:val="20"/>
        </w:rPr>
      </w:pPr>
      <w:r w:rsidRPr="00EF2265">
        <w:rPr>
          <w:rFonts w:ascii="Times New Roman" w:hAnsi="Times New Roman"/>
          <w:b/>
          <w:sz w:val="20"/>
          <w:szCs w:val="20"/>
        </w:rPr>
        <w:t>Odporúčania do ďalšieho obdobia</w:t>
      </w:r>
    </w:p>
    <w:p w:rsidR="004849A8" w:rsidRPr="00EF2265" w:rsidRDefault="004849A8" w:rsidP="00E86605">
      <w:pPr>
        <w:spacing w:line="223" w:lineRule="auto"/>
        <w:jc w:val="left"/>
        <w:rPr>
          <w:rFonts w:ascii="Times New Roman" w:hAnsi="Times New Roman"/>
          <w:b/>
          <w:bCs/>
          <w:sz w:val="20"/>
          <w:szCs w:val="20"/>
        </w:rPr>
      </w:pPr>
      <w:r w:rsidRPr="00EF2265">
        <w:rPr>
          <w:rFonts w:ascii="Times New Roman" w:hAnsi="Times New Roman"/>
          <w:sz w:val="20"/>
          <w:szCs w:val="20"/>
        </w:rPr>
        <w:t>Portál by mohol slúžiť ako  skvelý marketingový nástroj STU. Končiacich absolventov sa snažíme motivovať, aby sa na ňom registrovali už po ukončení bakalárskeho štúdia. Veľmi dobrým príkladom príslušnosti k univerzite by mala byť registrácia predovšetkým ich pedagógov, či minimálne členov vedení STU a jej fakúlt, príp. aj ich verejné profily.</w:t>
      </w:r>
      <w:r w:rsidRPr="00EF2265">
        <w:rPr>
          <w:rFonts w:ascii="Times New Roman" w:hAnsi="Times New Roman"/>
          <w:sz w:val="20"/>
          <w:szCs w:val="20"/>
        </w:rPr>
        <w:br/>
      </w:r>
    </w:p>
    <w:p w:rsidR="006D4FAA" w:rsidRPr="00EF2265" w:rsidRDefault="006D4FAA" w:rsidP="00E86605">
      <w:pPr>
        <w:jc w:val="left"/>
        <w:rPr>
          <w:rFonts w:ascii="Times New Roman" w:hAnsi="Times New Roman"/>
          <w:b/>
          <w:bCs/>
          <w:sz w:val="20"/>
          <w:szCs w:val="20"/>
        </w:rPr>
      </w:pPr>
    </w:p>
    <w:p w:rsidR="006D4FAA" w:rsidRPr="00EF2265" w:rsidRDefault="006D4FAA" w:rsidP="00E86605">
      <w:pPr>
        <w:jc w:val="left"/>
        <w:rPr>
          <w:rFonts w:ascii="Times New Roman" w:hAnsi="Times New Roman"/>
          <w:b/>
          <w:bCs/>
          <w:sz w:val="20"/>
          <w:szCs w:val="20"/>
        </w:rPr>
      </w:pPr>
      <w:r w:rsidRPr="00EF2265">
        <w:rPr>
          <w:rFonts w:ascii="Times New Roman" w:hAnsi="Times New Roman"/>
          <w:b/>
          <w:bCs/>
          <w:sz w:val="20"/>
          <w:szCs w:val="20"/>
        </w:rPr>
        <w:t>9.5. Nadácia STU</w:t>
      </w:r>
    </w:p>
    <w:p w:rsidR="006D4FAA" w:rsidRPr="00EF2265" w:rsidRDefault="006D4FAA" w:rsidP="00E86605">
      <w:pPr>
        <w:jc w:val="left"/>
        <w:rPr>
          <w:rFonts w:ascii="Times New Roman" w:eastAsia="Times New Roman" w:hAnsi="Times New Roman"/>
          <w:noProof/>
          <w:sz w:val="20"/>
          <w:szCs w:val="20"/>
          <w:lang w:eastAsia="sk-SK"/>
        </w:rPr>
      </w:pPr>
      <w:r w:rsidRPr="00EF2265">
        <w:rPr>
          <w:rFonts w:ascii="Times New Roman" w:hAnsi="Times New Roman"/>
          <w:b/>
          <w:bCs/>
          <w:sz w:val="20"/>
          <w:szCs w:val="20"/>
        </w:rPr>
        <w:t xml:space="preserve"> </w:t>
      </w:r>
      <w:r w:rsidRPr="00EF2265">
        <w:rPr>
          <w:rFonts w:ascii="Times New Roman" w:eastAsia="Times New Roman" w:hAnsi="Times New Roman"/>
          <w:noProof/>
          <w:sz w:val="20"/>
          <w:szCs w:val="20"/>
          <w:lang w:eastAsia="sk-SK"/>
        </w:rPr>
        <w:t>Účelom nadácie je podporovať vzdelávanie, vedecko-výskumnú činnosť, športové aktivity a rozvoj infraštruktúry STU v Bratislave. Financie získané v rámci nadácie slúžia na:</w:t>
      </w:r>
    </w:p>
    <w:p w:rsidR="006D4FAA" w:rsidRPr="00EF2265" w:rsidRDefault="006D4FAA" w:rsidP="00E86605">
      <w:pPr>
        <w:numPr>
          <w:ilvl w:val="0"/>
          <w:numId w:val="55"/>
        </w:numPr>
        <w:jc w:val="left"/>
        <w:rPr>
          <w:rFonts w:ascii="Times New Roman" w:eastAsia="Times New Roman" w:hAnsi="Times New Roman"/>
          <w:noProof/>
          <w:sz w:val="20"/>
          <w:szCs w:val="20"/>
          <w:lang w:eastAsia="sk-SK"/>
        </w:rPr>
      </w:pPr>
      <w:r w:rsidRPr="00EF2265">
        <w:rPr>
          <w:rFonts w:ascii="Times New Roman" w:eastAsia="Times New Roman" w:hAnsi="Times New Roman"/>
          <w:noProof/>
          <w:sz w:val="20"/>
          <w:szCs w:val="20"/>
          <w:lang w:eastAsia="sk-SK"/>
        </w:rPr>
        <w:t>podporu aktivít nadaných študentov, výskumníkov i športovcov STU formou štipendií, či oceňovaním ich aktivít,</w:t>
      </w:r>
    </w:p>
    <w:p w:rsidR="006D4FAA" w:rsidRPr="00EF2265" w:rsidRDefault="006D4FAA" w:rsidP="00E86605">
      <w:pPr>
        <w:numPr>
          <w:ilvl w:val="0"/>
          <w:numId w:val="55"/>
        </w:numPr>
        <w:spacing w:before="100" w:beforeAutospacing="1" w:after="100" w:afterAutospacing="1"/>
        <w:jc w:val="left"/>
        <w:rPr>
          <w:rFonts w:ascii="Times New Roman" w:eastAsia="Times New Roman" w:hAnsi="Times New Roman"/>
          <w:noProof/>
          <w:sz w:val="20"/>
          <w:szCs w:val="20"/>
          <w:lang w:eastAsia="sk-SK"/>
        </w:rPr>
      </w:pPr>
      <w:r w:rsidRPr="00EF2265">
        <w:rPr>
          <w:rFonts w:ascii="Times New Roman" w:eastAsia="Times New Roman" w:hAnsi="Times New Roman"/>
          <w:noProof/>
          <w:sz w:val="20"/>
          <w:szCs w:val="20"/>
          <w:lang w:eastAsia="sk-SK"/>
        </w:rPr>
        <w:lastRenderedPageBreak/>
        <w:t>vydávanie vedeckých publikácii o výsledkoch výskumu,</w:t>
      </w:r>
    </w:p>
    <w:p w:rsidR="006D4FAA" w:rsidRPr="00EF2265" w:rsidRDefault="006D4FAA" w:rsidP="00E86605">
      <w:pPr>
        <w:numPr>
          <w:ilvl w:val="0"/>
          <w:numId w:val="55"/>
        </w:numPr>
        <w:spacing w:before="100" w:beforeAutospacing="1" w:after="100" w:afterAutospacing="1"/>
        <w:jc w:val="left"/>
        <w:rPr>
          <w:rFonts w:ascii="Times New Roman" w:eastAsia="Times New Roman" w:hAnsi="Times New Roman"/>
          <w:noProof/>
          <w:sz w:val="20"/>
          <w:szCs w:val="20"/>
          <w:lang w:eastAsia="sk-SK"/>
        </w:rPr>
      </w:pPr>
      <w:r w:rsidRPr="00EF2265">
        <w:rPr>
          <w:rFonts w:ascii="Times New Roman" w:eastAsia="Times New Roman" w:hAnsi="Times New Roman"/>
          <w:noProof/>
          <w:sz w:val="20"/>
          <w:szCs w:val="20"/>
          <w:lang w:eastAsia="sk-SK"/>
        </w:rPr>
        <w:t>oceňovanie osobností za významné vedecké prínosy a spoločensky prospešnú činnosť, a to ako z prostredia STU, tak i mimo neho,</w:t>
      </w:r>
    </w:p>
    <w:p w:rsidR="006D4FAA" w:rsidRPr="00EF2265" w:rsidRDefault="006D4FAA" w:rsidP="00E86605">
      <w:pPr>
        <w:numPr>
          <w:ilvl w:val="0"/>
          <w:numId w:val="55"/>
        </w:numPr>
        <w:spacing w:before="100" w:beforeAutospacing="1" w:after="100" w:afterAutospacing="1"/>
        <w:jc w:val="left"/>
        <w:rPr>
          <w:rFonts w:ascii="Times New Roman" w:eastAsia="Times New Roman" w:hAnsi="Times New Roman"/>
          <w:noProof/>
          <w:sz w:val="20"/>
          <w:szCs w:val="20"/>
          <w:lang w:eastAsia="sk-SK"/>
        </w:rPr>
      </w:pPr>
      <w:r w:rsidRPr="00EF2265">
        <w:rPr>
          <w:rFonts w:ascii="Times New Roman" w:eastAsia="Times New Roman" w:hAnsi="Times New Roman"/>
          <w:noProof/>
          <w:sz w:val="20"/>
          <w:szCs w:val="20"/>
          <w:lang w:eastAsia="sk-SK"/>
        </w:rPr>
        <w:t xml:space="preserve">skvalitňovanie prístrojového vybavenia a IKT, </w:t>
      </w:r>
    </w:p>
    <w:p w:rsidR="006D4FAA" w:rsidRPr="00EF2265" w:rsidRDefault="006D4FAA" w:rsidP="00E86605">
      <w:pPr>
        <w:numPr>
          <w:ilvl w:val="0"/>
          <w:numId w:val="55"/>
        </w:numPr>
        <w:spacing w:before="100" w:beforeAutospacing="1" w:after="100" w:afterAutospacing="1"/>
        <w:jc w:val="left"/>
        <w:rPr>
          <w:rFonts w:ascii="Times New Roman" w:eastAsia="Times New Roman" w:hAnsi="Times New Roman"/>
          <w:noProof/>
          <w:sz w:val="20"/>
          <w:szCs w:val="20"/>
          <w:lang w:eastAsia="sk-SK"/>
        </w:rPr>
      </w:pPr>
      <w:r w:rsidRPr="00EF2265">
        <w:rPr>
          <w:rFonts w:ascii="Times New Roman" w:eastAsia="Times New Roman" w:hAnsi="Times New Roman"/>
          <w:noProof/>
          <w:sz w:val="20"/>
          <w:szCs w:val="20"/>
          <w:lang w:eastAsia="sk-SK"/>
        </w:rPr>
        <w:t>zlepšovanie technického stavu budov a zariadení univerzity.</w:t>
      </w:r>
    </w:p>
    <w:p w:rsidR="006D4FAA" w:rsidRPr="00EF2265" w:rsidRDefault="006D4FAA" w:rsidP="00E86605">
      <w:pPr>
        <w:pStyle w:val="Obyajntext"/>
        <w:ind w:left="720"/>
        <w:jc w:val="left"/>
        <w:rPr>
          <w:rFonts w:ascii="Times New Roman" w:hAnsi="Times New Roman" w:cs="Times New Roman"/>
          <w:sz w:val="20"/>
          <w:szCs w:val="20"/>
        </w:rPr>
      </w:pPr>
      <w:r w:rsidRPr="00EF2265">
        <w:rPr>
          <w:rFonts w:ascii="Times New Roman" w:hAnsi="Times New Roman" w:cs="Times New Roman"/>
          <w:sz w:val="20"/>
          <w:szCs w:val="20"/>
        </w:rPr>
        <w:t>V roku 2018 boli zdroje nadácie použité:</w:t>
      </w:r>
    </w:p>
    <w:p w:rsidR="006D4FAA" w:rsidRPr="00EF2265" w:rsidRDefault="006D4FAA" w:rsidP="00E86605">
      <w:pPr>
        <w:pStyle w:val="Obyajntext"/>
        <w:numPr>
          <w:ilvl w:val="0"/>
          <w:numId w:val="55"/>
        </w:numPr>
        <w:jc w:val="left"/>
        <w:rPr>
          <w:rFonts w:ascii="Times New Roman" w:hAnsi="Times New Roman" w:cs="Times New Roman"/>
          <w:sz w:val="20"/>
          <w:szCs w:val="20"/>
        </w:rPr>
      </w:pPr>
      <w:r w:rsidRPr="00EF2265">
        <w:rPr>
          <w:rFonts w:ascii="Times New Roman" w:hAnsi="Times New Roman" w:cs="Times New Roman"/>
          <w:sz w:val="20"/>
          <w:szCs w:val="20"/>
        </w:rPr>
        <w:t>v rámci podpory styku s verejnosťou a propagácie STU bolo podporené podujatie "65. výročie VUS Technik STU",</w:t>
      </w:r>
    </w:p>
    <w:p w:rsidR="006D4FAA" w:rsidRPr="00EF2265" w:rsidRDefault="006D4FAA" w:rsidP="00E86605">
      <w:pPr>
        <w:pStyle w:val="Obyajntext"/>
        <w:numPr>
          <w:ilvl w:val="0"/>
          <w:numId w:val="55"/>
        </w:numPr>
        <w:jc w:val="left"/>
        <w:rPr>
          <w:rFonts w:ascii="Times New Roman" w:hAnsi="Times New Roman" w:cs="Times New Roman"/>
          <w:sz w:val="20"/>
          <w:szCs w:val="20"/>
        </w:rPr>
      </w:pPr>
      <w:r w:rsidRPr="00EF2265">
        <w:rPr>
          <w:rFonts w:ascii="Times New Roman" w:hAnsi="Times New Roman" w:cs="Times New Roman"/>
          <w:sz w:val="20"/>
          <w:szCs w:val="20"/>
        </w:rPr>
        <w:t>z grantu MACENATA FOUNDATION bola podporená činnosť Univerzitného technologického inkubátora STU,</w:t>
      </w:r>
    </w:p>
    <w:p w:rsidR="006D4FAA" w:rsidRPr="00EF2265" w:rsidRDefault="006D4FAA" w:rsidP="00E86605">
      <w:pPr>
        <w:pStyle w:val="Obyajntext"/>
        <w:numPr>
          <w:ilvl w:val="0"/>
          <w:numId w:val="55"/>
        </w:numPr>
        <w:jc w:val="left"/>
        <w:rPr>
          <w:rFonts w:ascii="Times New Roman" w:hAnsi="Times New Roman" w:cs="Times New Roman"/>
          <w:sz w:val="20"/>
          <w:szCs w:val="20"/>
        </w:rPr>
      </w:pPr>
      <w:r w:rsidRPr="00EF2265">
        <w:rPr>
          <w:rFonts w:ascii="Times New Roman" w:hAnsi="Times New Roman" w:cs="Times New Roman"/>
          <w:sz w:val="20"/>
          <w:szCs w:val="20"/>
        </w:rPr>
        <w:t>z nadačného fondu Slavojovcov bol podporený projekt na Katedre geodézie Stavebnej fakulty STU s názvom: Automatizácia spracovania mračien bodov.</w:t>
      </w:r>
    </w:p>
    <w:p w:rsidR="006D4FAA" w:rsidRPr="00EF2265" w:rsidRDefault="006D4FAA" w:rsidP="00E86605">
      <w:pPr>
        <w:spacing w:line="223" w:lineRule="auto"/>
        <w:jc w:val="left"/>
        <w:rPr>
          <w:rFonts w:ascii="Times New Roman" w:hAnsi="Times New Roman"/>
          <w:b/>
          <w:bCs/>
          <w:sz w:val="20"/>
          <w:szCs w:val="20"/>
        </w:rPr>
      </w:pPr>
    </w:p>
    <w:p w:rsidR="00F92E1D" w:rsidRPr="00EF2265" w:rsidRDefault="00F92E1D" w:rsidP="00E86605">
      <w:pPr>
        <w:spacing w:line="223" w:lineRule="auto"/>
        <w:jc w:val="left"/>
        <w:rPr>
          <w:rFonts w:ascii="Times New Roman" w:hAnsi="Times New Roman"/>
          <w:b/>
          <w:bCs/>
          <w:sz w:val="20"/>
          <w:szCs w:val="20"/>
        </w:rPr>
      </w:pPr>
    </w:p>
    <w:p w:rsidR="00F92E1D" w:rsidRPr="00EF2265" w:rsidRDefault="00F92E1D" w:rsidP="00E86605">
      <w:pPr>
        <w:spacing w:line="223" w:lineRule="auto"/>
        <w:jc w:val="left"/>
        <w:rPr>
          <w:rFonts w:ascii="Times New Roman" w:hAnsi="Times New Roman"/>
          <w:b/>
          <w:bCs/>
          <w:sz w:val="20"/>
          <w:szCs w:val="20"/>
        </w:rPr>
      </w:pPr>
      <w:r w:rsidRPr="00EF2265">
        <w:rPr>
          <w:rFonts w:ascii="Times New Roman" w:hAnsi="Times New Roman"/>
          <w:b/>
          <w:bCs/>
          <w:sz w:val="20"/>
          <w:szCs w:val="20"/>
        </w:rPr>
        <w:t>9.6. Centrum akademického športu STU</w:t>
      </w:r>
    </w:p>
    <w:p w:rsidR="00F92E1D" w:rsidRPr="00EF2265" w:rsidRDefault="00F92E1D" w:rsidP="00E86605">
      <w:pPr>
        <w:autoSpaceDE w:val="0"/>
        <w:autoSpaceDN w:val="0"/>
        <w:adjustRightInd w:val="0"/>
        <w:jc w:val="left"/>
        <w:rPr>
          <w:rFonts w:ascii="Times New Roman" w:hAnsi="Times New Roman"/>
          <w:sz w:val="20"/>
          <w:szCs w:val="20"/>
        </w:rPr>
      </w:pPr>
      <w:r w:rsidRPr="00EF2265">
        <w:rPr>
          <w:rFonts w:ascii="Times New Roman" w:hAnsi="Times New Roman"/>
          <w:sz w:val="20"/>
          <w:szCs w:val="20"/>
        </w:rPr>
        <w:t xml:space="preserve">Centrum akademického športu je správcom unikátneho športového areálu Mladá garda, ktorý je umiestnený za internátom Mladá garda na Račianskej ulici 103. V areáli sa nachádza atletický štadión s oficiálnym 400m tartanovým oválom, veľké futbalové ihrisko s umelou trávou, 7 tenisových kurtov, 2 beachvolejbalové ihriská a 2 multifunknčné ihriská. Celý areál je k dispozícii všetkým študentom STU. </w:t>
      </w:r>
    </w:p>
    <w:p w:rsidR="00F92E1D" w:rsidRPr="00EF2265" w:rsidRDefault="00F92E1D" w:rsidP="00E86605">
      <w:pPr>
        <w:autoSpaceDE w:val="0"/>
        <w:autoSpaceDN w:val="0"/>
        <w:adjustRightInd w:val="0"/>
        <w:jc w:val="left"/>
        <w:rPr>
          <w:rFonts w:ascii="Times New Roman" w:hAnsi="Times New Roman"/>
          <w:sz w:val="20"/>
          <w:szCs w:val="20"/>
        </w:rPr>
      </w:pPr>
      <w:r w:rsidRPr="00EF2265">
        <w:rPr>
          <w:rFonts w:ascii="Times New Roman" w:hAnsi="Times New Roman"/>
          <w:sz w:val="20"/>
          <w:szCs w:val="20"/>
        </w:rPr>
        <w:t>V roku 2018 sa podarilo vymeniť umelú trávu na futbalovom ihrisku a pribudla malá tribúna. Zvýšená kvalita ihriska sa prejavila na zvýšenom záujme o ihrisko.</w:t>
      </w:r>
    </w:p>
    <w:p w:rsidR="00F92E1D" w:rsidRPr="00EF2265" w:rsidRDefault="00F92E1D" w:rsidP="00E86605">
      <w:pPr>
        <w:autoSpaceDE w:val="0"/>
        <w:autoSpaceDN w:val="0"/>
        <w:adjustRightInd w:val="0"/>
        <w:jc w:val="left"/>
        <w:rPr>
          <w:rFonts w:ascii="Times New Roman" w:hAnsi="Times New Roman"/>
          <w:sz w:val="20"/>
          <w:szCs w:val="20"/>
        </w:rPr>
      </w:pPr>
      <w:r w:rsidRPr="00EF2265">
        <w:rPr>
          <w:rFonts w:ascii="Times New Roman" w:hAnsi="Times New Roman"/>
          <w:sz w:val="20"/>
          <w:szCs w:val="20"/>
        </w:rPr>
        <w:t>Na ostatných športoviskách prebiehala bežná údržba a opravy.</w:t>
      </w:r>
    </w:p>
    <w:p w:rsidR="00F92E1D" w:rsidRPr="00EF2265" w:rsidRDefault="00F92E1D" w:rsidP="00E86605">
      <w:pPr>
        <w:autoSpaceDE w:val="0"/>
        <w:autoSpaceDN w:val="0"/>
        <w:adjustRightInd w:val="0"/>
        <w:jc w:val="left"/>
        <w:rPr>
          <w:rFonts w:ascii="Times New Roman" w:hAnsi="Times New Roman"/>
          <w:sz w:val="20"/>
          <w:szCs w:val="20"/>
        </w:rPr>
      </w:pPr>
      <w:r w:rsidRPr="00EF2265">
        <w:rPr>
          <w:rFonts w:ascii="Times New Roman" w:hAnsi="Times New Roman"/>
          <w:sz w:val="20"/>
          <w:szCs w:val="20"/>
        </w:rPr>
        <w:t xml:space="preserve">V rámci propagácie sa nám darilo získavať nových klientov na naše športoviská a to hlavne vďaka plne funkčnej web stránke </w:t>
      </w:r>
      <w:hyperlink r:id="rId95" w:history="1">
        <w:r w:rsidRPr="00EF2265">
          <w:rPr>
            <w:rStyle w:val="Hypertextovprepojenie"/>
            <w:rFonts w:ascii="Times New Roman" w:hAnsi="Times New Roman"/>
            <w:sz w:val="20"/>
            <w:szCs w:val="20"/>
          </w:rPr>
          <w:t>www.stusport.sk</w:t>
        </w:r>
      </w:hyperlink>
      <w:r w:rsidRPr="00EF2265">
        <w:rPr>
          <w:rFonts w:ascii="Times New Roman" w:hAnsi="Times New Roman"/>
          <w:sz w:val="20"/>
          <w:szCs w:val="20"/>
        </w:rPr>
        <w:t xml:space="preserve"> </w:t>
      </w:r>
    </w:p>
    <w:p w:rsidR="00F92E1D" w:rsidRPr="00EF2265" w:rsidRDefault="00F92E1D" w:rsidP="00E86605">
      <w:pPr>
        <w:autoSpaceDE w:val="0"/>
        <w:autoSpaceDN w:val="0"/>
        <w:adjustRightInd w:val="0"/>
        <w:jc w:val="left"/>
        <w:rPr>
          <w:rFonts w:ascii="Times New Roman" w:hAnsi="Times New Roman"/>
          <w:sz w:val="20"/>
          <w:szCs w:val="20"/>
        </w:rPr>
      </w:pPr>
      <w:r w:rsidRPr="00EF2265">
        <w:rPr>
          <w:rFonts w:ascii="Times New Roman" w:hAnsi="Times New Roman"/>
          <w:sz w:val="20"/>
          <w:szCs w:val="20"/>
        </w:rPr>
        <w:t xml:space="preserve">Centrum akademického športu STU každoročne organizuje a zastrešuje Majstrovstvá STU – o pohár rektora. Každý rok sa konajú súťaže pre študentov a každé dva roky sa konajú Majstrovstvá aj pre zamestnancov. Areál CAŠ STU je prístupný a pomáha pri organizovaní športových dní jednotlivých fakúlt STU. </w:t>
      </w:r>
    </w:p>
    <w:p w:rsidR="00F92E1D" w:rsidRPr="00EF2265" w:rsidRDefault="00F92E1D" w:rsidP="00E86605">
      <w:pPr>
        <w:autoSpaceDE w:val="0"/>
        <w:autoSpaceDN w:val="0"/>
        <w:adjustRightInd w:val="0"/>
        <w:jc w:val="left"/>
        <w:rPr>
          <w:rFonts w:ascii="Times New Roman" w:hAnsi="Times New Roman"/>
          <w:sz w:val="20"/>
          <w:szCs w:val="20"/>
        </w:rPr>
      </w:pPr>
      <w:r w:rsidRPr="00EF2265">
        <w:rPr>
          <w:rFonts w:ascii="Times New Roman" w:hAnsi="Times New Roman"/>
          <w:sz w:val="20"/>
          <w:szCs w:val="20"/>
        </w:rPr>
        <w:t>Na športoviskách CAŠ STU sa konalo v roku 2018 veľmi veľa športových podujatí. Medzi najvýznamnejšie určite patrili atletické súťaže (Memoriál T. Babiaka, M-SR juniorov a Turnaj 4 miest), ďalej z futbalových súťaží to boli hlavne dlhodobé súťaže Vysokoškolskej ligy, Oblastné a Okresné kolá základných a stredných škôl, ligy v malom futbale a iné.</w:t>
      </w:r>
    </w:p>
    <w:p w:rsidR="00F92E1D" w:rsidRPr="00EF2265" w:rsidRDefault="00F92E1D" w:rsidP="00E86605">
      <w:pPr>
        <w:spacing w:line="223" w:lineRule="auto"/>
        <w:jc w:val="left"/>
        <w:rPr>
          <w:rFonts w:ascii="Times New Roman" w:hAnsi="Times New Roman"/>
          <w:b/>
          <w:bCs/>
          <w:sz w:val="20"/>
          <w:szCs w:val="20"/>
        </w:rPr>
      </w:pPr>
    </w:p>
    <w:p w:rsidR="006A6FF7" w:rsidRPr="00EF2265" w:rsidRDefault="006A6FF7" w:rsidP="00E86605">
      <w:pPr>
        <w:spacing w:line="223" w:lineRule="auto"/>
        <w:jc w:val="left"/>
        <w:rPr>
          <w:rFonts w:ascii="Times New Roman" w:hAnsi="Times New Roman"/>
          <w:b/>
          <w:bCs/>
          <w:sz w:val="20"/>
          <w:szCs w:val="20"/>
        </w:rPr>
      </w:pPr>
    </w:p>
    <w:p w:rsidR="00F5050D" w:rsidRDefault="00F5050D" w:rsidP="00E86605">
      <w:pPr>
        <w:spacing w:line="223" w:lineRule="auto"/>
        <w:jc w:val="left"/>
        <w:rPr>
          <w:rFonts w:ascii="Times New Roman" w:hAnsi="Times New Roman"/>
          <w:b/>
          <w:bCs/>
        </w:rPr>
      </w:pPr>
    </w:p>
    <w:p w:rsidR="00664B31" w:rsidRPr="00F5050D" w:rsidRDefault="00664B31" w:rsidP="00E86605">
      <w:pPr>
        <w:spacing w:line="223" w:lineRule="auto"/>
        <w:jc w:val="left"/>
        <w:rPr>
          <w:rFonts w:ascii="Times New Roman" w:hAnsi="Times New Roman"/>
          <w:b/>
          <w:bCs/>
        </w:rPr>
      </w:pPr>
      <w:r w:rsidRPr="00F5050D">
        <w:rPr>
          <w:rFonts w:ascii="Times New Roman" w:hAnsi="Times New Roman"/>
          <w:b/>
          <w:bCs/>
        </w:rPr>
        <w:t>10 Rozvoj vysokej školy</w:t>
      </w:r>
    </w:p>
    <w:p w:rsidR="00F5050D" w:rsidRDefault="00F5050D" w:rsidP="00E86605">
      <w:pPr>
        <w:jc w:val="left"/>
        <w:rPr>
          <w:rFonts w:ascii="Times New Roman" w:hAnsi="Times New Roman"/>
          <w:noProof/>
          <w:sz w:val="20"/>
          <w:szCs w:val="20"/>
        </w:rPr>
      </w:pPr>
    </w:p>
    <w:p w:rsidR="001535EB" w:rsidRPr="00EF2265" w:rsidRDefault="001535EB" w:rsidP="00E86605">
      <w:pPr>
        <w:jc w:val="left"/>
        <w:rPr>
          <w:rFonts w:ascii="Times New Roman" w:hAnsi="Times New Roman"/>
          <w:b/>
          <w:noProof/>
          <w:sz w:val="20"/>
          <w:szCs w:val="20"/>
        </w:rPr>
      </w:pPr>
      <w:r w:rsidRPr="00EF2265">
        <w:rPr>
          <w:rFonts w:ascii="Times New Roman" w:hAnsi="Times New Roman"/>
          <w:noProof/>
          <w:sz w:val="20"/>
          <w:szCs w:val="20"/>
        </w:rPr>
        <w:t xml:space="preserve">Slovenská technická univerzita v Bratislave dokončila v ostatných rokoch  významné rozvojové projekty -  </w:t>
      </w:r>
      <w:r w:rsidRPr="00EF2265">
        <w:rPr>
          <w:rFonts w:ascii="Times New Roman" w:hAnsi="Times New Roman"/>
          <w:b/>
          <w:noProof/>
          <w:sz w:val="20"/>
          <w:szCs w:val="20"/>
        </w:rPr>
        <w:t>Univerzitný vedecký park Science City v Bratislave a Univerzitný vedecký park Cambo v Trnave.</w:t>
      </w:r>
      <w:r w:rsidRPr="00EF2265">
        <w:rPr>
          <w:rFonts w:ascii="Times New Roman" w:hAnsi="Times New Roman"/>
          <w:noProof/>
          <w:sz w:val="20"/>
          <w:szCs w:val="20"/>
        </w:rPr>
        <w:t xml:space="preserve"> V rámci projektov boli na STU vybudované a zrekonštruované </w:t>
      </w:r>
      <w:r w:rsidRPr="00EF2265">
        <w:rPr>
          <w:rFonts w:ascii="Times New Roman" w:hAnsi="Times New Roman"/>
          <w:b/>
          <w:noProof/>
          <w:sz w:val="20"/>
          <w:szCs w:val="20"/>
        </w:rPr>
        <w:t xml:space="preserve">nové vedecké laboratória so špičkovými prístrojmi. </w:t>
      </w:r>
    </w:p>
    <w:p w:rsidR="001535EB" w:rsidRPr="00EF2265" w:rsidRDefault="001535EB" w:rsidP="00E86605">
      <w:pPr>
        <w:jc w:val="left"/>
        <w:rPr>
          <w:rFonts w:ascii="Times New Roman" w:hAnsi="Times New Roman"/>
          <w:noProof/>
          <w:sz w:val="20"/>
          <w:szCs w:val="20"/>
        </w:rPr>
      </w:pPr>
      <w:r w:rsidRPr="00EF2265">
        <w:rPr>
          <w:rFonts w:ascii="Times New Roman" w:hAnsi="Times New Roman"/>
          <w:noProof/>
          <w:sz w:val="20"/>
          <w:szCs w:val="20"/>
        </w:rPr>
        <w:t xml:space="preserve">V nasledujúcich rokoch 2016-18 sa vybudovanie novej infraštruktúry prejavilo aj na úspechu STU v medzinárodných grantových programoch. Spomedzi slovenských univerzít je STU najúspešnejšou vzdelávacou inštitúciou v zapojení do Horizontu 2020. </w:t>
      </w:r>
    </w:p>
    <w:p w:rsidR="00C77320" w:rsidRPr="00EF2265" w:rsidRDefault="00C77320" w:rsidP="00E86605">
      <w:pPr>
        <w:jc w:val="left"/>
        <w:rPr>
          <w:rFonts w:ascii="Times New Roman" w:hAnsi="Times New Roman"/>
          <w:noProof/>
          <w:sz w:val="20"/>
          <w:szCs w:val="20"/>
        </w:rPr>
      </w:pPr>
    </w:p>
    <w:p w:rsidR="001535EB" w:rsidRPr="00EF2265" w:rsidRDefault="001535EB" w:rsidP="00E86605">
      <w:pPr>
        <w:jc w:val="left"/>
        <w:rPr>
          <w:rFonts w:ascii="Times New Roman" w:hAnsi="Times New Roman"/>
          <w:noProof/>
          <w:sz w:val="20"/>
          <w:szCs w:val="20"/>
        </w:rPr>
      </w:pPr>
      <w:r w:rsidRPr="00EF2265">
        <w:rPr>
          <w:rFonts w:ascii="Times New Roman" w:hAnsi="Times New Roman"/>
          <w:noProof/>
          <w:sz w:val="20"/>
          <w:szCs w:val="20"/>
        </w:rPr>
        <w:t>Avšak investíciami do budov sledovala univerzita v posledných rokoch tiež zvýšenie energetického štandardu budov. Išlo na jednotlivých súčastiach v priebehu rokoch 2011-201</w:t>
      </w:r>
      <w:r w:rsidR="001517E1" w:rsidRPr="00EF2265">
        <w:rPr>
          <w:rFonts w:ascii="Times New Roman" w:hAnsi="Times New Roman"/>
          <w:noProof/>
          <w:sz w:val="20"/>
          <w:szCs w:val="20"/>
        </w:rPr>
        <w:t>8</w:t>
      </w:r>
      <w:r w:rsidRPr="00EF2265">
        <w:rPr>
          <w:rFonts w:ascii="Times New Roman" w:hAnsi="Times New Roman"/>
          <w:noProof/>
          <w:sz w:val="20"/>
          <w:szCs w:val="20"/>
        </w:rPr>
        <w:t xml:space="preserve"> o tieto investície: SvF - opláštenie výškovej budovy, FIIT  - novostavba postavená už v novom energetickom štandarde, FCHPT - zateplenie obvodového plášta, FEI - zateplenie obvodového plášťa blokov B-E, FA - výmena okien, SjF -  čiastočná výmena okien, ŠD Jura Hronca – zateplenie plášťa, výmena okien, celková obnova, ŠD Mladá garda – opravy striech a fasády, výmeny okien, obnov celého areálu univerzity, Mladosť – postupná celková rekonštrukcia, ktorá pokračuje aj v tomto roku. </w:t>
      </w:r>
    </w:p>
    <w:p w:rsidR="001535EB" w:rsidRPr="00EF2265" w:rsidRDefault="001535EB" w:rsidP="00E86605">
      <w:pPr>
        <w:jc w:val="left"/>
        <w:rPr>
          <w:rFonts w:ascii="Times New Roman" w:hAnsi="Times New Roman"/>
          <w:noProof/>
          <w:sz w:val="20"/>
          <w:szCs w:val="20"/>
        </w:rPr>
      </w:pPr>
    </w:p>
    <w:p w:rsidR="001535EB" w:rsidRPr="00EF2265" w:rsidRDefault="001535EB" w:rsidP="00E86605">
      <w:pPr>
        <w:jc w:val="left"/>
        <w:rPr>
          <w:rFonts w:ascii="Times New Roman" w:hAnsi="Times New Roman"/>
          <w:noProof/>
          <w:sz w:val="20"/>
          <w:szCs w:val="20"/>
        </w:rPr>
      </w:pPr>
      <w:r w:rsidRPr="00EF2265">
        <w:rPr>
          <w:rFonts w:ascii="Times New Roman" w:hAnsi="Times New Roman"/>
          <w:noProof/>
          <w:sz w:val="20"/>
          <w:szCs w:val="20"/>
        </w:rPr>
        <w:t xml:space="preserve">V nasledujúcom období si STU stanovila plán rozvoja s rovnakým zámerom – zatraktívniť prostredie v ktorom trávia študenti  čas svojho štúdia i voľný čas, pokračovať v budovaní výskumnej infraštruktúry, ako aj naďalej znižovať energetickú náročnosť budov. </w:t>
      </w:r>
    </w:p>
    <w:p w:rsidR="001535EB" w:rsidRPr="00EF2265" w:rsidRDefault="001535EB" w:rsidP="00E86605">
      <w:pPr>
        <w:jc w:val="left"/>
        <w:rPr>
          <w:rFonts w:ascii="Times New Roman" w:hAnsi="Times New Roman"/>
          <w:noProof/>
          <w:sz w:val="20"/>
          <w:szCs w:val="20"/>
        </w:rPr>
      </w:pPr>
      <w:r w:rsidRPr="00EF2265">
        <w:rPr>
          <w:rFonts w:ascii="Times New Roman" w:hAnsi="Times New Roman"/>
          <w:noProof/>
          <w:sz w:val="20"/>
          <w:szCs w:val="20"/>
        </w:rPr>
        <w:t>Zámerom je financovať rozvoj univerzity do veľkej miery s podporou štrukturálnych fondov. STU spoločne sa Univerzitou Komenského pripravili z tohto dôvodu rozvojový projekt ACCORD</w:t>
      </w:r>
      <w:r w:rsidRPr="00EF2265">
        <w:rPr>
          <w:rFonts w:ascii="Times New Roman" w:hAnsi="Times New Roman"/>
          <w:bCs/>
          <w:noProof/>
          <w:sz w:val="20"/>
          <w:szCs w:val="20"/>
        </w:rPr>
        <w:t xml:space="preserve"> (</w:t>
      </w:r>
      <w:r w:rsidRPr="00EF2265">
        <w:rPr>
          <w:rFonts w:ascii="Times New Roman" w:hAnsi="Times New Roman"/>
          <w:bCs/>
          <w:i/>
          <w:iCs/>
          <w:noProof/>
          <w:sz w:val="20"/>
          <w:szCs w:val="20"/>
        </w:rPr>
        <w:t>A</w:t>
      </w:r>
      <w:r w:rsidRPr="00EF2265">
        <w:rPr>
          <w:rFonts w:ascii="Times New Roman" w:hAnsi="Times New Roman"/>
          <w:i/>
          <w:iCs/>
          <w:noProof/>
          <w:sz w:val="20"/>
          <w:szCs w:val="20"/>
        </w:rPr>
        <w:t xml:space="preserve">dvancing university </w:t>
      </w:r>
      <w:r w:rsidRPr="00EF2265">
        <w:rPr>
          <w:rFonts w:ascii="Times New Roman" w:hAnsi="Times New Roman"/>
          <w:bCs/>
          <w:i/>
          <w:iCs/>
          <w:noProof/>
          <w:sz w:val="20"/>
          <w:szCs w:val="20"/>
        </w:rPr>
        <w:t>C</w:t>
      </w:r>
      <w:r w:rsidRPr="00EF2265">
        <w:rPr>
          <w:rFonts w:ascii="Times New Roman" w:hAnsi="Times New Roman"/>
          <w:i/>
          <w:iCs/>
          <w:noProof/>
          <w:sz w:val="20"/>
          <w:szCs w:val="20"/>
        </w:rPr>
        <w:t xml:space="preserve">apacity and </w:t>
      </w:r>
      <w:r w:rsidRPr="00EF2265">
        <w:rPr>
          <w:rFonts w:ascii="Times New Roman" w:hAnsi="Times New Roman"/>
          <w:bCs/>
          <w:i/>
          <w:iCs/>
          <w:noProof/>
          <w:sz w:val="20"/>
          <w:szCs w:val="20"/>
        </w:rPr>
        <w:t>CO</w:t>
      </w:r>
      <w:r w:rsidRPr="00EF2265">
        <w:rPr>
          <w:rFonts w:ascii="Times New Roman" w:hAnsi="Times New Roman"/>
          <w:i/>
          <w:iCs/>
          <w:noProof/>
          <w:sz w:val="20"/>
          <w:szCs w:val="20"/>
        </w:rPr>
        <w:t xml:space="preserve">mpetence in </w:t>
      </w:r>
      <w:r w:rsidRPr="00EF2265">
        <w:rPr>
          <w:rFonts w:ascii="Times New Roman" w:hAnsi="Times New Roman"/>
          <w:bCs/>
          <w:i/>
          <w:iCs/>
          <w:noProof/>
          <w:sz w:val="20"/>
          <w:szCs w:val="20"/>
        </w:rPr>
        <w:t>R</w:t>
      </w:r>
      <w:r w:rsidRPr="00EF2265">
        <w:rPr>
          <w:rFonts w:ascii="Times New Roman" w:hAnsi="Times New Roman"/>
          <w:i/>
          <w:iCs/>
          <w:noProof/>
          <w:sz w:val="20"/>
          <w:szCs w:val="20"/>
        </w:rPr>
        <w:t xml:space="preserve">esearch, </w:t>
      </w:r>
      <w:r w:rsidRPr="00EF2265">
        <w:rPr>
          <w:rFonts w:ascii="Times New Roman" w:hAnsi="Times New Roman"/>
          <w:bCs/>
          <w:i/>
          <w:iCs/>
          <w:noProof/>
          <w:sz w:val="20"/>
          <w:szCs w:val="20"/>
        </w:rPr>
        <w:t>D</w:t>
      </w:r>
      <w:r w:rsidRPr="00EF2265">
        <w:rPr>
          <w:rFonts w:ascii="Times New Roman" w:hAnsi="Times New Roman"/>
          <w:i/>
          <w:iCs/>
          <w:noProof/>
          <w:sz w:val="20"/>
          <w:szCs w:val="20"/>
        </w:rPr>
        <w:t>evelopment and innovation/ Zlepšenie univerzitných kapacít a kompetencií vo výskume, vývoji a inováciách</w:t>
      </w:r>
      <w:r w:rsidRPr="00EF2265">
        <w:rPr>
          <w:rFonts w:ascii="Times New Roman" w:hAnsi="Times New Roman"/>
          <w:noProof/>
          <w:sz w:val="20"/>
          <w:szCs w:val="20"/>
        </w:rPr>
        <w:t xml:space="preserve">). </w:t>
      </w:r>
      <w:r w:rsidR="008D333D" w:rsidRPr="00EF2265">
        <w:rPr>
          <w:rFonts w:ascii="Times New Roman" w:hAnsi="Times New Roman"/>
          <w:noProof/>
          <w:sz w:val="20"/>
          <w:szCs w:val="20"/>
        </w:rPr>
        <w:t xml:space="preserve">K projektu bolo podané ACN od spoločnosti JASPERS, v ktorom bol vyjadrený súhlas </w:t>
      </w:r>
      <w:r w:rsidR="00DD74C2" w:rsidRPr="00EF2265">
        <w:rPr>
          <w:rFonts w:ascii="Times New Roman" w:hAnsi="Times New Roman"/>
          <w:noProof/>
          <w:sz w:val="20"/>
          <w:szCs w:val="20"/>
        </w:rPr>
        <w:t xml:space="preserve">s predkladaným projektom (vyšlo to 20.12.2018). </w:t>
      </w:r>
      <w:r w:rsidR="008D333D" w:rsidRPr="00EF2265">
        <w:rPr>
          <w:rFonts w:ascii="Times New Roman" w:hAnsi="Times New Roman"/>
          <w:noProof/>
          <w:sz w:val="20"/>
          <w:szCs w:val="20"/>
        </w:rPr>
        <w:t xml:space="preserve"> </w:t>
      </w:r>
    </w:p>
    <w:p w:rsidR="001535EB" w:rsidRPr="00EF2265" w:rsidRDefault="001535EB" w:rsidP="00E86605">
      <w:pPr>
        <w:jc w:val="left"/>
        <w:rPr>
          <w:rFonts w:ascii="Times New Roman" w:hAnsi="Times New Roman"/>
          <w:noProof/>
          <w:sz w:val="20"/>
          <w:szCs w:val="20"/>
          <w:u w:val="single"/>
        </w:rPr>
      </w:pPr>
    </w:p>
    <w:p w:rsidR="001535EB" w:rsidRPr="00EF2265" w:rsidRDefault="001535EB" w:rsidP="00E86605">
      <w:pPr>
        <w:jc w:val="left"/>
        <w:rPr>
          <w:rFonts w:ascii="Times New Roman" w:hAnsi="Times New Roman"/>
          <w:b/>
          <w:noProof/>
          <w:sz w:val="20"/>
          <w:szCs w:val="20"/>
        </w:rPr>
      </w:pPr>
      <w:r w:rsidRPr="00EF2265">
        <w:rPr>
          <w:rFonts w:ascii="Times New Roman" w:hAnsi="Times New Roman"/>
          <w:b/>
          <w:noProof/>
          <w:sz w:val="20"/>
          <w:szCs w:val="20"/>
        </w:rPr>
        <w:t>Plán prioritných investičných akcií STU:</w:t>
      </w:r>
    </w:p>
    <w:p w:rsidR="001535EB" w:rsidRPr="00EF2265" w:rsidRDefault="001535EB" w:rsidP="00E86605">
      <w:pPr>
        <w:jc w:val="left"/>
        <w:rPr>
          <w:rFonts w:ascii="Times New Roman" w:hAnsi="Times New Roman"/>
          <w:noProof/>
          <w:sz w:val="20"/>
          <w:szCs w:val="20"/>
        </w:rPr>
      </w:pPr>
      <w:r w:rsidRPr="00EF2265">
        <w:rPr>
          <w:rFonts w:ascii="Times New Roman" w:hAnsi="Times New Roman"/>
          <w:noProof/>
          <w:sz w:val="20"/>
          <w:szCs w:val="20"/>
        </w:rPr>
        <w:t>Rekonštrukcia bloku „B“ Stavebnej fakulty</w:t>
      </w:r>
    </w:p>
    <w:p w:rsidR="001535EB" w:rsidRPr="00EF2265" w:rsidRDefault="001535EB" w:rsidP="00E86605">
      <w:pPr>
        <w:jc w:val="left"/>
        <w:rPr>
          <w:rFonts w:ascii="Times New Roman" w:hAnsi="Times New Roman"/>
          <w:noProof/>
          <w:sz w:val="20"/>
          <w:szCs w:val="20"/>
        </w:rPr>
      </w:pPr>
      <w:r w:rsidRPr="00EF2265">
        <w:rPr>
          <w:rFonts w:ascii="Times New Roman" w:hAnsi="Times New Roman"/>
          <w:noProof/>
          <w:sz w:val="20"/>
          <w:szCs w:val="20"/>
        </w:rPr>
        <w:t>Výmena okien a zateplenie fasády Strojníckej fakulty</w:t>
      </w:r>
    </w:p>
    <w:p w:rsidR="001535EB" w:rsidRPr="00EF2265" w:rsidRDefault="001535EB" w:rsidP="00E86605">
      <w:pPr>
        <w:jc w:val="left"/>
        <w:rPr>
          <w:rFonts w:ascii="Times New Roman" w:hAnsi="Times New Roman"/>
          <w:noProof/>
          <w:sz w:val="20"/>
          <w:szCs w:val="20"/>
        </w:rPr>
      </w:pPr>
      <w:r w:rsidRPr="00EF2265">
        <w:rPr>
          <w:rFonts w:ascii="Times New Roman" w:hAnsi="Times New Roman"/>
          <w:noProof/>
          <w:sz w:val="20"/>
          <w:szCs w:val="20"/>
        </w:rPr>
        <w:t>Modernizácia starej budovy FCHPT</w:t>
      </w:r>
    </w:p>
    <w:p w:rsidR="001535EB" w:rsidRPr="00EF2265" w:rsidRDefault="001535EB" w:rsidP="00E86605">
      <w:pPr>
        <w:jc w:val="left"/>
        <w:rPr>
          <w:rFonts w:ascii="Times New Roman" w:hAnsi="Times New Roman"/>
          <w:noProof/>
          <w:sz w:val="20"/>
          <w:szCs w:val="20"/>
        </w:rPr>
      </w:pPr>
      <w:r w:rsidRPr="00EF2265">
        <w:rPr>
          <w:rFonts w:ascii="Times New Roman" w:hAnsi="Times New Roman"/>
          <w:noProof/>
          <w:sz w:val="20"/>
          <w:szCs w:val="20"/>
        </w:rPr>
        <w:t xml:space="preserve">Dokončenie opláštenia  a obnova interiérov FEI      </w:t>
      </w:r>
    </w:p>
    <w:p w:rsidR="001535EB" w:rsidRPr="00EF2265" w:rsidRDefault="001535EB" w:rsidP="00E86605">
      <w:pPr>
        <w:jc w:val="left"/>
        <w:rPr>
          <w:rFonts w:ascii="Times New Roman" w:hAnsi="Times New Roman"/>
          <w:noProof/>
          <w:sz w:val="20"/>
          <w:szCs w:val="20"/>
        </w:rPr>
      </w:pPr>
      <w:r w:rsidRPr="00EF2265">
        <w:rPr>
          <w:rFonts w:ascii="Times New Roman" w:hAnsi="Times New Roman"/>
          <w:noProof/>
          <w:sz w:val="20"/>
          <w:szCs w:val="20"/>
        </w:rPr>
        <w:t>Pokračovanie rekoštrukčných prác na ŠD Mladosť, Dobrovičova, Športové centrum na ŠD Jura Hronca, Nikosa Belojanisa</w:t>
      </w:r>
    </w:p>
    <w:p w:rsidR="001535EB" w:rsidRPr="00EF2265" w:rsidRDefault="001535EB" w:rsidP="00E86605">
      <w:pPr>
        <w:jc w:val="left"/>
        <w:rPr>
          <w:rFonts w:ascii="Times New Roman" w:hAnsi="Times New Roman"/>
          <w:noProof/>
          <w:sz w:val="20"/>
          <w:szCs w:val="20"/>
        </w:rPr>
      </w:pPr>
      <w:r w:rsidRPr="00EF2265">
        <w:rPr>
          <w:rFonts w:ascii="Times New Roman" w:hAnsi="Times New Roman"/>
          <w:noProof/>
          <w:sz w:val="20"/>
          <w:szCs w:val="20"/>
        </w:rPr>
        <w:t xml:space="preserve">Modernizácia objektov v Trnávke </w:t>
      </w:r>
    </w:p>
    <w:p w:rsidR="001535EB" w:rsidRPr="00EF2265" w:rsidRDefault="001535EB" w:rsidP="00E86605">
      <w:pPr>
        <w:spacing w:line="223" w:lineRule="auto"/>
        <w:jc w:val="left"/>
        <w:rPr>
          <w:rFonts w:ascii="Times New Roman" w:hAnsi="Times New Roman"/>
          <w:b/>
          <w:bCs/>
          <w:sz w:val="20"/>
          <w:szCs w:val="20"/>
        </w:rPr>
      </w:pPr>
    </w:p>
    <w:p w:rsidR="00306555" w:rsidRPr="00EF2265" w:rsidRDefault="00306555" w:rsidP="00E86605">
      <w:pPr>
        <w:spacing w:line="223" w:lineRule="auto"/>
        <w:jc w:val="left"/>
        <w:rPr>
          <w:rFonts w:ascii="Times New Roman" w:hAnsi="Times New Roman"/>
          <w:b/>
          <w:bCs/>
          <w:sz w:val="20"/>
          <w:szCs w:val="20"/>
        </w:rPr>
      </w:pPr>
    </w:p>
    <w:p w:rsidR="00306555" w:rsidRPr="00EF2265" w:rsidRDefault="00306555" w:rsidP="00E86605">
      <w:pPr>
        <w:jc w:val="left"/>
        <w:rPr>
          <w:rFonts w:ascii="Times New Roman" w:hAnsi="Times New Roman"/>
          <w:sz w:val="20"/>
          <w:szCs w:val="20"/>
        </w:rPr>
      </w:pPr>
      <w:r w:rsidRPr="00EF2265">
        <w:rPr>
          <w:rFonts w:ascii="Times New Roman" w:hAnsi="Times New Roman"/>
          <w:b/>
          <w:sz w:val="20"/>
          <w:szCs w:val="20"/>
        </w:rPr>
        <w:t>Časť Medzinárodnej spolupráce – EIT</w:t>
      </w:r>
    </w:p>
    <w:p w:rsidR="00306555" w:rsidRPr="00EF2265" w:rsidRDefault="00306555" w:rsidP="00E86605">
      <w:pPr>
        <w:jc w:val="left"/>
        <w:rPr>
          <w:rFonts w:ascii="Times New Roman" w:hAnsi="Times New Roman"/>
          <w:sz w:val="20"/>
          <w:szCs w:val="20"/>
        </w:rPr>
      </w:pPr>
      <w:r w:rsidRPr="00EF2265">
        <w:rPr>
          <w:rFonts w:ascii="Times New Roman" w:hAnsi="Times New Roman"/>
          <w:sz w:val="20"/>
          <w:szCs w:val="20"/>
        </w:rPr>
        <w:t>Európsky inovačný a technologický inštitút (EIT) je nezávislý orgán EÚ so sídlom v Budapešti, ktorého úlohou je posilňovanie inovačnej schopnosti Európy. EIT zohráva veľmi dôležitú úlohu v podporovaní cieľov EÚ zameraných na vytváranie trvalo udržateľného hospodárskeho rastu a pracovných miest tým, že umožňuje podnikateľom a inovátorom transformovať ich najlepšie nápady na produkty a služby pre Európu.</w:t>
      </w:r>
    </w:p>
    <w:p w:rsidR="00306555" w:rsidRPr="00EF2265" w:rsidRDefault="00306555" w:rsidP="00E86605">
      <w:pPr>
        <w:jc w:val="left"/>
        <w:rPr>
          <w:rFonts w:ascii="Times New Roman" w:hAnsi="Times New Roman"/>
          <w:sz w:val="20"/>
          <w:szCs w:val="20"/>
        </w:rPr>
      </w:pPr>
      <w:r w:rsidRPr="00EF2265">
        <w:rPr>
          <w:rFonts w:ascii="Times New Roman" w:hAnsi="Times New Roman"/>
          <w:sz w:val="20"/>
          <w:szCs w:val="20"/>
        </w:rPr>
        <w:t>EIT podnecuje podnikateľský talent a podporuje nové nápady a sústreďuje vo „vedomostnom trojuholníku“ popredné podniky, univerzity a výskumné centrá, ktoré tvoria dynamické cezhraničné partnerstvá nazývané inovačné spoločenstvá (KIC – znalostné a inovačné spoločenstvo).</w:t>
      </w:r>
    </w:p>
    <w:p w:rsidR="00306555" w:rsidRPr="00EF2265" w:rsidRDefault="00306555" w:rsidP="00E86605">
      <w:pPr>
        <w:jc w:val="left"/>
        <w:rPr>
          <w:rFonts w:ascii="Times New Roman" w:hAnsi="Times New Roman"/>
          <w:sz w:val="20"/>
          <w:szCs w:val="20"/>
        </w:rPr>
      </w:pPr>
      <w:r w:rsidRPr="00EF2265">
        <w:rPr>
          <w:rFonts w:ascii="Times New Roman" w:hAnsi="Times New Roman"/>
          <w:sz w:val="20"/>
          <w:szCs w:val="20"/>
        </w:rPr>
        <w:t>Poslaním EIT je:</w:t>
      </w:r>
    </w:p>
    <w:p w:rsidR="00306555" w:rsidRPr="00EF2265" w:rsidRDefault="00306555" w:rsidP="00E86605">
      <w:pPr>
        <w:numPr>
          <w:ilvl w:val="0"/>
          <w:numId w:val="56"/>
        </w:numPr>
        <w:spacing w:after="160" w:line="259" w:lineRule="auto"/>
        <w:jc w:val="left"/>
        <w:rPr>
          <w:rFonts w:ascii="Times New Roman" w:hAnsi="Times New Roman"/>
          <w:sz w:val="20"/>
          <w:szCs w:val="20"/>
        </w:rPr>
      </w:pPr>
      <w:r w:rsidRPr="00EF2265">
        <w:rPr>
          <w:rFonts w:ascii="Times New Roman" w:hAnsi="Times New Roman"/>
          <w:sz w:val="20"/>
          <w:szCs w:val="20"/>
        </w:rPr>
        <w:t>prispievať ku konkurencieschopnosti Európy, k jej udržateľnému hospodárskemu rastu a vytváraniu pracovných miest podporovaním a posilňovaním synergií a spolupráce medzi podnikmi, vzdelávacími inštitúciami a výskumnými organizáciami,</w:t>
      </w:r>
    </w:p>
    <w:p w:rsidR="00306555" w:rsidRPr="00EF2265" w:rsidRDefault="00306555" w:rsidP="00E86605">
      <w:pPr>
        <w:numPr>
          <w:ilvl w:val="0"/>
          <w:numId w:val="56"/>
        </w:numPr>
        <w:spacing w:after="160" w:line="259" w:lineRule="auto"/>
        <w:jc w:val="left"/>
        <w:rPr>
          <w:rFonts w:ascii="Times New Roman" w:hAnsi="Times New Roman"/>
          <w:sz w:val="20"/>
          <w:szCs w:val="20"/>
        </w:rPr>
      </w:pPr>
      <w:r w:rsidRPr="00EF2265">
        <w:rPr>
          <w:rFonts w:ascii="Times New Roman" w:hAnsi="Times New Roman"/>
          <w:sz w:val="20"/>
          <w:szCs w:val="20"/>
        </w:rPr>
        <w:t>vytvárať priaznivé prostredie pre tvorivé myšlienky s cieľom umožniť v Európe rozvíjanie inovácií a podnikania na svetovej úrovni.</w:t>
      </w:r>
    </w:p>
    <w:p w:rsidR="00306555" w:rsidRPr="00EF2265" w:rsidRDefault="00306555" w:rsidP="00E86605">
      <w:pPr>
        <w:jc w:val="left"/>
        <w:rPr>
          <w:rFonts w:ascii="Times New Roman" w:hAnsi="Times New Roman"/>
          <w:sz w:val="20"/>
          <w:szCs w:val="20"/>
        </w:rPr>
      </w:pPr>
    </w:p>
    <w:p w:rsidR="00306555" w:rsidRPr="00EF2265" w:rsidRDefault="00306555" w:rsidP="00E86605">
      <w:pPr>
        <w:pStyle w:val="yiv5001537072msolistparagraph"/>
        <w:shd w:val="clear" w:color="auto" w:fill="FFFFFF"/>
        <w:spacing w:before="0" w:beforeAutospacing="0" w:after="0" w:afterAutospacing="0" w:line="276" w:lineRule="auto"/>
        <w:rPr>
          <w:color w:val="26282A"/>
          <w:sz w:val="20"/>
          <w:szCs w:val="20"/>
        </w:rPr>
      </w:pPr>
      <w:r w:rsidRPr="00EF2265">
        <w:rPr>
          <w:bCs/>
          <w:color w:val="26282A"/>
          <w:sz w:val="20"/>
          <w:szCs w:val="20"/>
        </w:rPr>
        <w:t>V súčasnosti je STUBA členom v KIC RawMaterials (od roku 2017) a v KIC Manufacturing (od roku 2018), no v roku 2018 aplikovala aj do KIC Food s ambíciou uchádzať sa aj o ďalšie členstvá v tejto schéme do budúcna. Hlavným benefitom členstva v organizácii KIC EIT je možnosť uchádzať sa o granty na úrovni H2020 financované Európskou komisiou v rámci uzatvorenej skupiny stoviek partnerov - firiem, výskumných inštitúcií a univerzít. Úspešnosť získavania projektov cca 30-50%. Členstvo zároveň umožňuje STU nadväzovať nové kontakty s partnermi a otvára možnosť spolupráce aj v ďalších medzinárodných schémach. V rámci KIC RawMaterials STUBA podala v roku 2018 2 projektové návrhy (</w:t>
      </w:r>
      <w:r w:rsidRPr="00EF2265">
        <w:rPr>
          <w:color w:val="26282A"/>
          <w:sz w:val="20"/>
          <w:szCs w:val="20"/>
        </w:rPr>
        <w:t xml:space="preserve">ALUMINIUM COMMUNITY. Processing of Spent PotLining and Red Mud by Thermal Treatment in the ESEE a ProSkill. Development of Skill Ecosystem in Visegrád Four countries) </w:t>
      </w:r>
      <w:r w:rsidRPr="00EF2265">
        <w:rPr>
          <w:bCs/>
          <w:color w:val="26282A"/>
          <w:sz w:val="20"/>
          <w:szCs w:val="20"/>
        </w:rPr>
        <w:t>a uchádza sa o financovanie. V roku 2019 STUBA pripravuje niekoľko projektových návrhov v rámci viacerých hlavných pilierov (vzdelávanie, inovácie, biznis a RIS) ako aj 4 hlavných flagshipov KIC Manufacturing. STUBA v súvislosti s pripravenými a pripravovanými projektami a celej EIT spolupráce navštívila niekoľko odborných a networkingových podujatí, kde získala množstvo cenných kontaktov pre vytvorenie nových konrozcií nielej v oblasti EIT.</w:t>
      </w:r>
    </w:p>
    <w:p w:rsidR="00306555" w:rsidRPr="00EF2265" w:rsidRDefault="00306555" w:rsidP="00E86605">
      <w:pPr>
        <w:spacing w:line="223" w:lineRule="auto"/>
        <w:jc w:val="left"/>
        <w:rPr>
          <w:rFonts w:ascii="Times New Roman" w:hAnsi="Times New Roman"/>
          <w:b/>
          <w:bCs/>
          <w:sz w:val="20"/>
          <w:szCs w:val="20"/>
        </w:rPr>
      </w:pPr>
    </w:p>
    <w:p w:rsidR="00A1222F" w:rsidRPr="00C92355" w:rsidRDefault="00A1222F" w:rsidP="00E86605">
      <w:pPr>
        <w:pStyle w:val="Nadpis1"/>
        <w:keepNext w:val="0"/>
        <w:keepLines w:val="0"/>
        <w:numPr>
          <w:ilvl w:val="1"/>
          <w:numId w:val="56"/>
        </w:numPr>
        <w:tabs>
          <w:tab w:val="clear" w:pos="426"/>
        </w:tabs>
        <w:spacing w:before="480" w:after="240"/>
        <w:rPr>
          <w:rFonts w:ascii="Times New Roman" w:hAnsi="Times New Roman" w:cs="Times New Roman"/>
          <w:color w:val="auto"/>
        </w:rPr>
      </w:pPr>
      <w:bookmarkStart w:id="236" w:name="_Toc349024721"/>
      <w:bookmarkStart w:id="237" w:name="_Toc477769492"/>
      <w:r w:rsidRPr="00C92355">
        <w:rPr>
          <w:rFonts w:ascii="Times New Roman" w:hAnsi="Times New Roman" w:cs="Times New Roman"/>
          <w:color w:val="auto"/>
        </w:rPr>
        <w:t>Medzinárodné aktivity STU</w:t>
      </w:r>
      <w:bookmarkEnd w:id="236"/>
      <w:bookmarkEnd w:id="237"/>
    </w:p>
    <w:p w:rsidR="00A1222F" w:rsidRPr="00EF2265" w:rsidRDefault="00A1222F" w:rsidP="00671369">
      <w:pPr>
        <w:widowControl w:val="0"/>
        <w:autoSpaceDE w:val="0"/>
        <w:autoSpaceDN w:val="0"/>
        <w:adjustRightInd w:val="0"/>
        <w:jc w:val="left"/>
        <w:rPr>
          <w:rFonts w:ascii="Times New Roman" w:hAnsi="Times New Roman"/>
          <w:sz w:val="20"/>
          <w:szCs w:val="20"/>
        </w:rPr>
      </w:pPr>
      <w:bookmarkStart w:id="238" w:name="_Toc349024722"/>
      <w:r w:rsidRPr="00EF2265">
        <w:rPr>
          <w:rFonts w:ascii="Times New Roman" w:hAnsi="Times New Roman"/>
          <w:sz w:val="20"/>
          <w:szCs w:val="20"/>
        </w:rPr>
        <w:t xml:space="preserve">STU pokračovala v aktívnej medzinárodnej spolupráci s dlhodobými partnermi v zahraničí a nadväzovala nové partnerstvá v súlade so stratégiou internacionalizácie STU a s cieľom napĺňať body stanovené v Dlhodobej vízii STU v oblasti vzdelávania – </w:t>
      </w:r>
      <w:r w:rsidRPr="00EF2265">
        <w:rPr>
          <w:rFonts w:ascii="Times New Roman" w:hAnsi="Times New Roman"/>
          <w:b/>
          <w:sz w:val="20"/>
          <w:szCs w:val="20"/>
        </w:rPr>
        <w:t>otvárať univerzitu medzinárodnému prostrediu</w:t>
      </w:r>
      <w:r w:rsidRPr="00EF2265">
        <w:rPr>
          <w:rFonts w:ascii="Times New Roman" w:hAnsi="Times New Roman"/>
          <w:sz w:val="20"/>
          <w:szCs w:val="20"/>
        </w:rPr>
        <w:t xml:space="preserve"> a poskytovať kvalitné, široko dostupné, medzinárodne porovnateľné vzdelávanie postavené na aktívnej účasti vo vedeckom výskume a ďalšej tvorivej činnosti, orientované na potreby hospodárskej a spoločenskej praxe, a v oblasti výskumu a tvorivej činnosti – väčšmi otvoriť STU medzinárodnej spolupráci vo výskume a ďalšej tvorivej činnosti, t.j. posilniť pozíciu univerzity v európskom výskumnom priestore, zlepšiť výskumnú infraštruktúru a prepájať vzdelávania s výskumom a ďalšou tvorivou činnosťou. STU sa úspešne zapája do grantovej schémy Európskej únie na podporu mobilít študentov a učiteľov s inštitúciami/krajinami mimo EÚ prostredníctvom programu International Credit Mobility (ICM) Erasmus+.</w:t>
      </w:r>
    </w:p>
    <w:p w:rsidR="00A1222F" w:rsidRPr="00EF2265" w:rsidRDefault="00A1222F" w:rsidP="00E86605">
      <w:pPr>
        <w:jc w:val="left"/>
        <w:rPr>
          <w:rFonts w:ascii="Times New Roman" w:hAnsi="Times New Roman"/>
          <w:sz w:val="20"/>
          <w:szCs w:val="20"/>
        </w:rPr>
      </w:pPr>
    </w:p>
    <w:p w:rsidR="00A1222F" w:rsidRPr="00EF2265" w:rsidRDefault="00A1222F" w:rsidP="00E86605">
      <w:pPr>
        <w:pStyle w:val="Nadpis2"/>
        <w:keepLines w:val="0"/>
        <w:numPr>
          <w:ilvl w:val="1"/>
          <w:numId w:val="76"/>
        </w:numPr>
        <w:tabs>
          <w:tab w:val="clear" w:pos="567"/>
        </w:tabs>
        <w:spacing w:before="240" w:after="240"/>
        <w:rPr>
          <w:rFonts w:ascii="Times New Roman" w:hAnsi="Times New Roman" w:cs="Times New Roman"/>
          <w:color w:val="auto"/>
          <w:sz w:val="20"/>
          <w:szCs w:val="20"/>
        </w:rPr>
      </w:pPr>
      <w:bookmarkStart w:id="239" w:name="_Toc477769493"/>
      <w:r w:rsidRPr="00EF2265">
        <w:rPr>
          <w:rFonts w:ascii="Times New Roman" w:hAnsi="Times New Roman" w:cs="Times New Roman"/>
          <w:color w:val="auto"/>
          <w:sz w:val="20"/>
          <w:szCs w:val="20"/>
        </w:rPr>
        <w:lastRenderedPageBreak/>
        <w:t>Medzinárodné dohody</w:t>
      </w:r>
      <w:bookmarkEnd w:id="238"/>
      <w:r w:rsidRPr="00EF2265">
        <w:rPr>
          <w:rFonts w:ascii="Times New Roman" w:hAnsi="Times New Roman" w:cs="Times New Roman"/>
          <w:color w:val="auto"/>
          <w:sz w:val="20"/>
          <w:szCs w:val="20"/>
        </w:rPr>
        <w:t xml:space="preserve"> a partnerstvá</w:t>
      </w:r>
      <w:bookmarkEnd w:id="239"/>
      <w:r w:rsidRPr="00EF2265">
        <w:rPr>
          <w:rFonts w:ascii="Times New Roman" w:hAnsi="Times New Roman" w:cs="Times New Roman"/>
          <w:color w:val="auto"/>
          <w:sz w:val="20"/>
          <w:szCs w:val="20"/>
        </w:rPr>
        <w:t xml:space="preserve"> </w:t>
      </w:r>
    </w:p>
    <w:p w:rsidR="00A1222F" w:rsidRPr="00EF2265" w:rsidRDefault="00A1222F" w:rsidP="00E86605">
      <w:pPr>
        <w:widowControl w:val="0"/>
        <w:autoSpaceDE w:val="0"/>
        <w:autoSpaceDN w:val="0"/>
        <w:adjustRightInd w:val="0"/>
        <w:jc w:val="left"/>
        <w:rPr>
          <w:rFonts w:ascii="Times New Roman" w:hAnsi="Times New Roman"/>
          <w:sz w:val="20"/>
          <w:szCs w:val="20"/>
          <w:lang w:eastAsia="ko-KR"/>
        </w:rPr>
      </w:pPr>
      <w:r w:rsidRPr="00EF2265">
        <w:rPr>
          <w:rFonts w:ascii="Times New Roman" w:hAnsi="Times New Roman"/>
          <w:sz w:val="20"/>
          <w:szCs w:val="20"/>
        </w:rPr>
        <w:t xml:space="preserve">Medzinárodné dohody a uzatvorené partnerstvá vytvárajú platformu na rozvoj spolupráce univerzity, fakúlt, ústavov, katedier, či jednotlivých zamestnancov spolupracujúcich inštitúcií. Celkovo mala STU v roku 2018 uzatvorených </w:t>
      </w:r>
      <w:r w:rsidRPr="00EF2265">
        <w:rPr>
          <w:rFonts w:ascii="Times New Roman" w:hAnsi="Times New Roman"/>
          <w:b/>
          <w:sz w:val="20"/>
          <w:szCs w:val="20"/>
        </w:rPr>
        <w:t xml:space="preserve">114 </w:t>
      </w:r>
      <w:r w:rsidRPr="00EF2265">
        <w:rPr>
          <w:rFonts w:ascii="Times New Roman" w:hAnsi="Times New Roman"/>
          <w:sz w:val="20"/>
          <w:szCs w:val="20"/>
        </w:rPr>
        <w:t>univerzitných rámcových dohôd s akademickými inštitúciami v </w:t>
      </w:r>
      <w:r w:rsidRPr="00EF2265">
        <w:rPr>
          <w:rFonts w:ascii="Times New Roman" w:hAnsi="Times New Roman"/>
          <w:b/>
          <w:sz w:val="20"/>
          <w:szCs w:val="20"/>
        </w:rPr>
        <w:t>38</w:t>
      </w:r>
      <w:r w:rsidRPr="00EF2265">
        <w:rPr>
          <w:rFonts w:ascii="Times New Roman" w:hAnsi="Times New Roman"/>
          <w:sz w:val="20"/>
          <w:szCs w:val="20"/>
        </w:rPr>
        <w:t xml:space="preserve"> štátoch sveta. </w:t>
      </w:r>
      <w:r w:rsidRPr="00EF2265">
        <w:rPr>
          <w:rFonts w:ascii="Times New Roman" w:hAnsi="Times New Roman"/>
          <w:sz w:val="20"/>
          <w:szCs w:val="20"/>
          <w:lang w:eastAsia="ko-KR"/>
        </w:rPr>
        <w:t>V roku </w:t>
      </w:r>
      <w:r w:rsidRPr="00EF2265">
        <w:rPr>
          <w:rFonts w:ascii="Times New Roman" w:hAnsi="Times New Roman"/>
          <w:b/>
          <w:sz w:val="20"/>
          <w:szCs w:val="20"/>
          <w:lang w:eastAsia="ko-KR"/>
        </w:rPr>
        <w:t>2018</w:t>
      </w:r>
      <w:r w:rsidRPr="00EF2265">
        <w:rPr>
          <w:rFonts w:ascii="Times New Roman" w:hAnsi="Times New Roman"/>
          <w:sz w:val="20"/>
          <w:szCs w:val="20"/>
          <w:lang w:eastAsia="ko-KR"/>
        </w:rPr>
        <w:t xml:space="preserve"> rektor STU podporil rozšírenie medzinárodnej spolupráce podpísaním rámcových univerzitných dohôd s nasledovnými inštitúciami: </w:t>
      </w:r>
    </w:p>
    <w:p w:rsidR="00A1222F" w:rsidRPr="00EF2265" w:rsidRDefault="00A1222F" w:rsidP="00E86605">
      <w:pPr>
        <w:widowControl w:val="0"/>
        <w:autoSpaceDE w:val="0"/>
        <w:autoSpaceDN w:val="0"/>
        <w:adjustRightInd w:val="0"/>
        <w:jc w:val="left"/>
        <w:rPr>
          <w:rFonts w:ascii="Times New Roman" w:hAnsi="Times New Roman"/>
          <w:sz w:val="20"/>
          <w:szCs w:val="20"/>
          <w:lang w:eastAsia="ko-KR"/>
        </w:rPr>
      </w:pPr>
    </w:p>
    <w:p w:rsidR="00A1222F" w:rsidRPr="00EF2265" w:rsidRDefault="00A1222F" w:rsidP="00E86605">
      <w:pPr>
        <w:widowControl w:val="0"/>
        <w:autoSpaceDE w:val="0"/>
        <w:autoSpaceDN w:val="0"/>
        <w:adjustRightInd w:val="0"/>
        <w:jc w:val="left"/>
        <w:rPr>
          <w:rFonts w:ascii="Times New Roman" w:hAnsi="Times New Roman"/>
          <w:b/>
          <w:sz w:val="20"/>
          <w:szCs w:val="20"/>
        </w:rPr>
      </w:pPr>
      <w:r w:rsidRPr="00EF2265">
        <w:rPr>
          <w:rFonts w:ascii="Times New Roman" w:hAnsi="Times New Roman"/>
          <w:b/>
          <w:sz w:val="20"/>
          <w:szCs w:val="20"/>
        </w:rPr>
        <w:t xml:space="preserve">Rusko - </w:t>
      </w:r>
      <w:hyperlink r:id="rId96" w:history="1">
        <w:r w:rsidRPr="00EF2265">
          <w:rPr>
            <w:rFonts w:ascii="Times New Roman" w:hAnsi="Times New Roman"/>
            <w:b/>
            <w:sz w:val="20"/>
            <w:szCs w:val="20"/>
          </w:rPr>
          <w:t>Lipetsk State Technical University</w:t>
        </w:r>
      </w:hyperlink>
    </w:p>
    <w:p w:rsidR="00A1222F" w:rsidRPr="00EF2265" w:rsidRDefault="00A1222F" w:rsidP="00E86605">
      <w:pPr>
        <w:widowControl w:val="0"/>
        <w:autoSpaceDE w:val="0"/>
        <w:autoSpaceDN w:val="0"/>
        <w:adjustRightInd w:val="0"/>
        <w:jc w:val="left"/>
        <w:rPr>
          <w:rFonts w:ascii="Times New Roman" w:hAnsi="Times New Roman"/>
          <w:b/>
          <w:sz w:val="20"/>
          <w:szCs w:val="20"/>
        </w:rPr>
      </w:pPr>
      <w:r w:rsidRPr="00EF2265">
        <w:rPr>
          <w:rFonts w:ascii="Times New Roman" w:hAnsi="Times New Roman"/>
          <w:b/>
          <w:sz w:val="20"/>
          <w:szCs w:val="20"/>
        </w:rPr>
        <w:t xml:space="preserve">Rusko - </w:t>
      </w:r>
      <w:hyperlink r:id="rId97" w:history="1">
        <w:r w:rsidRPr="00EF2265">
          <w:rPr>
            <w:rFonts w:ascii="Times New Roman" w:hAnsi="Times New Roman"/>
            <w:b/>
            <w:sz w:val="20"/>
            <w:szCs w:val="20"/>
          </w:rPr>
          <w:t>South Ural State University</w:t>
        </w:r>
      </w:hyperlink>
    </w:p>
    <w:p w:rsidR="00A1222F" w:rsidRPr="00EF2265" w:rsidRDefault="00A1222F" w:rsidP="00E86605">
      <w:pPr>
        <w:widowControl w:val="0"/>
        <w:autoSpaceDE w:val="0"/>
        <w:autoSpaceDN w:val="0"/>
        <w:adjustRightInd w:val="0"/>
        <w:jc w:val="left"/>
        <w:rPr>
          <w:rFonts w:ascii="Times New Roman" w:hAnsi="Times New Roman"/>
          <w:sz w:val="20"/>
          <w:szCs w:val="20"/>
          <w:lang w:eastAsia="ko-KR"/>
        </w:rPr>
      </w:pPr>
      <w:r w:rsidRPr="00EF2265">
        <w:rPr>
          <w:rFonts w:ascii="Times New Roman" w:hAnsi="Times New Roman"/>
          <w:b/>
          <w:sz w:val="20"/>
          <w:szCs w:val="20"/>
        </w:rPr>
        <w:t xml:space="preserve">Taliansko  </w:t>
      </w:r>
      <w:hyperlink r:id="rId98" w:history="1">
        <w:r w:rsidRPr="00EF2265">
          <w:rPr>
            <w:rFonts w:ascii="Times New Roman" w:hAnsi="Times New Roman"/>
            <w:b/>
            <w:sz w:val="20"/>
            <w:szCs w:val="20"/>
          </w:rPr>
          <w:t>Sapienza University of Rome</w:t>
        </w:r>
      </w:hyperlink>
      <w:hyperlink r:id="rId99" w:tgtFrame="_blank" w:history="1">
        <w:r w:rsidRPr="00EF2265">
          <w:rPr>
            <w:rFonts w:ascii="Times New Roman" w:hAnsi="Times New Roman"/>
            <w:b/>
            <w:sz w:val="20"/>
            <w:szCs w:val="20"/>
          </w:rPr>
          <w:t> </w:t>
        </w:r>
      </w:hyperlink>
    </w:p>
    <w:p w:rsidR="00A1222F" w:rsidRPr="00EF2265" w:rsidRDefault="00A1222F" w:rsidP="00E86605">
      <w:pPr>
        <w:widowControl w:val="0"/>
        <w:autoSpaceDE w:val="0"/>
        <w:autoSpaceDN w:val="0"/>
        <w:adjustRightInd w:val="0"/>
        <w:jc w:val="left"/>
        <w:rPr>
          <w:rFonts w:ascii="Times New Roman" w:hAnsi="Times New Roman"/>
          <w:sz w:val="20"/>
          <w:szCs w:val="20"/>
        </w:rPr>
      </w:pPr>
    </w:p>
    <w:p w:rsidR="00A1222F" w:rsidRPr="00EF2265" w:rsidRDefault="00A1222F" w:rsidP="00E86605">
      <w:pPr>
        <w:widowControl w:val="0"/>
        <w:autoSpaceDE w:val="0"/>
        <w:autoSpaceDN w:val="0"/>
        <w:adjustRightInd w:val="0"/>
        <w:jc w:val="left"/>
        <w:rPr>
          <w:rFonts w:ascii="Times New Roman" w:hAnsi="Times New Roman"/>
          <w:sz w:val="20"/>
          <w:szCs w:val="20"/>
        </w:rPr>
      </w:pPr>
    </w:p>
    <w:p w:rsidR="00A1222F" w:rsidRPr="00EF2265" w:rsidRDefault="00A1222F" w:rsidP="00E86605">
      <w:pPr>
        <w:widowControl w:val="0"/>
        <w:autoSpaceDE w:val="0"/>
        <w:autoSpaceDN w:val="0"/>
        <w:adjustRightInd w:val="0"/>
        <w:jc w:val="left"/>
        <w:rPr>
          <w:rFonts w:ascii="Times New Roman" w:hAnsi="Times New Roman"/>
          <w:sz w:val="20"/>
          <w:szCs w:val="20"/>
        </w:rPr>
      </w:pPr>
      <w:r w:rsidRPr="00EF2265">
        <w:rPr>
          <w:rFonts w:ascii="Times New Roman" w:hAnsi="Times New Roman"/>
          <w:sz w:val="20"/>
          <w:szCs w:val="20"/>
        </w:rPr>
        <w:t>Okrem dohôd na univerzitnej úrovni sa uzatvárajú rámcové zmluvy o spolupráci i na fakultnej úrovni. Dôvodom je predovšetkým skutočnosť, že obsahové zameranie partnerskej univerzity môže byť odlišné od technickej orientácie STU a príbuznosť je len na úrovni jednej zložky partnera. Celkovo mali fakulty STU v roku 201</w:t>
      </w:r>
      <w:r w:rsidRPr="00EF2265">
        <w:rPr>
          <w:rFonts w:ascii="Times New Roman" w:hAnsi="Times New Roman"/>
          <w:b/>
          <w:sz w:val="20"/>
          <w:szCs w:val="20"/>
        </w:rPr>
        <w:t xml:space="preserve">8 </w:t>
      </w:r>
      <w:r w:rsidRPr="00EF2265">
        <w:rPr>
          <w:rFonts w:ascii="Times New Roman" w:hAnsi="Times New Roman"/>
          <w:sz w:val="20"/>
          <w:szCs w:val="20"/>
        </w:rPr>
        <w:t>uzatvorené dohody s </w:t>
      </w:r>
      <w:r w:rsidRPr="00EF2265">
        <w:rPr>
          <w:rFonts w:ascii="Times New Roman" w:hAnsi="Times New Roman"/>
          <w:b/>
          <w:sz w:val="20"/>
          <w:szCs w:val="20"/>
        </w:rPr>
        <w:t>41</w:t>
      </w:r>
      <w:r w:rsidRPr="00EF2265">
        <w:rPr>
          <w:rFonts w:ascii="Times New Roman" w:hAnsi="Times New Roman"/>
          <w:sz w:val="20"/>
          <w:szCs w:val="20"/>
        </w:rPr>
        <w:t> inštitúciami v </w:t>
      </w:r>
      <w:r w:rsidRPr="00EF2265">
        <w:rPr>
          <w:rFonts w:ascii="Times New Roman" w:hAnsi="Times New Roman"/>
          <w:b/>
          <w:sz w:val="20"/>
          <w:szCs w:val="20"/>
        </w:rPr>
        <w:t>18</w:t>
      </w:r>
      <w:r w:rsidRPr="00EF2265">
        <w:rPr>
          <w:rFonts w:ascii="Times New Roman" w:hAnsi="Times New Roman"/>
          <w:sz w:val="20"/>
          <w:szCs w:val="20"/>
        </w:rPr>
        <w:t xml:space="preserve"> štátoch sveta. </w:t>
      </w:r>
    </w:p>
    <w:p w:rsidR="00A1222F" w:rsidRPr="00EF2265" w:rsidRDefault="00A1222F" w:rsidP="00E86605">
      <w:pPr>
        <w:jc w:val="left"/>
        <w:rPr>
          <w:rFonts w:ascii="Times New Roman" w:hAnsi="Times New Roman"/>
          <w:sz w:val="20"/>
          <w:szCs w:val="20"/>
        </w:rPr>
      </w:pP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 xml:space="preserve">Pre oblasť mobilít študentov, akademických i neakademických zamestnancov je prínosom základňa </w:t>
      </w:r>
      <w:r w:rsidRPr="00EF2265">
        <w:rPr>
          <w:rFonts w:ascii="Times New Roman" w:hAnsi="Times New Roman"/>
          <w:b/>
          <w:sz w:val="20"/>
          <w:szCs w:val="20"/>
        </w:rPr>
        <w:t>424</w:t>
      </w:r>
      <w:r w:rsidRPr="00EF2265">
        <w:rPr>
          <w:rFonts w:ascii="Times New Roman" w:hAnsi="Times New Roman"/>
          <w:sz w:val="20"/>
          <w:szCs w:val="20"/>
        </w:rPr>
        <w:t xml:space="preserve"> uzatvorených Erasmus+ dohôd s </w:t>
      </w:r>
      <w:r w:rsidRPr="00EF2265">
        <w:rPr>
          <w:rFonts w:ascii="Times New Roman" w:hAnsi="Times New Roman"/>
          <w:b/>
          <w:sz w:val="20"/>
          <w:szCs w:val="20"/>
        </w:rPr>
        <w:t>274</w:t>
      </w:r>
      <w:r w:rsidRPr="00EF2265">
        <w:rPr>
          <w:rFonts w:ascii="Times New Roman" w:hAnsi="Times New Roman"/>
          <w:sz w:val="20"/>
          <w:szCs w:val="20"/>
        </w:rPr>
        <w:t xml:space="preserve"> inštitúciami v </w:t>
      </w:r>
      <w:r w:rsidRPr="00EF2265">
        <w:rPr>
          <w:rFonts w:ascii="Times New Roman" w:hAnsi="Times New Roman"/>
          <w:b/>
          <w:sz w:val="20"/>
          <w:szCs w:val="20"/>
        </w:rPr>
        <w:t>27</w:t>
      </w:r>
      <w:r w:rsidRPr="00EF2265">
        <w:rPr>
          <w:rFonts w:ascii="Times New Roman" w:hAnsi="Times New Roman"/>
          <w:sz w:val="20"/>
          <w:szCs w:val="20"/>
        </w:rPr>
        <w:t xml:space="preserve"> štátoch. Od roku 2015 sú v rámci Erasmus+ prostredníctvom Národnej agentúry programu Erasmus+ pre vzdelávanie a odbornú prípravu SAAIC a novej aktivity KA107 - International Credit Mobility (Medzinárodná kreditová mobilita), podporované aj výmeny študentov a zamestnancov vysokých škôl s kolegami z krajín mimo Európy. Útvar medzinárodných vzťahov STU v  spolupráci s kolegami z fakúlt a rektorátu po predchádzajúcom roku získal opäť dvojročný projekt v rámci programu Erasmus+ KA107 "Mobility študentov a zamestnancov vysokých škôl medzi krajinami programu a partnerskými krajinami (krajinami mimo EU)" tzv. International Credit Mobility (ICM), s grantovou podporou na realizáciu mobilít vo výzve 2018. Projekt bol schválený so 4-timi partnerskými krajinami a 4-timi inštitúciami: </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The University of Texas at Arlington UTA USA (garant prof.Špánik)</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Amirkabir University of Technology AUT Irán (garant prof. Moravčík)</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Cairo University CU Egypt (garant prof. Finka)</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Univerzitet Singidunum US Srbsko (garant doc. Vranić).</w:t>
      </w:r>
    </w:p>
    <w:p w:rsidR="00A1222F" w:rsidRPr="00EF2265" w:rsidRDefault="00A1222F" w:rsidP="00E86605">
      <w:pPr>
        <w:jc w:val="left"/>
        <w:rPr>
          <w:rFonts w:ascii="Times New Roman" w:hAnsi="Times New Roman"/>
          <w:sz w:val="20"/>
          <w:szCs w:val="20"/>
        </w:rPr>
      </w:pP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 xml:space="preserve">Projekt je zameraný na podporu prichádzajúcich zahraničných študentov a zamestnancov  z partnerských univerzít (16). Tiež 13 študentov a zamestnancov STU môže v programovom období 2018 - 2020 vycestovať do niektorej z menovaných krajín. </w:t>
      </w:r>
    </w:p>
    <w:p w:rsidR="00A1222F" w:rsidRPr="00EF2265" w:rsidRDefault="00A1222F" w:rsidP="00E86605">
      <w:pPr>
        <w:jc w:val="left"/>
        <w:rPr>
          <w:rFonts w:ascii="Times New Roman" w:hAnsi="Times New Roman"/>
          <w:sz w:val="20"/>
          <w:szCs w:val="20"/>
        </w:rPr>
      </w:pP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Taktiež pokračoval projekt z roku 2017 v rámci programu Erasmus+KA107, kde boli nadviazané partnerstvá a spolupráca s nasledujúcimi partnerskými univerzitami:</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Univeridade Federal Do Rio Grande Do Sul (UFRGS), Brazília (garant prof. Špánik)</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University of Alberta (UoA), Kanada (garant prof. Moravčík)</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Universidad Central deLas Villas Marta Arbeu, Kuba (garant prof. Moravčík)</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Universitet u Novom Sadu (UNS), Srbsko (garant Ing. Bucha)</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ICBT- International college of Business and Technology, Srí Lanka (garant prof. Finka)</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University of Peradeniya (UP), Srí Lanka (garant prof. Finka)</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National Technical University „Kharkic Polytechnic Institute“ (NTU „KhPI“), Ukrajina (garant prof. Bošanský)</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Truang Dai Hoc Xay Dung, Vietnam (garant prof. Šoltész)</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Beijing University of Chemical Technology, Čína (garant prof. Špánik)</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East China Normal University (ECNU), Čína (garant prof. Finka)</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 xml:space="preserve"> </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V roku 2018 bol ukončený projekt z výzvy 2016 v rámci programu Erasmus + KA 107, kde boli nadviazané partnerstvá a spolupráca s nasledujúcimi partnerskými univerzitami:</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 xml:space="preserve">East China Normal University, Čínska ľudová republika (garant prof. Finka), </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Universidad Central" Marta Abreu" de Las Villas, Kuba (garant prof. Moravčík),</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 xml:space="preserve">Kalashnikov Izhevsk State Technical University, Ruská federácia (garant prof. Moravčík), </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 xml:space="preserve">International College of Business and Technology, Srí Lanka (garant prof. Finka), </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Kazakh National Research Technical University after K.I.Satpayev , Kazachstan (garant prof. Stanko),</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University of Montenegro, Čierna Hora (garant prof. Šoltész).</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Kompletnú zmluvnú základňu univerzitných, fakultných a Erasmus+ dohôd STU predstavuje spolupráca s </w:t>
      </w:r>
      <w:r w:rsidRPr="00EF2265">
        <w:rPr>
          <w:rFonts w:ascii="Times New Roman" w:hAnsi="Times New Roman"/>
          <w:b/>
          <w:sz w:val="20"/>
          <w:szCs w:val="20"/>
        </w:rPr>
        <w:t xml:space="preserve">368 </w:t>
      </w:r>
      <w:r w:rsidRPr="00EF2265">
        <w:rPr>
          <w:rFonts w:ascii="Times New Roman" w:hAnsi="Times New Roman"/>
          <w:sz w:val="20"/>
          <w:szCs w:val="20"/>
        </w:rPr>
        <w:t xml:space="preserve">inštitúciami v  30 štátoch sveta tvorená celkovým počtom 600 dohôd. Najrozsiahlejšia spolupráca STU v rámci </w:t>
      </w:r>
      <w:r w:rsidRPr="00EF2265">
        <w:rPr>
          <w:rFonts w:ascii="Times New Roman" w:hAnsi="Times New Roman"/>
          <w:sz w:val="20"/>
          <w:szCs w:val="20"/>
        </w:rPr>
        <w:lastRenderedPageBreak/>
        <w:t>univerzitných a fakultných dohôd (mimo dohôd Erasmus+) je s inštitúciami v Nemecku, Rusku, Českej republike a Poľsku. Zoznamy partnerských inštitúcií sú dostupné na webovej stránke STU.</w:t>
      </w:r>
    </w:p>
    <w:p w:rsidR="00A1222F" w:rsidRPr="00EF2265" w:rsidRDefault="00A1222F" w:rsidP="00E86605">
      <w:pPr>
        <w:jc w:val="left"/>
        <w:rPr>
          <w:rFonts w:ascii="Times New Roman" w:hAnsi="Times New Roman"/>
          <w:sz w:val="20"/>
          <w:szCs w:val="20"/>
        </w:rPr>
      </w:pPr>
    </w:p>
    <w:p w:rsidR="00A1222F" w:rsidRPr="00EF2265" w:rsidRDefault="00A1222F" w:rsidP="00E86605">
      <w:pPr>
        <w:jc w:val="left"/>
        <w:rPr>
          <w:rFonts w:ascii="Times New Roman" w:eastAsia="Times New Roman" w:hAnsi="Times New Roman"/>
          <w:b/>
          <w:bCs/>
          <w:sz w:val="20"/>
          <w:szCs w:val="20"/>
        </w:rPr>
      </w:pPr>
      <w:r w:rsidRPr="00EF2265">
        <w:rPr>
          <w:rFonts w:ascii="Times New Roman" w:eastAsia="Times New Roman" w:hAnsi="Times New Roman"/>
          <w:b/>
          <w:bCs/>
          <w:sz w:val="20"/>
          <w:szCs w:val="20"/>
        </w:rPr>
        <w:t>Tab. č. 11.1: Prehľad dohôd STU so zahraničnými univerzitami - rok 2018</w:t>
      </w:r>
    </w:p>
    <w:tbl>
      <w:tblPr>
        <w:tblW w:w="8364" w:type="dxa"/>
        <w:tblInd w:w="70" w:type="dxa"/>
        <w:tblLayout w:type="fixed"/>
        <w:tblCellMar>
          <w:left w:w="70" w:type="dxa"/>
          <w:right w:w="70" w:type="dxa"/>
        </w:tblCellMar>
        <w:tblLook w:val="0000" w:firstRow="0" w:lastRow="0" w:firstColumn="0" w:lastColumn="0" w:noHBand="0" w:noVBand="0"/>
      </w:tblPr>
      <w:tblGrid>
        <w:gridCol w:w="1351"/>
        <w:gridCol w:w="1343"/>
        <w:gridCol w:w="1559"/>
        <w:gridCol w:w="1417"/>
        <w:gridCol w:w="1560"/>
        <w:gridCol w:w="1134"/>
      </w:tblGrid>
      <w:tr w:rsidR="00A1222F" w:rsidRPr="00EF2265" w:rsidTr="00E81927">
        <w:trPr>
          <w:trHeight w:val="382"/>
        </w:trPr>
        <w:tc>
          <w:tcPr>
            <w:tcW w:w="1351"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spacing w:before="60"/>
              <w:jc w:val="left"/>
              <w:rPr>
                <w:rFonts w:ascii="Times New Roman" w:hAnsi="Times New Roman"/>
                <w:b/>
                <w:bCs/>
                <w:sz w:val="20"/>
                <w:szCs w:val="20"/>
                <w:lang w:eastAsia="sk-SK"/>
              </w:rPr>
            </w:pPr>
            <w:r w:rsidRPr="00EF2265">
              <w:rPr>
                <w:rFonts w:ascii="Times New Roman" w:hAnsi="Times New Roman"/>
                <w:b/>
                <w:bCs/>
                <w:sz w:val="20"/>
                <w:szCs w:val="20"/>
                <w:lang w:eastAsia="sk-SK"/>
              </w:rPr>
              <w:t>STU</w:t>
            </w:r>
          </w:p>
        </w:tc>
        <w:tc>
          <w:tcPr>
            <w:tcW w:w="1343" w:type="dxa"/>
            <w:tcBorders>
              <w:top w:val="single" w:sz="4" w:space="0" w:color="auto"/>
              <w:left w:val="nil"/>
              <w:bottom w:val="single" w:sz="4" w:space="0" w:color="auto"/>
              <w:right w:val="single" w:sz="4" w:space="0" w:color="auto"/>
            </w:tcBorders>
            <w:shd w:val="clear" w:color="auto" w:fill="FFFFFF"/>
          </w:tcPr>
          <w:p w:rsidR="00A1222F" w:rsidRPr="00EF2265" w:rsidRDefault="00A1222F" w:rsidP="00E86605">
            <w:pPr>
              <w:spacing w:before="60"/>
              <w:jc w:val="left"/>
              <w:rPr>
                <w:rFonts w:ascii="Times New Roman" w:hAnsi="Times New Roman"/>
                <w:b/>
                <w:bCs/>
                <w:sz w:val="20"/>
                <w:szCs w:val="20"/>
                <w:lang w:eastAsia="sk-SK"/>
              </w:rPr>
            </w:pPr>
            <w:r w:rsidRPr="00EF2265">
              <w:rPr>
                <w:rFonts w:ascii="Times New Roman" w:hAnsi="Times New Roman"/>
                <w:b/>
                <w:bCs/>
                <w:sz w:val="20"/>
                <w:szCs w:val="20"/>
                <w:lang w:eastAsia="sk-SK"/>
              </w:rPr>
              <w:t>Univerzitné</w:t>
            </w:r>
          </w:p>
        </w:tc>
        <w:tc>
          <w:tcPr>
            <w:tcW w:w="1559" w:type="dxa"/>
            <w:tcBorders>
              <w:top w:val="single" w:sz="4" w:space="0" w:color="auto"/>
              <w:left w:val="nil"/>
              <w:bottom w:val="single" w:sz="4" w:space="0" w:color="auto"/>
              <w:right w:val="single" w:sz="4" w:space="0" w:color="auto"/>
            </w:tcBorders>
            <w:shd w:val="clear" w:color="auto" w:fill="FFFFFF"/>
          </w:tcPr>
          <w:p w:rsidR="00A1222F" w:rsidRPr="00EF2265" w:rsidRDefault="00A1222F" w:rsidP="00E86605">
            <w:pPr>
              <w:spacing w:before="60"/>
              <w:jc w:val="left"/>
              <w:rPr>
                <w:rFonts w:ascii="Times New Roman" w:hAnsi="Times New Roman"/>
                <w:b/>
                <w:bCs/>
                <w:sz w:val="20"/>
                <w:szCs w:val="20"/>
                <w:lang w:eastAsia="sk-SK"/>
              </w:rPr>
            </w:pPr>
            <w:r w:rsidRPr="00EF2265">
              <w:rPr>
                <w:rFonts w:ascii="Times New Roman" w:hAnsi="Times New Roman"/>
                <w:b/>
                <w:bCs/>
                <w:sz w:val="20"/>
                <w:szCs w:val="20"/>
                <w:lang w:eastAsia="sk-SK"/>
              </w:rPr>
              <w:t>Fakultné</w:t>
            </w:r>
          </w:p>
        </w:tc>
        <w:tc>
          <w:tcPr>
            <w:tcW w:w="1417" w:type="dxa"/>
            <w:tcBorders>
              <w:top w:val="single" w:sz="4" w:space="0" w:color="auto"/>
              <w:left w:val="nil"/>
              <w:bottom w:val="single" w:sz="4" w:space="0" w:color="auto"/>
              <w:right w:val="single" w:sz="4" w:space="0" w:color="auto"/>
            </w:tcBorders>
            <w:shd w:val="clear" w:color="auto" w:fill="FFFFFF"/>
          </w:tcPr>
          <w:p w:rsidR="00A1222F" w:rsidRPr="00EF2265" w:rsidRDefault="00A1222F" w:rsidP="00E86605">
            <w:pPr>
              <w:spacing w:before="60"/>
              <w:jc w:val="left"/>
              <w:rPr>
                <w:rFonts w:ascii="Times New Roman" w:hAnsi="Times New Roman"/>
                <w:b/>
                <w:bCs/>
                <w:sz w:val="20"/>
                <w:szCs w:val="20"/>
                <w:lang w:eastAsia="sk-SK"/>
              </w:rPr>
            </w:pPr>
            <w:r w:rsidRPr="00EF2265">
              <w:rPr>
                <w:rFonts w:ascii="Times New Roman" w:hAnsi="Times New Roman"/>
                <w:b/>
                <w:bCs/>
                <w:sz w:val="20"/>
                <w:szCs w:val="20"/>
                <w:lang w:eastAsia="sk-SK"/>
              </w:rPr>
              <w:t>Erasmus+</w:t>
            </w:r>
          </w:p>
        </w:tc>
        <w:tc>
          <w:tcPr>
            <w:tcW w:w="1560" w:type="dxa"/>
            <w:tcBorders>
              <w:top w:val="single" w:sz="4" w:space="0" w:color="auto"/>
              <w:left w:val="nil"/>
              <w:bottom w:val="single" w:sz="4" w:space="0" w:color="auto"/>
              <w:right w:val="single" w:sz="4" w:space="0" w:color="auto"/>
            </w:tcBorders>
          </w:tcPr>
          <w:p w:rsidR="00A1222F" w:rsidRPr="00EF2265" w:rsidRDefault="00A1222F" w:rsidP="00E86605">
            <w:pPr>
              <w:spacing w:before="60"/>
              <w:jc w:val="left"/>
              <w:rPr>
                <w:rFonts w:ascii="Times New Roman" w:hAnsi="Times New Roman"/>
                <w:b/>
                <w:bCs/>
                <w:sz w:val="20"/>
                <w:szCs w:val="20"/>
                <w:lang w:eastAsia="sk-SK"/>
              </w:rPr>
            </w:pPr>
            <w:r w:rsidRPr="00EF2265">
              <w:rPr>
                <w:rFonts w:ascii="Times New Roman" w:hAnsi="Times New Roman"/>
                <w:b/>
                <w:bCs/>
                <w:sz w:val="20"/>
                <w:szCs w:val="20"/>
                <w:lang w:eastAsia="sk-SK"/>
              </w:rPr>
              <w:t>Erasmus+ ICM</w:t>
            </w: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spacing w:before="60"/>
              <w:jc w:val="left"/>
              <w:rPr>
                <w:rFonts w:ascii="Times New Roman" w:hAnsi="Times New Roman"/>
                <w:b/>
                <w:bCs/>
                <w:sz w:val="20"/>
                <w:szCs w:val="20"/>
                <w:lang w:eastAsia="sk-SK"/>
              </w:rPr>
            </w:pPr>
            <w:r w:rsidRPr="00EF2265">
              <w:rPr>
                <w:rFonts w:ascii="Times New Roman" w:hAnsi="Times New Roman"/>
                <w:b/>
                <w:bCs/>
                <w:sz w:val="20"/>
                <w:szCs w:val="20"/>
                <w:lang w:eastAsia="sk-SK"/>
              </w:rPr>
              <w:t>Spolu</w:t>
            </w:r>
          </w:p>
        </w:tc>
      </w:tr>
      <w:tr w:rsidR="00A1222F" w:rsidRPr="00EF2265" w:rsidTr="00E81927">
        <w:trPr>
          <w:trHeight w:val="335"/>
        </w:trPr>
        <w:tc>
          <w:tcPr>
            <w:tcW w:w="1351" w:type="dxa"/>
            <w:tcBorders>
              <w:top w:val="nil"/>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R-STU</w:t>
            </w:r>
          </w:p>
        </w:tc>
        <w:tc>
          <w:tcPr>
            <w:tcW w:w="1343"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116</w:t>
            </w:r>
          </w:p>
        </w:tc>
        <w:tc>
          <w:tcPr>
            <w:tcW w:w="1559"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p>
        </w:tc>
        <w:tc>
          <w:tcPr>
            <w:tcW w:w="1417"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sz w:val="20"/>
                <w:szCs w:val="20"/>
                <w:lang w:eastAsia="sk-SK"/>
              </w:rPr>
            </w:pPr>
          </w:p>
        </w:tc>
        <w:tc>
          <w:tcPr>
            <w:tcW w:w="1560" w:type="dxa"/>
            <w:tcBorders>
              <w:top w:val="nil"/>
              <w:left w:val="nil"/>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116</w:t>
            </w:r>
          </w:p>
        </w:tc>
      </w:tr>
      <w:tr w:rsidR="00A1222F" w:rsidRPr="00EF2265" w:rsidTr="00E81927">
        <w:trPr>
          <w:trHeight w:val="335"/>
        </w:trPr>
        <w:tc>
          <w:tcPr>
            <w:tcW w:w="1351" w:type="dxa"/>
            <w:tcBorders>
              <w:top w:val="nil"/>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SvF</w:t>
            </w:r>
          </w:p>
        </w:tc>
        <w:tc>
          <w:tcPr>
            <w:tcW w:w="1343"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sz w:val="20"/>
                <w:szCs w:val="20"/>
                <w:lang w:eastAsia="sk-SK"/>
              </w:rPr>
            </w:pPr>
          </w:p>
        </w:tc>
        <w:tc>
          <w:tcPr>
            <w:tcW w:w="1559"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6</w:t>
            </w:r>
          </w:p>
        </w:tc>
        <w:tc>
          <w:tcPr>
            <w:tcW w:w="1417"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108</w:t>
            </w:r>
          </w:p>
        </w:tc>
        <w:tc>
          <w:tcPr>
            <w:tcW w:w="1560" w:type="dxa"/>
            <w:tcBorders>
              <w:top w:val="nil"/>
              <w:left w:val="nil"/>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3</w:t>
            </w: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117</w:t>
            </w:r>
          </w:p>
        </w:tc>
      </w:tr>
      <w:tr w:rsidR="00A1222F" w:rsidRPr="00EF2265" w:rsidTr="00E81927">
        <w:trPr>
          <w:trHeight w:val="335"/>
        </w:trPr>
        <w:tc>
          <w:tcPr>
            <w:tcW w:w="1351" w:type="dxa"/>
            <w:tcBorders>
              <w:top w:val="nil"/>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SjF</w:t>
            </w:r>
          </w:p>
        </w:tc>
        <w:tc>
          <w:tcPr>
            <w:tcW w:w="1343"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sz w:val="20"/>
                <w:szCs w:val="20"/>
                <w:lang w:eastAsia="sk-SK"/>
              </w:rPr>
            </w:pPr>
          </w:p>
        </w:tc>
        <w:tc>
          <w:tcPr>
            <w:tcW w:w="1559"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5</w:t>
            </w:r>
          </w:p>
        </w:tc>
        <w:tc>
          <w:tcPr>
            <w:tcW w:w="1417"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50</w:t>
            </w:r>
          </w:p>
        </w:tc>
        <w:tc>
          <w:tcPr>
            <w:tcW w:w="1560" w:type="dxa"/>
            <w:tcBorders>
              <w:top w:val="nil"/>
              <w:left w:val="nil"/>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2</w:t>
            </w: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57</w:t>
            </w:r>
          </w:p>
        </w:tc>
      </w:tr>
      <w:tr w:rsidR="00A1222F" w:rsidRPr="00EF2265" w:rsidTr="00E81927">
        <w:trPr>
          <w:trHeight w:val="335"/>
        </w:trPr>
        <w:tc>
          <w:tcPr>
            <w:tcW w:w="1351" w:type="dxa"/>
            <w:tcBorders>
              <w:top w:val="nil"/>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FEI</w:t>
            </w:r>
          </w:p>
        </w:tc>
        <w:tc>
          <w:tcPr>
            <w:tcW w:w="1343"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sz w:val="20"/>
                <w:szCs w:val="20"/>
                <w:lang w:eastAsia="sk-SK"/>
              </w:rPr>
            </w:pPr>
          </w:p>
        </w:tc>
        <w:tc>
          <w:tcPr>
            <w:tcW w:w="1559"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5</w:t>
            </w:r>
          </w:p>
        </w:tc>
        <w:tc>
          <w:tcPr>
            <w:tcW w:w="1417"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48</w:t>
            </w:r>
          </w:p>
        </w:tc>
        <w:tc>
          <w:tcPr>
            <w:tcW w:w="1560" w:type="dxa"/>
            <w:tcBorders>
              <w:top w:val="nil"/>
              <w:left w:val="nil"/>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53</w:t>
            </w:r>
          </w:p>
        </w:tc>
      </w:tr>
      <w:tr w:rsidR="00A1222F" w:rsidRPr="00EF2265" w:rsidTr="00E81927">
        <w:trPr>
          <w:trHeight w:val="319"/>
        </w:trPr>
        <w:tc>
          <w:tcPr>
            <w:tcW w:w="1351" w:type="dxa"/>
            <w:tcBorders>
              <w:top w:val="nil"/>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FCHPT</w:t>
            </w:r>
          </w:p>
        </w:tc>
        <w:tc>
          <w:tcPr>
            <w:tcW w:w="1343"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sz w:val="20"/>
                <w:szCs w:val="20"/>
                <w:lang w:eastAsia="sk-SK"/>
              </w:rPr>
            </w:pPr>
          </w:p>
        </w:tc>
        <w:tc>
          <w:tcPr>
            <w:tcW w:w="1559"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5</w:t>
            </w:r>
          </w:p>
        </w:tc>
        <w:tc>
          <w:tcPr>
            <w:tcW w:w="1417"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79</w:t>
            </w:r>
          </w:p>
        </w:tc>
        <w:tc>
          <w:tcPr>
            <w:tcW w:w="1560" w:type="dxa"/>
            <w:tcBorders>
              <w:top w:val="nil"/>
              <w:left w:val="nil"/>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3</w:t>
            </w: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87</w:t>
            </w:r>
          </w:p>
        </w:tc>
      </w:tr>
      <w:tr w:rsidR="00A1222F" w:rsidRPr="00EF2265" w:rsidTr="00E81927">
        <w:trPr>
          <w:trHeight w:val="335"/>
        </w:trPr>
        <w:tc>
          <w:tcPr>
            <w:tcW w:w="1351" w:type="dxa"/>
            <w:tcBorders>
              <w:top w:val="nil"/>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FA</w:t>
            </w:r>
          </w:p>
        </w:tc>
        <w:tc>
          <w:tcPr>
            <w:tcW w:w="1343"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sz w:val="20"/>
                <w:szCs w:val="20"/>
                <w:lang w:eastAsia="sk-SK"/>
              </w:rPr>
            </w:pPr>
          </w:p>
        </w:tc>
        <w:tc>
          <w:tcPr>
            <w:tcW w:w="1559"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4</w:t>
            </w:r>
          </w:p>
        </w:tc>
        <w:tc>
          <w:tcPr>
            <w:tcW w:w="1417"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39</w:t>
            </w:r>
          </w:p>
        </w:tc>
        <w:tc>
          <w:tcPr>
            <w:tcW w:w="1560" w:type="dxa"/>
            <w:tcBorders>
              <w:top w:val="nil"/>
              <w:left w:val="nil"/>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43</w:t>
            </w:r>
          </w:p>
        </w:tc>
      </w:tr>
      <w:tr w:rsidR="00A1222F" w:rsidRPr="00EF2265" w:rsidTr="00E81927">
        <w:trPr>
          <w:trHeight w:val="335"/>
        </w:trPr>
        <w:tc>
          <w:tcPr>
            <w:tcW w:w="1351" w:type="dxa"/>
            <w:tcBorders>
              <w:top w:val="nil"/>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MTF</w:t>
            </w:r>
          </w:p>
        </w:tc>
        <w:tc>
          <w:tcPr>
            <w:tcW w:w="1343"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sz w:val="20"/>
                <w:szCs w:val="20"/>
                <w:lang w:eastAsia="sk-SK"/>
              </w:rPr>
            </w:pPr>
          </w:p>
        </w:tc>
        <w:tc>
          <w:tcPr>
            <w:tcW w:w="1559"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14</w:t>
            </w:r>
          </w:p>
        </w:tc>
        <w:tc>
          <w:tcPr>
            <w:tcW w:w="1417"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50</w:t>
            </w:r>
          </w:p>
        </w:tc>
        <w:tc>
          <w:tcPr>
            <w:tcW w:w="1560" w:type="dxa"/>
            <w:tcBorders>
              <w:top w:val="nil"/>
              <w:left w:val="nil"/>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5</w:t>
            </w: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69</w:t>
            </w:r>
          </w:p>
        </w:tc>
      </w:tr>
      <w:tr w:rsidR="00A1222F" w:rsidRPr="00EF2265" w:rsidTr="00E81927">
        <w:trPr>
          <w:trHeight w:val="335"/>
        </w:trPr>
        <w:tc>
          <w:tcPr>
            <w:tcW w:w="1351" w:type="dxa"/>
            <w:tcBorders>
              <w:top w:val="nil"/>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FIIT</w:t>
            </w:r>
          </w:p>
        </w:tc>
        <w:tc>
          <w:tcPr>
            <w:tcW w:w="1343"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sz w:val="20"/>
                <w:szCs w:val="20"/>
                <w:lang w:eastAsia="sk-SK"/>
              </w:rPr>
            </w:pPr>
          </w:p>
        </w:tc>
        <w:tc>
          <w:tcPr>
            <w:tcW w:w="1559"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2</w:t>
            </w:r>
          </w:p>
        </w:tc>
        <w:tc>
          <w:tcPr>
            <w:tcW w:w="1417"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30</w:t>
            </w:r>
          </w:p>
        </w:tc>
        <w:tc>
          <w:tcPr>
            <w:tcW w:w="1560" w:type="dxa"/>
            <w:tcBorders>
              <w:top w:val="nil"/>
              <w:left w:val="nil"/>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32</w:t>
            </w:r>
          </w:p>
        </w:tc>
      </w:tr>
      <w:tr w:rsidR="00A1222F" w:rsidRPr="00EF2265" w:rsidTr="00E81927">
        <w:trPr>
          <w:trHeight w:val="335"/>
        </w:trPr>
        <w:tc>
          <w:tcPr>
            <w:tcW w:w="1351" w:type="dxa"/>
            <w:tcBorders>
              <w:top w:val="nil"/>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ÚM</w:t>
            </w:r>
          </w:p>
        </w:tc>
        <w:tc>
          <w:tcPr>
            <w:tcW w:w="1343"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sz w:val="20"/>
                <w:szCs w:val="20"/>
                <w:lang w:eastAsia="sk-SK"/>
              </w:rPr>
            </w:pPr>
          </w:p>
        </w:tc>
        <w:tc>
          <w:tcPr>
            <w:tcW w:w="1559"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p>
        </w:tc>
        <w:tc>
          <w:tcPr>
            <w:tcW w:w="1417"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sz w:val="20"/>
                <w:szCs w:val="20"/>
                <w:lang w:eastAsia="sk-SK"/>
              </w:rPr>
            </w:pPr>
            <w:r w:rsidRPr="00EF2265">
              <w:rPr>
                <w:rFonts w:ascii="Times New Roman" w:hAnsi="Times New Roman"/>
                <w:b/>
                <w:sz w:val="20"/>
                <w:szCs w:val="20"/>
                <w:lang w:eastAsia="sk-SK"/>
              </w:rPr>
              <w:t>20</w:t>
            </w:r>
          </w:p>
        </w:tc>
        <w:tc>
          <w:tcPr>
            <w:tcW w:w="1560" w:type="dxa"/>
            <w:tcBorders>
              <w:top w:val="nil"/>
              <w:left w:val="nil"/>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6</w:t>
            </w: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26</w:t>
            </w:r>
          </w:p>
        </w:tc>
      </w:tr>
      <w:tr w:rsidR="00A1222F" w:rsidRPr="00EF2265" w:rsidTr="00E81927">
        <w:trPr>
          <w:trHeight w:val="335"/>
        </w:trPr>
        <w:tc>
          <w:tcPr>
            <w:tcW w:w="1351" w:type="dxa"/>
            <w:tcBorders>
              <w:top w:val="nil"/>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Spolu</w:t>
            </w:r>
          </w:p>
        </w:tc>
        <w:tc>
          <w:tcPr>
            <w:tcW w:w="1343"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116</w:t>
            </w:r>
          </w:p>
        </w:tc>
        <w:tc>
          <w:tcPr>
            <w:tcW w:w="1559"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41</w:t>
            </w:r>
          </w:p>
        </w:tc>
        <w:tc>
          <w:tcPr>
            <w:tcW w:w="1417" w:type="dxa"/>
            <w:tcBorders>
              <w:top w:val="nil"/>
              <w:left w:val="nil"/>
              <w:bottom w:val="single" w:sz="4" w:space="0" w:color="auto"/>
              <w:right w:val="single" w:sz="4" w:space="0" w:color="auto"/>
            </w:tcBorders>
            <w:shd w:val="clear" w:color="auto" w:fill="FFFFFF"/>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424</w:t>
            </w:r>
          </w:p>
        </w:tc>
        <w:tc>
          <w:tcPr>
            <w:tcW w:w="1560" w:type="dxa"/>
            <w:tcBorders>
              <w:top w:val="nil"/>
              <w:left w:val="nil"/>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19</w:t>
            </w:r>
          </w:p>
        </w:tc>
        <w:tc>
          <w:tcPr>
            <w:tcW w:w="1134" w:type="dxa"/>
            <w:tcBorders>
              <w:top w:val="single" w:sz="4" w:space="0" w:color="auto"/>
              <w:left w:val="single" w:sz="4" w:space="0" w:color="auto"/>
              <w:bottom w:val="single" w:sz="4" w:space="0" w:color="auto"/>
              <w:right w:val="single" w:sz="4" w:space="0" w:color="auto"/>
            </w:tcBorders>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600</w:t>
            </w:r>
          </w:p>
        </w:tc>
      </w:tr>
    </w:tbl>
    <w:p w:rsidR="00A1222F" w:rsidRPr="00EF2265" w:rsidRDefault="00A1222F" w:rsidP="00E86605">
      <w:pPr>
        <w:widowControl w:val="0"/>
        <w:autoSpaceDE w:val="0"/>
        <w:autoSpaceDN w:val="0"/>
        <w:adjustRightInd w:val="0"/>
        <w:jc w:val="left"/>
        <w:rPr>
          <w:rFonts w:ascii="Times New Roman" w:hAnsi="Times New Roman"/>
          <w:sz w:val="20"/>
          <w:szCs w:val="20"/>
        </w:rPr>
      </w:pPr>
    </w:p>
    <w:p w:rsidR="00A1222F" w:rsidRPr="00EF2265" w:rsidRDefault="00A1222F" w:rsidP="00E86605">
      <w:pPr>
        <w:pStyle w:val="Nadpis2"/>
        <w:keepLines w:val="0"/>
        <w:numPr>
          <w:ilvl w:val="1"/>
          <w:numId w:val="76"/>
        </w:numPr>
        <w:tabs>
          <w:tab w:val="clear" w:pos="567"/>
        </w:tabs>
        <w:spacing w:before="240" w:after="240"/>
        <w:rPr>
          <w:rFonts w:ascii="Times New Roman" w:hAnsi="Times New Roman" w:cs="Times New Roman"/>
          <w:color w:val="auto"/>
          <w:sz w:val="20"/>
          <w:szCs w:val="20"/>
        </w:rPr>
      </w:pPr>
      <w:bookmarkStart w:id="240" w:name="_Toc349024723"/>
      <w:bookmarkStart w:id="241" w:name="_Toc477769494"/>
      <w:r w:rsidRPr="00EF2265">
        <w:rPr>
          <w:rFonts w:ascii="Times New Roman" w:hAnsi="Times New Roman" w:cs="Times New Roman"/>
          <w:color w:val="auto"/>
          <w:sz w:val="20"/>
          <w:szCs w:val="20"/>
        </w:rPr>
        <w:t>Medzinárodné vzdelávacie projekty</w:t>
      </w:r>
      <w:bookmarkEnd w:id="240"/>
      <w:r w:rsidRPr="00EF2265">
        <w:rPr>
          <w:rFonts w:ascii="Times New Roman" w:hAnsi="Times New Roman" w:cs="Times New Roman"/>
          <w:color w:val="auto"/>
          <w:sz w:val="20"/>
          <w:szCs w:val="20"/>
        </w:rPr>
        <w:t xml:space="preserve"> a siete</w:t>
      </w:r>
      <w:bookmarkEnd w:id="241"/>
      <w:r w:rsidRPr="00EF2265">
        <w:rPr>
          <w:rFonts w:ascii="Times New Roman" w:hAnsi="Times New Roman" w:cs="Times New Roman"/>
          <w:color w:val="auto"/>
          <w:sz w:val="20"/>
          <w:szCs w:val="20"/>
        </w:rPr>
        <w:t xml:space="preserve"> </w:t>
      </w:r>
    </w:p>
    <w:p w:rsidR="00A1222F" w:rsidRPr="00EF2265" w:rsidRDefault="00A1222F" w:rsidP="00E86605">
      <w:pPr>
        <w:jc w:val="left"/>
        <w:rPr>
          <w:rFonts w:ascii="Times New Roman" w:eastAsia="Times New Roman" w:hAnsi="Times New Roman"/>
          <w:sz w:val="20"/>
          <w:szCs w:val="20"/>
          <w:lang w:eastAsia="cs-CZ"/>
        </w:rPr>
      </w:pPr>
      <w:r w:rsidRPr="00EF2265">
        <w:rPr>
          <w:rFonts w:ascii="Times New Roman" w:eastAsia="Times New Roman" w:hAnsi="Times New Roman"/>
          <w:sz w:val="20"/>
          <w:szCs w:val="20"/>
          <w:lang w:eastAsia="cs-CZ"/>
        </w:rPr>
        <w:t xml:space="preserve">Zmluvné partnerstvá sú pre akademickú obec univerzity základným predpokladom na nadväzovanie rôznych druhov spolupráce, napríklad pri podávaní prihlášok na riešenie medzinárodných projektov, pri zapájaní sa do aliancií a riešenia projektov. Medzinárodná spolupráca pri riešení vzdelávacích a výskumných projektov patrí medzi kľúčové aktivity univerzity, okrem nezanedbateľných finančných zdrojov je zároveň účinným nástrojom skvalitňovania a internacionalizácie vzdelávania, vedy a výskumu. </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ab/>
        <w:t xml:space="preserve">Cieľom medzinárodných programov Európskej únie, ako aj iných samostatných programov orientovaných na oblasť vzdelávania, je skvalitňovanie a ďalší rozvoj vzdelávania prostredníctvom riešenia multinárodných projektov. Vzdelávacie projekty riešia problematiku týkajúcu sa rôznych aspektov vzdelávania, a zároveň podporujú mobility všetkých účastníkov vzdelávacieho procesu – študentov, akademických i neakademických zamestnancov. V Tab. č. 11.2 sú uvedené projekty evidované v akademickom informačnom systéme univerzity podľa fakúlt. </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Okrem riešenia a zapojenia do projektov typu Erasmus+ a iných typov projektov je dôležitá spolupráca fakúlt a univerzity v akademických sieťach. Významným programom podporujúcim sieťovanie je CEEPUS - Stredoeurópsky výmenný program pre univerzitné štúdiá, ktorý podporuje akademické mobility v strednej, východnej a juhovýchodnej Európe, prispieva k európskej integrácii a zdôrazňuje regionálne špecifiká. Program umožňuje rozvíjať spoluprácu slovenských a zahraničných vysokých škôl pomocou vytvárania akademických sietí, v rámci ktorých sa uskutočňuje vedecko-výskumná spolupráca a realizujú sa mobility študentov, doktorandov a vysokoškolských učiteľov. Spolupráca sa realizuje v rámci sietí pozostávajúcich aspoň z troch vysokých škôl, z toho aspoň dve musia byť z rôznych členských krajín programu CEEPUS. Zapojenosť fakúlt do sietí CEEPUS (zdroj SAIA n.o.) je uvedená v Tab. č. 11.2.</w:t>
      </w:r>
    </w:p>
    <w:p w:rsidR="00A1222F" w:rsidRPr="00EF2265" w:rsidRDefault="00A1222F" w:rsidP="00E86605">
      <w:pPr>
        <w:jc w:val="left"/>
        <w:rPr>
          <w:rFonts w:ascii="Times New Roman" w:eastAsia="Times New Roman" w:hAnsi="Times New Roman"/>
          <w:b/>
          <w:sz w:val="20"/>
          <w:szCs w:val="20"/>
          <w:lang w:eastAsia="sk-SK"/>
        </w:rPr>
      </w:pPr>
    </w:p>
    <w:p w:rsidR="00A1222F" w:rsidRPr="00EF2265" w:rsidRDefault="00A1222F" w:rsidP="00E86605">
      <w:pPr>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Tab. č. 11.2: Riešené medzinárodné vzdelávacie a nevýskumné projekty a zapojenosť fakúlt do sietí CEEPUS v roku 2018</w:t>
      </w:r>
    </w:p>
    <w:tbl>
      <w:tblPr>
        <w:tblW w:w="5958" w:type="dxa"/>
        <w:tblInd w:w="70" w:type="dxa"/>
        <w:tblCellMar>
          <w:left w:w="0" w:type="dxa"/>
          <w:right w:w="0" w:type="dxa"/>
        </w:tblCellMar>
        <w:tblLook w:val="04A0" w:firstRow="1" w:lastRow="0" w:firstColumn="1" w:lastColumn="0" w:noHBand="0" w:noVBand="1"/>
      </w:tblPr>
      <w:tblGrid>
        <w:gridCol w:w="851"/>
        <w:gridCol w:w="992"/>
        <w:gridCol w:w="1276"/>
        <w:gridCol w:w="994"/>
        <w:gridCol w:w="852"/>
        <w:gridCol w:w="993"/>
      </w:tblGrid>
      <w:tr w:rsidR="00A1222F" w:rsidRPr="00EF2265" w:rsidTr="00E81927">
        <w:trPr>
          <w:trHeight w:val="382"/>
        </w:trPr>
        <w:tc>
          <w:tcPr>
            <w:tcW w:w="85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spacing w:before="60"/>
              <w:jc w:val="left"/>
              <w:rPr>
                <w:rFonts w:ascii="Times New Roman" w:eastAsiaTheme="minorHAnsi" w:hAnsi="Times New Roman"/>
                <w:b/>
                <w:bCs/>
                <w:sz w:val="20"/>
                <w:szCs w:val="20"/>
              </w:rPr>
            </w:pPr>
            <w:r w:rsidRPr="00EF2265">
              <w:rPr>
                <w:rFonts w:ascii="Times New Roman" w:hAnsi="Times New Roman"/>
                <w:b/>
                <w:bCs/>
                <w:sz w:val="20"/>
                <w:szCs w:val="20"/>
              </w:rPr>
              <w:t>STU</w:t>
            </w:r>
          </w:p>
        </w:tc>
        <w:tc>
          <w:tcPr>
            <w:tcW w:w="992"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spacing w:before="60"/>
              <w:jc w:val="left"/>
              <w:rPr>
                <w:rFonts w:ascii="Times New Roman" w:eastAsiaTheme="minorHAnsi" w:hAnsi="Times New Roman"/>
                <w:b/>
                <w:bCs/>
                <w:sz w:val="20"/>
                <w:szCs w:val="20"/>
              </w:rPr>
            </w:pPr>
            <w:r w:rsidRPr="00EF2265">
              <w:rPr>
                <w:rFonts w:ascii="Times New Roman" w:hAnsi="Times New Roman"/>
                <w:b/>
                <w:bCs/>
                <w:sz w:val="20"/>
                <w:szCs w:val="20"/>
              </w:rPr>
              <w:t>CEEPUS</w:t>
            </w:r>
          </w:p>
        </w:tc>
        <w:tc>
          <w:tcPr>
            <w:tcW w:w="1276"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spacing w:before="60"/>
              <w:jc w:val="left"/>
              <w:rPr>
                <w:rFonts w:ascii="Times New Roman" w:eastAsiaTheme="minorHAnsi" w:hAnsi="Times New Roman"/>
                <w:b/>
                <w:bCs/>
                <w:sz w:val="20"/>
                <w:szCs w:val="20"/>
              </w:rPr>
            </w:pPr>
            <w:r w:rsidRPr="00EF2265">
              <w:rPr>
                <w:rFonts w:ascii="Times New Roman" w:hAnsi="Times New Roman"/>
                <w:b/>
                <w:bCs/>
                <w:sz w:val="20"/>
                <w:szCs w:val="20"/>
              </w:rPr>
              <w:t>ERASMUS+</w:t>
            </w:r>
          </w:p>
        </w:tc>
        <w:tc>
          <w:tcPr>
            <w:tcW w:w="994"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spacing w:before="60"/>
              <w:jc w:val="left"/>
              <w:rPr>
                <w:rFonts w:ascii="Times New Roman" w:eastAsiaTheme="minorHAnsi" w:hAnsi="Times New Roman"/>
                <w:b/>
                <w:bCs/>
                <w:sz w:val="20"/>
                <w:szCs w:val="20"/>
              </w:rPr>
            </w:pPr>
            <w:r w:rsidRPr="00EF2265">
              <w:rPr>
                <w:rFonts w:ascii="Times New Roman" w:hAnsi="Times New Roman"/>
                <w:b/>
                <w:bCs/>
                <w:sz w:val="20"/>
                <w:szCs w:val="20"/>
              </w:rPr>
              <w:t>TEMPUS</w:t>
            </w:r>
          </w:p>
        </w:tc>
        <w:tc>
          <w:tcPr>
            <w:tcW w:w="852"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spacing w:before="60"/>
              <w:jc w:val="left"/>
              <w:rPr>
                <w:rFonts w:ascii="Times New Roman" w:eastAsiaTheme="minorHAnsi" w:hAnsi="Times New Roman"/>
                <w:b/>
                <w:bCs/>
                <w:sz w:val="20"/>
                <w:szCs w:val="20"/>
              </w:rPr>
            </w:pPr>
            <w:r w:rsidRPr="00EF2265">
              <w:rPr>
                <w:rFonts w:ascii="Times New Roman" w:hAnsi="Times New Roman"/>
                <w:b/>
                <w:bCs/>
                <w:sz w:val="20"/>
                <w:szCs w:val="20"/>
              </w:rPr>
              <w:t>Iné*</w:t>
            </w:r>
          </w:p>
        </w:tc>
        <w:tc>
          <w:tcPr>
            <w:tcW w:w="99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spacing w:before="60"/>
              <w:jc w:val="left"/>
              <w:rPr>
                <w:rFonts w:ascii="Times New Roman" w:eastAsiaTheme="minorHAnsi" w:hAnsi="Times New Roman"/>
                <w:b/>
                <w:bCs/>
                <w:sz w:val="20"/>
                <w:szCs w:val="20"/>
              </w:rPr>
            </w:pPr>
            <w:r w:rsidRPr="00EF2265">
              <w:rPr>
                <w:rFonts w:ascii="Times New Roman" w:hAnsi="Times New Roman"/>
                <w:b/>
                <w:bCs/>
                <w:sz w:val="20"/>
                <w:szCs w:val="20"/>
              </w:rPr>
              <w:t>Spolu</w:t>
            </w:r>
          </w:p>
        </w:tc>
      </w:tr>
      <w:tr w:rsidR="00A1222F" w:rsidRPr="00EF2265" w:rsidTr="00E81927">
        <w:trPr>
          <w:trHeight w:val="335"/>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R-STU</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imes New Roman" w:hAnsi="Times New Roman"/>
                <w:b/>
                <w:sz w:val="20"/>
                <w:szCs w:val="20"/>
              </w:rPr>
            </w:pPr>
            <w:r w:rsidRPr="00EF2265">
              <w:rPr>
                <w:rFonts w:ascii="Times New Roman" w:eastAsia="Times New Roman" w:hAnsi="Times New Roman"/>
                <w:b/>
                <w:sz w:val="20"/>
                <w:szCs w:val="20"/>
              </w:rPr>
              <w:t>1</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6</w:t>
            </w:r>
          </w:p>
        </w:tc>
        <w:tc>
          <w:tcPr>
            <w:tcW w:w="994"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852"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993"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7</w:t>
            </w:r>
          </w:p>
        </w:tc>
      </w:tr>
      <w:tr w:rsidR="00A1222F" w:rsidRPr="00EF2265" w:rsidTr="00E81927">
        <w:trPr>
          <w:trHeight w:val="335"/>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SvF</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2</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r w:rsidRPr="00EF2265">
              <w:rPr>
                <w:rFonts w:ascii="Times New Roman" w:eastAsiaTheme="minorHAnsi" w:hAnsi="Times New Roman"/>
                <w:b/>
                <w:bCs/>
                <w:sz w:val="20"/>
                <w:szCs w:val="20"/>
              </w:rPr>
              <w:t>5</w:t>
            </w:r>
          </w:p>
        </w:tc>
        <w:tc>
          <w:tcPr>
            <w:tcW w:w="994"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r w:rsidRPr="00EF2265">
              <w:rPr>
                <w:rFonts w:ascii="Times New Roman" w:eastAsiaTheme="minorHAnsi" w:hAnsi="Times New Roman"/>
                <w:b/>
                <w:bCs/>
                <w:sz w:val="20"/>
                <w:szCs w:val="20"/>
              </w:rPr>
              <w:t>1</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eastAsiaTheme="minorHAnsi" w:hAnsi="Times New Roman"/>
                <w:b/>
                <w:bCs/>
                <w:sz w:val="20"/>
                <w:szCs w:val="20"/>
              </w:rPr>
              <w:t>3</w:t>
            </w:r>
          </w:p>
        </w:tc>
        <w:tc>
          <w:tcPr>
            <w:tcW w:w="993"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11</w:t>
            </w:r>
          </w:p>
        </w:tc>
      </w:tr>
      <w:tr w:rsidR="00A1222F" w:rsidRPr="00EF2265" w:rsidTr="00E81927">
        <w:trPr>
          <w:trHeight w:val="335"/>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SjF</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9</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p>
        </w:tc>
        <w:tc>
          <w:tcPr>
            <w:tcW w:w="994"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p>
        </w:tc>
        <w:tc>
          <w:tcPr>
            <w:tcW w:w="993"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9</w:t>
            </w:r>
          </w:p>
        </w:tc>
      </w:tr>
      <w:tr w:rsidR="00A1222F" w:rsidRPr="00EF2265" w:rsidTr="00E81927">
        <w:trPr>
          <w:trHeight w:val="335"/>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FEI</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1</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p>
        </w:tc>
        <w:tc>
          <w:tcPr>
            <w:tcW w:w="994"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852"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993"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1</w:t>
            </w:r>
          </w:p>
        </w:tc>
      </w:tr>
      <w:tr w:rsidR="00A1222F" w:rsidRPr="00EF2265" w:rsidTr="00E81927">
        <w:trPr>
          <w:trHeight w:val="319"/>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FCHPT</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2</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p>
        </w:tc>
        <w:tc>
          <w:tcPr>
            <w:tcW w:w="994"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9</w:t>
            </w:r>
          </w:p>
        </w:tc>
        <w:tc>
          <w:tcPr>
            <w:tcW w:w="993"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11</w:t>
            </w:r>
          </w:p>
        </w:tc>
      </w:tr>
      <w:tr w:rsidR="00A1222F" w:rsidRPr="00EF2265" w:rsidTr="00E81927">
        <w:trPr>
          <w:trHeight w:val="335"/>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FA</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994"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852"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993"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0</w:t>
            </w:r>
          </w:p>
        </w:tc>
      </w:tr>
      <w:tr w:rsidR="00A1222F" w:rsidRPr="00EF2265" w:rsidTr="00E81927">
        <w:trPr>
          <w:trHeight w:val="335"/>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MTF</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10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p>
        </w:tc>
        <w:tc>
          <w:tcPr>
            <w:tcW w:w="994"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852"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r w:rsidRPr="00EF2265">
              <w:rPr>
                <w:rFonts w:ascii="Times New Roman" w:eastAsiaTheme="minorHAnsi" w:hAnsi="Times New Roman"/>
                <w:b/>
                <w:bCs/>
                <w:sz w:val="20"/>
                <w:szCs w:val="20"/>
              </w:rPr>
              <w:t>1</w:t>
            </w:r>
          </w:p>
        </w:tc>
        <w:tc>
          <w:tcPr>
            <w:tcW w:w="993"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11</w:t>
            </w:r>
          </w:p>
        </w:tc>
      </w:tr>
      <w:tr w:rsidR="00A1222F" w:rsidRPr="00EF2265" w:rsidTr="00E81927">
        <w:trPr>
          <w:trHeight w:val="335"/>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lastRenderedPageBreak/>
              <w:t>FIIT</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994"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852"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993"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p>
        </w:tc>
      </w:tr>
      <w:tr w:rsidR="00A1222F" w:rsidRPr="00EF2265" w:rsidTr="00E81927">
        <w:trPr>
          <w:trHeight w:val="335"/>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ÚM</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2</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p>
        </w:tc>
        <w:tc>
          <w:tcPr>
            <w:tcW w:w="994"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852"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p>
        </w:tc>
        <w:tc>
          <w:tcPr>
            <w:tcW w:w="993"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2</w:t>
            </w:r>
          </w:p>
        </w:tc>
      </w:tr>
      <w:tr w:rsidR="00A1222F" w:rsidRPr="00EF2265" w:rsidTr="00E81927">
        <w:trPr>
          <w:trHeight w:val="335"/>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Spolu</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27</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11</w:t>
            </w:r>
          </w:p>
        </w:tc>
        <w:tc>
          <w:tcPr>
            <w:tcW w:w="994" w:type="dxa"/>
            <w:tcBorders>
              <w:top w:val="nil"/>
              <w:left w:val="nil"/>
              <w:bottom w:val="single" w:sz="8" w:space="0" w:color="auto"/>
              <w:right w:val="single" w:sz="8" w:space="0" w:color="auto"/>
            </w:tcBorders>
            <w:tcMar>
              <w:top w:w="0" w:type="dxa"/>
              <w:left w:w="70" w:type="dxa"/>
              <w:bottom w:w="0" w:type="dxa"/>
              <w:right w:w="70" w:type="dxa"/>
            </w:tcMar>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1</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13</w:t>
            </w:r>
          </w:p>
        </w:tc>
        <w:tc>
          <w:tcPr>
            <w:tcW w:w="993" w:type="dxa"/>
            <w:tcBorders>
              <w:top w:val="nil"/>
              <w:left w:val="nil"/>
              <w:bottom w:val="single" w:sz="8" w:space="0" w:color="auto"/>
              <w:right w:val="single" w:sz="8" w:space="0" w:color="auto"/>
            </w:tcBorders>
            <w:tcMar>
              <w:top w:w="0" w:type="dxa"/>
              <w:left w:w="70" w:type="dxa"/>
              <w:bottom w:w="0" w:type="dxa"/>
              <w:right w:w="70" w:type="dxa"/>
            </w:tcMar>
            <w:hideMark/>
          </w:tcPr>
          <w:p w:rsidR="00A1222F" w:rsidRPr="00EF2265" w:rsidRDefault="00A1222F" w:rsidP="00E86605">
            <w:pPr>
              <w:jc w:val="left"/>
              <w:rPr>
                <w:rFonts w:ascii="Times New Roman" w:eastAsiaTheme="minorHAnsi" w:hAnsi="Times New Roman"/>
                <w:b/>
                <w:bCs/>
                <w:sz w:val="20"/>
                <w:szCs w:val="20"/>
              </w:rPr>
            </w:pPr>
            <w:r w:rsidRPr="00EF2265">
              <w:rPr>
                <w:rFonts w:ascii="Times New Roman" w:hAnsi="Times New Roman"/>
                <w:b/>
                <w:bCs/>
                <w:sz w:val="20"/>
                <w:szCs w:val="20"/>
              </w:rPr>
              <w:t>52</w:t>
            </w:r>
          </w:p>
        </w:tc>
      </w:tr>
    </w:tbl>
    <w:p w:rsidR="00A1222F" w:rsidRPr="00EF2265" w:rsidRDefault="00A1222F" w:rsidP="00E86605">
      <w:pPr>
        <w:jc w:val="left"/>
        <w:rPr>
          <w:rFonts w:ascii="Times New Roman" w:hAnsi="Times New Roman"/>
          <w:bCs/>
          <w:i/>
          <w:sz w:val="20"/>
          <w:szCs w:val="20"/>
          <w:lang w:eastAsia="sk-SK"/>
        </w:rPr>
      </w:pPr>
      <w:r w:rsidRPr="00EF2265">
        <w:rPr>
          <w:rFonts w:ascii="Times New Roman" w:hAnsi="Times New Roman"/>
          <w:bCs/>
          <w:i/>
          <w:sz w:val="20"/>
          <w:szCs w:val="20"/>
          <w:lang w:eastAsia="sk-SK"/>
        </w:rPr>
        <w:t>Pozn.: *- napr. Akcia Rakúsko -Slovensko,</w:t>
      </w:r>
      <w:r w:rsidRPr="00EF2265">
        <w:rPr>
          <w:rFonts w:ascii="Times New Roman" w:hAnsi="Times New Roman"/>
          <w:sz w:val="20"/>
          <w:szCs w:val="20"/>
        </w:rPr>
        <w:t xml:space="preserve">  </w:t>
      </w:r>
      <w:r w:rsidRPr="00EF2265">
        <w:rPr>
          <w:rFonts w:ascii="Times New Roman" w:hAnsi="Times New Roman"/>
          <w:i/>
          <w:sz w:val="20"/>
          <w:szCs w:val="20"/>
        </w:rPr>
        <w:t>Baltic University Programme, International Visegrad Fund</w:t>
      </w:r>
    </w:p>
    <w:p w:rsidR="00A1222F" w:rsidRPr="00EF2265" w:rsidRDefault="00A1222F" w:rsidP="00E86605">
      <w:pPr>
        <w:jc w:val="left"/>
        <w:rPr>
          <w:rFonts w:ascii="Times New Roman" w:hAnsi="Times New Roman"/>
          <w:sz w:val="20"/>
          <w:szCs w:val="20"/>
        </w:rPr>
      </w:pP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 xml:space="preserve">      V roku 201</w:t>
      </w:r>
      <w:r w:rsidRPr="00EF2265">
        <w:rPr>
          <w:rFonts w:ascii="Times New Roman" w:hAnsi="Times New Roman"/>
          <w:b/>
          <w:sz w:val="20"/>
          <w:szCs w:val="20"/>
        </w:rPr>
        <w:t>7</w:t>
      </w:r>
      <w:r w:rsidRPr="00EF2265">
        <w:rPr>
          <w:rFonts w:ascii="Times New Roman" w:hAnsi="Times New Roman"/>
          <w:sz w:val="20"/>
          <w:szCs w:val="20"/>
        </w:rPr>
        <w:t xml:space="preserve"> sa riešil </w:t>
      </w:r>
      <w:r w:rsidRPr="00EF2265">
        <w:rPr>
          <w:rFonts w:ascii="Times New Roman" w:hAnsi="Times New Roman"/>
          <w:b/>
          <w:sz w:val="20"/>
          <w:szCs w:val="20"/>
        </w:rPr>
        <w:t>1</w:t>
      </w:r>
      <w:r w:rsidRPr="00EF2265">
        <w:rPr>
          <w:rFonts w:ascii="Times New Roman" w:hAnsi="Times New Roman"/>
          <w:sz w:val="20"/>
          <w:szCs w:val="20"/>
        </w:rPr>
        <w:t xml:space="preserve"> projekt v oblasti vzdelávania v rámci Lifelong Learning Programme (LLP) - cieľom programu je posilňovanie vzdelávania a odbornej prípravy na všetkých úrovniach vzdelávania a </w:t>
      </w:r>
      <w:r w:rsidRPr="00EF2265">
        <w:rPr>
          <w:rFonts w:ascii="Times New Roman" w:hAnsi="Times New Roman"/>
          <w:b/>
          <w:sz w:val="20"/>
          <w:szCs w:val="20"/>
        </w:rPr>
        <w:t>2 </w:t>
      </w:r>
      <w:r w:rsidRPr="00EF2265">
        <w:rPr>
          <w:rFonts w:ascii="Times New Roman" w:hAnsi="Times New Roman"/>
          <w:sz w:val="20"/>
          <w:szCs w:val="20"/>
        </w:rPr>
        <w:t>projekty v rámci Slovak Aid (Ministerstvo zahraničných vecí a európskych záležitostí SR začalo poskytovať oficiálnu rozvojovú pomoc pod značkou SlovakAid v roku 2003</w:t>
      </w:r>
      <w:r w:rsidRPr="00EF2265">
        <w:rPr>
          <w:rStyle w:val="Siln"/>
          <w:rFonts w:ascii="Times New Roman" w:hAnsi="Times New Roman"/>
          <w:sz w:val="20"/>
          <w:szCs w:val="20"/>
        </w:rPr>
        <w:t xml:space="preserve">) v rámci </w:t>
      </w:r>
      <w:r w:rsidRPr="00EF2265">
        <w:rPr>
          <w:rFonts w:ascii="Times New Roman" w:hAnsi="Times New Roman"/>
          <w:sz w:val="20"/>
          <w:szCs w:val="20"/>
        </w:rPr>
        <w:t>oficiálne rozvojovej pomoci (ODA - Official Development Assistance - súhrn aktivít štátu zameraných na pomoc a podporu rozvojových krajín smerom k trvalo udržateľnému rozvoju). V stĺpci „Iné“ sú uvedené projekty riešené v rámci schém, ako sú napr. Akcia Rakúsko-Slovensko, Baltic Programme a iné.</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 xml:space="preserve">V roku 2014 Európsky parlament schválil nový program EÚ s názvom ERASMUS+, od roku 2015 sú už pôvodné programy EÚ pre vzdelávanie, odbornú prípravu, mládež a šport – vrátane programu celoživotného vzdelávania (Erasmus, Leonardo da Vinci, Comenius, Grundtvig), programu Mládež v akcii, a piatich programov medzinárodnej spolupráce (Erasmus Mundus, Tempus atď.) riešené a evidované pod novým programom s názvom ERASMUS+ , v ňom bolo riešených 19 projektov.  </w:t>
      </w:r>
    </w:p>
    <w:p w:rsidR="00A1222F" w:rsidRPr="00EF2265" w:rsidRDefault="00A1222F" w:rsidP="00E86605">
      <w:pPr>
        <w:jc w:val="left"/>
        <w:rPr>
          <w:rFonts w:ascii="Times New Roman" w:hAnsi="Times New Roman"/>
          <w:sz w:val="20"/>
          <w:szCs w:val="20"/>
        </w:rPr>
      </w:pPr>
      <w:r w:rsidRPr="00EF2265">
        <w:rPr>
          <w:rFonts w:ascii="Times New Roman" w:hAnsi="Times New Roman"/>
          <w:sz w:val="20"/>
          <w:szCs w:val="20"/>
        </w:rPr>
        <w:t xml:space="preserve">Informácie o projektoch riešených na STU sú dostupné v slovenskej i v anglickej verzii web stránky STU a v Akademickom informačnom systéme AIS. </w:t>
      </w:r>
    </w:p>
    <w:p w:rsidR="00A1222F" w:rsidRPr="00EF2265" w:rsidRDefault="00A1222F" w:rsidP="00E86605">
      <w:pPr>
        <w:jc w:val="left"/>
        <w:rPr>
          <w:rFonts w:ascii="Times New Roman" w:hAnsi="Times New Roman"/>
          <w:sz w:val="20"/>
          <w:szCs w:val="20"/>
        </w:rPr>
      </w:pPr>
    </w:p>
    <w:p w:rsidR="00A1222F" w:rsidRPr="00EF2265" w:rsidRDefault="00A1222F" w:rsidP="00E86605">
      <w:pPr>
        <w:jc w:val="left"/>
        <w:rPr>
          <w:rFonts w:ascii="Times New Roman" w:hAnsi="Times New Roman"/>
          <w:sz w:val="20"/>
          <w:szCs w:val="20"/>
          <w:lang w:eastAsia="cs-CZ"/>
        </w:rPr>
      </w:pPr>
    </w:p>
    <w:p w:rsidR="00A1222F" w:rsidRPr="00EF2265" w:rsidRDefault="00A1222F" w:rsidP="00E86605">
      <w:pPr>
        <w:pStyle w:val="Nadpis2"/>
        <w:keepLines w:val="0"/>
        <w:numPr>
          <w:ilvl w:val="1"/>
          <w:numId w:val="76"/>
        </w:numPr>
        <w:tabs>
          <w:tab w:val="clear" w:pos="567"/>
        </w:tabs>
        <w:spacing w:before="240" w:after="240"/>
        <w:ind w:left="0" w:firstLine="0"/>
        <w:rPr>
          <w:rFonts w:ascii="Times New Roman" w:hAnsi="Times New Roman" w:cs="Times New Roman"/>
          <w:color w:val="auto"/>
          <w:sz w:val="20"/>
          <w:szCs w:val="20"/>
        </w:rPr>
      </w:pPr>
      <w:bookmarkStart w:id="242" w:name="_Toc349024726"/>
      <w:bookmarkStart w:id="243" w:name="_Toc477769495"/>
      <w:r w:rsidRPr="00EF2265">
        <w:rPr>
          <w:rFonts w:ascii="Times New Roman" w:hAnsi="Times New Roman" w:cs="Times New Roman"/>
          <w:color w:val="auto"/>
          <w:sz w:val="20"/>
          <w:szCs w:val="20"/>
        </w:rPr>
        <w:t>Mobility študentov a </w:t>
      </w:r>
      <w:bookmarkEnd w:id="242"/>
      <w:r w:rsidRPr="00EF2265">
        <w:rPr>
          <w:rFonts w:ascii="Times New Roman" w:hAnsi="Times New Roman" w:cs="Times New Roman"/>
          <w:color w:val="auto"/>
          <w:sz w:val="20"/>
          <w:szCs w:val="20"/>
        </w:rPr>
        <w:t>zamestnancov</w:t>
      </w:r>
      <w:bookmarkEnd w:id="243"/>
      <w:r w:rsidRPr="00EF2265">
        <w:rPr>
          <w:rFonts w:ascii="Times New Roman" w:hAnsi="Times New Roman" w:cs="Times New Roman"/>
          <w:color w:val="auto"/>
          <w:sz w:val="20"/>
          <w:szCs w:val="20"/>
        </w:rPr>
        <w:t xml:space="preserve"> </w:t>
      </w:r>
    </w:p>
    <w:p w:rsidR="00A1222F" w:rsidRPr="00EF2265" w:rsidRDefault="00A1222F" w:rsidP="00E86605">
      <w:pPr>
        <w:jc w:val="left"/>
        <w:rPr>
          <w:rFonts w:ascii="Times New Roman" w:eastAsia="Times New Roman" w:hAnsi="Times New Roman"/>
          <w:sz w:val="20"/>
          <w:szCs w:val="20"/>
          <w:lang w:eastAsia="ko-KR"/>
        </w:rPr>
      </w:pPr>
      <w:r w:rsidRPr="00EF2265">
        <w:rPr>
          <w:rFonts w:ascii="Times New Roman" w:eastAsia="Times New Roman" w:hAnsi="Times New Roman"/>
          <w:sz w:val="20"/>
          <w:szCs w:val="20"/>
          <w:lang w:eastAsia="ko-KR"/>
        </w:rPr>
        <w:t xml:space="preserve">Mobilita študentov, vysokoškolských učiteľov a výskumných pracovníkov je prínosom pre krajiny pôvodu a ich alma-mater, ale aj pre hostiteľské krajiny a inštitúcie. Mobility učiteľov a výskumných zamestnancov sú zamerané najmä na realizáciu výučby a výskumu na partnerskej inštitúcii. V prípade mobilít administratívnych zamestnancov ide predovšetkým o školenia. </w:t>
      </w:r>
    </w:p>
    <w:p w:rsidR="00A1222F" w:rsidRPr="00EF2265" w:rsidRDefault="00A1222F" w:rsidP="00E86605">
      <w:pPr>
        <w:jc w:val="left"/>
        <w:rPr>
          <w:rFonts w:ascii="Times New Roman" w:eastAsia="Times New Roman" w:hAnsi="Times New Roman"/>
          <w:sz w:val="20"/>
          <w:szCs w:val="20"/>
          <w:lang w:eastAsia="ko-KR"/>
        </w:rPr>
      </w:pPr>
      <w:r w:rsidRPr="00EF2265">
        <w:rPr>
          <w:rFonts w:ascii="Times New Roman" w:eastAsia="Times New Roman" w:hAnsi="Times New Roman"/>
          <w:sz w:val="20"/>
          <w:szCs w:val="20"/>
          <w:lang w:eastAsia="ko-KR"/>
        </w:rPr>
        <w:t xml:space="preserve">Univerzita realizovala mobility študentov, zamestnancov a prijímanie zahraničných zamestnancov prevažne cez nasledujúce medzinárodné programy: </w:t>
      </w:r>
    </w:p>
    <w:p w:rsidR="00A1222F" w:rsidRPr="00EF2265" w:rsidRDefault="00A1222F" w:rsidP="00E86605">
      <w:pPr>
        <w:numPr>
          <w:ilvl w:val="0"/>
          <w:numId w:val="57"/>
        </w:numPr>
        <w:jc w:val="left"/>
        <w:rPr>
          <w:rFonts w:ascii="Times New Roman" w:eastAsia="Times New Roman" w:hAnsi="Times New Roman"/>
          <w:sz w:val="20"/>
          <w:szCs w:val="20"/>
          <w:lang w:eastAsia="ko-KR"/>
        </w:rPr>
      </w:pPr>
      <w:r w:rsidRPr="00EF2265">
        <w:rPr>
          <w:rFonts w:ascii="Times New Roman" w:eastAsia="Times New Roman" w:hAnsi="Times New Roman"/>
          <w:sz w:val="20"/>
          <w:szCs w:val="20"/>
          <w:lang w:eastAsia="ko-KR"/>
        </w:rPr>
        <w:t>Erasmus+ podporuje mobility študentov, učiteľov a zamestnancov zo zdrojov Európskej únie.</w:t>
      </w:r>
    </w:p>
    <w:p w:rsidR="00A1222F" w:rsidRPr="00EF2265" w:rsidRDefault="00A1222F" w:rsidP="00E86605">
      <w:pPr>
        <w:numPr>
          <w:ilvl w:val="0"/>
          <w:numId w:val="57"/>
        </w:numPr>
        <w:jc w:val="left"/>
        <w:rPr>
          <w:rFonts w:ascii="Times New Roman" w:eastAsia="Times New Roman" w:hAnsi="Times New Roman"/>
          <w:strike/>
          <w:sz w:val="20"/>
          <w:szCs w:val="20"/>
          <w:lang w:eastAsia="ko-KR"/>
        </w:rPr>
      </w:pPr>
      <w:r w:rsidRPr="00EF2265">
        <w:rPr>
          <w:rFonts w:ascii="Times New Roman" w:eastAsia="Times New Roman" w:hAnsi="Times New Roman"/>
          <w:sz w:val="20"/>
          <w:szCs w:val="20"/>
          <w:lang w:eastAsia="ko-KR"/>
        </w:rPr>
        <w:t>Národný štipendijný program Slovenskej republiky (NŠP) – určený na podporu mobilít študentov, doktorandov, vysokoškolských učiteľov, a výskumných/umeleckých zamestnancov. Je financovaný Ministerstvom školstva, vedy, výskumu a športu SR.</w:t>
      </w:r>
    </w:p>
    <w:p w:rsidR="00A1222F" w:rsidRPr="00EF2265" w:rsidRDefault="00A1222F" w:rsidP="00E86605">
      <w:pPr>
        <w:numPr>
          <w:ilvl w:val="0"/>
          <w:numId w:val="57"/>
        </w:numPr>
        <w:jc w:val="left"/>
        <w:rPr>
          <w:rFonts w:ascii="Times New Roman" w:eastAsia="Times New Roman" w:hAnsi="Times New Roman"/>
          <w:sz w:val="20"/>
          <w:szCs w:val="20"/>
          <w:lang w:eastAsia="ko-KR"/>
        </w:rPr>
      </w:pPr>
      <w:r w:rsidRPr="00EF2265">
        <w:rPr>
          <w:rFonts w:ascii="Times New Roman" w:eastAsia="Times New Roman" w:hAnsi="Times New Roman"/>
          <w:sz w:val="20"/>
          <w:szCs w:val="20"/>
          <w:lang w:eastAsia="ko-KR"/>
        </w:rPr>
        <w:t>CEEPUS - stredoeurópsky výmenný program pre univerzitné štúdiá podporuje akademické mobility v strednej, východnej a juhovýchodnej Európe, prispieva k európskej integrácii a zdôrazňuje regionálne špecifiká.</w:t>
      </w:r>
    </w:p>
    <w:p w:rsidR="00A1222F" w:rsidRPr="00EF2265" w:rsidRDefault="00A1222F" w:rsidP="00E86605">
      <w:pPr>
        <w:jc w:val="left"/>
        <w:rPr>
          <w:rFonts w:ascii="Times New Roman" w:eastAsia="Times New Roman" w:hAnsi="Times New Roman"/>
          <w:sz w:val="20"/>
          <w:szCs w:val="20"/>
          <w:lang w:eastAsia="ko-KR"/>
        </w:rPr>
      </w:pPr>
      <w:r w:rsidRPr="00EF2265">
        <w:rPr>
          <w:rFonts w:ascii="Times New Roman" w:eastAsia="Times New Roman" w:hAnsi="Times New Roman"/>
          <w:sz w:val="20"/>
          <w:szCs w:val="20"/>
          <w:lang w:eastAsia="ko-KR"/>
        </w:rPr>
        <w:t>Viac informácií o študentských mobilitách je v časti Informácie o akademickej mobilite študentov v 3. kapitole Výročnej správy. Čo sa týka mobility zamestnancov - údaje sú v tabuľkovej prílohe tejto správy.</w:t>
      </w:r>
    </w:p>
    <w:p w:rsidR="00A1222F" w:rsidRPr="00EF2265" w:rsidRDefault="00A1222F" w:rsidP="00E86605">
      <w:pPr>
        <w:jc w:val="left"/>
        <w:rPr>
          <w:rFonts w:ascii="Times New Roman" w:eastAsia="Times New Roman" w:hAnsi="Times New Roman"/>
          <w:sz w:val="20"/>
          <w:szCs w:val="20"/>
          <w:lang w:eastAsia="ko-KR"/>
        </w:rPr>
      </w:pPr>
    </w:p>
    <w:p w:rsidR="00A1222F" w:rsidRPr="00EF2265" w:rsidRDefault="00A1222F" w:rsidP="00E86605">
      <w:pPr>
        <w:jc w:val="left"/>
        <w:rPr>
          <w:rFonts w:ascii="Times New Roman" w:eastAsia="Times New Roman" w:hAnsi="Times New Roman"/>
          <w:sz w:val="20"/>
          <w:szCs w:val="20"/>
          <w:lang w:eastAsia="ko-KR"/>
        </w:rPr>
      </w:pPr>
      <w:r w:rsidRPr="00EF2265">
        <w:rPr>
          <w:rFonts w:ascii="Times New Roman" w:eastAsia="Times New Roman" w:hAnsi="Times New Roman"/>
          <w:sz w:val="20"/>
          <w:szCs w:val="20"/>
          <w:lang w:eastAsia="ko-KR"/>
        </w:rPr>
        <w:t>S cieľom podporovať, zintenzívniť a pozitívne ovplyvniť šírenie informácií o STU v domovských univerzitách zahraničných študentov prichádzajúcich na mobility organizuje STU na začiatku každého  semestra stretnutia so zahraničnými študentmi v spolupráci so študentskou organizáciou Erasmus Students Network. STU podporuje finančne i materiálne i Erasmus Students Network (ESN) Slovensko, neziskovú študentskú organizácia. ESN SK je poradným orgánom Slovak Association for International Cooperation.</w:t>
      </w:r>
      <w:r w:rsidRPr="00EF2265">
        <w:rPr>
          <w:rFonts w:ascii="Times New Roman" w:hAnsi="Times New Roman"/>
          <w:sz w:val="20"/>
          <w:szCs w:val="20"/>
        </w:rPr>
        <w:t xml:space="preserve"> </w:t>
      </w:r>
      <w:r w:rsidRPr="00EF2265">
        <w:rPr>
          <w:rFonts w:ascii="Times New Roman" w:eastAsia="Times New Roman" w:hAnsi="Times New Roman"/>
          <w:sz w:val="20"/>
          <w:szCs w:val="20"/>
          <w:lang w:eastAsia="ko-KR"/>
        </w:rPr>
        <w:t>ESN STUBA je súčasťou a  jednou zo sekcií ESN Slovensko.</w:t>
      </w:r>
    </w:p>
    <w:p w:rsidR="00A1222F" w:rsidRPr="00EF2265" w:rsidRDefault="00A1222F" w:rsidP="00E86605">
      <w:pPr>
        <w:jc w:val="left"/>
        <w:rPr>
          <w:rFonts w:ascii="Times New Roman" w:eastAsia="Times New Roman" w:hAnsi="Times New Roman"/>
          <w:sz w:val="20"/>
          <w:szCs w:val="20"/>
          <w:lang w:eastAsia="ko-KR"/>
        </w:rPr>
      </w:pPr>
      <w:r w:rsidRPr="00EF2265">
        <w:rPr>
          <w:rFonts w:ascii="Times New Roman" w:eastAsia="Times New Roman" w:hAnsi="Times New Roman"/>
          <w:sz w:val="20"/>
          <w:szCs w:val="20"/>
          <w:lang w:eastAsia="ko-KR"/>
        </w:rPr>
        <w:t>ESN STUBA vyvíja činnosť od roku 2012 v prospech STU. Jej základným cieľom je napomáhať adaptovaniu sa  zahraničných študentov na STU, ako i pomôcť slovenským študentom, ktorí chcú študovať v zahraničí. Organizácia spolupracuje i s ostatnými sekciami ESN v Bratislave a ponúka celý rad akcií a výletov, rovnako ako pomoc Erasmus+ študentom prostredníctvom Buddy systém.</w:t>
      </w:r>
    </w:p>
    <w:p w:rsidR="00A1222F" w:rsidRPr="00EF2265" w:rsidRDefault="00A1222F" w:rsidP="00E86605">
      <w:pPr>
        <w:jc w:val="left"/>
        <w:rPr>
          <w:rFonts w:ascii="Times New Roman" w:eastAsia="Times New Roman" w:hAnsi="Times New Roman"/>
          <w:sz w:val="20"/>
          <w:szCs w:val="20"/>
          <w:lang w:eastAsia="ko-KR"/>
        </w:rPr>
      </w:pPr>
      <w:r w:rsidRPr="00EF2265">
        <w:rPr>
          <w:rFonts w:ascii="Times New Roman" w:eastAsia="Times New Roman" w:hAnsi="Times New Roman"/>
          <w:sz w:val="20"/>
          <w:szCs w:val="20"/>
          <w:lang w:eastAsia="ko-KR"/>
        </w:rPr>
        <w:t xml:space="preserve">Okrem informovania zahraničných študentov sa každoročne z úrovne rektorátu, ale takisto na jednotlivých fakultách, konajú prezentácie pre študentov STU o možnostiach vycestovania na mobilitné pobyty. Okrem toho sa podporujú aktivity národných agentúr poskytnutím priestorov a technického vybavenia i propagáciou akcií medzi študentmi. </w:t>
      </w:r>
    </w:p>
    <w:p w:rsidR="00A1222F" w:rsidRPr="00EF2265" w:rsidRDefault="00A1222F" w:rsidP="00E86605">
      <w:pPr>
        <w:jc w:val="left"/>
        <w:rPr>
          <w:rFonts w:ascii="Times New Roman" w:eastAsia="Times New Roman" w:hAnsi="Times New Roman"/>
          <w:sz w:val="20"/>
          <w:szCs w:val="20"/>
          <w:lang w:eastAsia="ko-KR"/>
        </w:rPr>
      </w:pPr>
      <w:r w:rsidRPr="00EF2265">
        <w:rPr>
          <w:rFonts w:ascii="Times New Roman" w:eastAsia="Times New Roman" w:hAnsi="Times New Roman"/>
          <w:sz w:val="20"/>
          <w:szCs w:val="20"/>
          <w:lang w:eastAsia="ko-KR"/>
        </w:rPr>
        <w:t xml:space="preserve">Pre zlepšenie informovanosti študentov o možnostiach štúdia a mobilitných pobytov na STU bola v uplynulom období venovaná intenzívna pozornosť pravidelnej aktualizácii a dopĺňaniu informácií v anglickom jazyku do anglickej mutácie web stránky. </w:t>
      </w:r>
    </w:p>
    <w:p w:rsidR="00577419" w:rsidRPr="00EF2265" w:rsidRDefault="00577419" w:rsidP="00E86605">
      <w:pPr>
        <w:jc w:val="left"/>
        <w:rPr>
          <w:rFonts w:ascii="Times New Roman" w:eastAsia="Times New Roman" w:hAnsi="Times New Roman"/>
          <w:sz w:val="20"/>
          <w:szCs w:val="20"/>
          <w:lang w:eastAsia="ko-KR"/>
        </w:rPr>
      </w:pPr>
    </w:p>
    <w:p w:rsidR="00577419" w:rsidRPr="00EF2265" w:rsidRDefault="00577419" w:rsidP="00E86605">
      <w:pPr>
        <w:pStyle w:val="Nadpis1"/>
        <w:numPr>
          <w:ilvl w:val="0"/>
          <w:numId w:val="0"/>
        </w:numPr>
        <w:tabs>
          <w:tab w:val="left" w:pos="9356"/>
        </w:tabs>
        <w:spacing w:after="120"/>
        <w:rPr>
          <w:rFonts w:ascii="Times New Roman" w:hAnsi="Times New Roman" w:cs="Times New Roman"/>
          <w:color w:val="auto"/>
          <w:sz w:val="20"/>
          <w:szCs w:val="20"/>
        </w:rPr>
      </w:pPr>
      <w:bookmarkStart w:id="244" w:name="_Toc507138309"/>
    </w:p>
    <w:p w:rsidR="00577419" w:rsidRPr="00EF2265" w:rsidRDefault="00577419" w:rsidP="00E86605">
      <w:pPr>
        <w:pStyle w:val="Nadpis1"/>
        <w:numPr>
          <w:ilvl w:val="0"/>
          <w:numId w:val="0"/>
        </w:numPr>
        <w:tabs>
          <w:tab w:val="left" w:pos="9356"/>
        </w:tabs>
        <w:spacing w:after="120"/>
        <w:rPr>
          <w:rFonts w:ascii="Times New Roman" w:hAnsi="Times New Roman" w:cs="Times New Roman"/>
          <w:color w:val="auto"/>
          <w:sz w:val="20"/>
          <w:szCs w:val="20"/>
        </w:rPr>
      </w:pPr>
      <w:r w:rsidRPr="00EF2265">
        <w:rPr>
          <w:rFonts w:ascii="Times New Roman" w:hAnsi="Times New Roman" w:cs="Times New Roman"/>
          <w:color w:val="auto"/>
          <w:sz w:val="20"/>
          <w:szCs w:val="20"/>
        </w:rPr>
        <w:t>Informácie o akademickej mobilite na STU</w:t>
      </w:r>
      <w:bookmarkEnd w:id="244"/>
    </w:p>
    <w:p w:rsidR="00577419" w:rsidRPr="00EF2265" w:rsidRDefault="00577419" w:rsidP="00E86605">
      <w:pPr>
        <w:pStyle w:val="Normlnywebov"/>
        <w:tabs>
          <w:tab w:val="left" w:pos="9356"/>
        </w:tabs>
        <w:spacing w:beforeAutospacing="0" w:after="120" w:afterAutospacing="0"/>
        <w:jc w:val="left"/>
        <w:rPr>
          <w:sz w:val="20"/>
          <w:szCs w:val="20"/>
        </w:rPr>
      </w:pPr>
      <w:r w:rsidRPr="00EF2265">
        <w:rPr>
          <w:sz w:val="20"/>
          <w:szCs w:val="20"/>
        </w:rPr>
        <w:t>STU vysiela študentov na medzinárodné akademické mobility</w:t>
      </w:r>
      <w:r w:rsidRPr="00EF2265">
        <w:rPr>
          <w:spacing w:val="22"/>
          <w:sz w:val="20"/>
          <w:szCs w:val="20"/>
        </w:rPr>
        <w:t xml:space="preserve"> </w:t>
      </w:r>
      <w:r w:rsidRPr="00EF2265">
        <w:rPr>
          <w:sz w:val="20"/>
          <w:szCs w:val="20"/>
        </w:rPr>
        <w:t>za</w:t>
      </w:r>
      <w:r w:rsidRPr="00EF2265">
        <w:rPr>
          <w:w w:val="99"/>
          <w:sz w:val="20"/>
          <w:szCs w:val="20"/>
        </w:rPr>
        <w:t xml:space="preserve"> </w:t>
      </w:r>
      <w:r w:rsidRPr="00EF2265">
        <w:rPr>
          <w:sz w:val="20"/>
          <w:szCs w:val="20"/>
        </w:rPr>
        <w:t>účelom štúdia na zahraničných univerzitách alebo na pracovné stáže do zahraničných podnikov a firiem na rôzne dlhé časové obdobia. Rovnako</w:t>
      </w:r>
      <w:r w:rsidRPr="00EF2265">
        <w:rPr>
          <w:spacing w:val="31"/>
          <w:sz w:val="20"/>
          <w:szCs w:val="20"/>
        </w:rPr>
        <w:t xml:space="preserve"> </w:t>
      </w:r>
      <w:r w:rsidRPr="00EF2265">
        <w:rPr>
          <w:sz w:val="20"/>
          <w:szCs w:val="20"/>
        </w:rPr>
        <w:t>STU</w:t>
      </w:r>
      <w:r w:rsidRPr="00EF2265">
        <w:rPr>
          <w:w w:val="99"/>
          <w:sz w:val="20"/>
          <w:szCs w:val="20"/>
        </w:rPr>
        <w:t xml:space="preserve"> </w:t>
      </w:r>
      <w:r w:rsidRPr="00EF2265">
        <w:rPr>
          <w:sz w:val="20"/>
          <w:szCs w:val="20"/>
        </w:rPr>
        <w:t>prijíma študentov zahraničných vysokých škôl. Takéto akademické mobility sú zastrešené buď grantovým programom alebo podpísanou bilaterálnou zmluvou priamo medzi STU a zahraničnou vysokou školou.</w:t>
      </w:r>
    </w:p>
    <w:p w:rsidR="00577419" w:rsidRPr="00EF2265" w:rsidRDefault="00577419" w:rsidP="00E86605">
      <w:pPr>
        <w:pStyle w:val="Normlnywebov"/>
        <w:tabs>
          <w:tab w:val="left" w:pos="9356"/>
        </w:tabs>
        <w:spacing w:beforeAutospacing="0" w:after="120" w:afterAutospacing="0"/>
        <w:jc w:val="left"/>
        <w:rPr>
          <w:sz w:val="20"/>
          <w:szCs w:val="20"/>
        </w:rPr>
      </w:pPr>
      <w:r w:rsidRPr="00EF2265">
        <w:rPr>
          <w:sz w:val="20"/>
          <w:szCs w:val="20"/>
        </w:rPr>
        <w:t xml:space="preserve">Mobility študentov sú jedným z významných nástrojov stratégie internacionalizácie STU. Cieľom podporovania akademických mobilít prichádzajúcich zahraničných študentov je v súlade s Dlhodobým zámerom rozvoja STU otvárať univerzitu medzinárodnému prostrediu s cieľom poskytovať kvalitné, široko dostupné, medzinárodne porovnateľné vzdelávanie v technických a na ne nadväzujúcich odboroch. Účastníci akademických mobilít z STU v zahraničí okrem nových vedomostí získavajú v zahraničí nové spôsobilosti, kontakty a skúsenosti uplatniteľné následne vo svojej činnosti na domácej univerzite. Počas akademickej mobility si zvyšujú a rozširujú svoje pracovné a odborné spôsobilosti. Zmenu prinášajú akademické mobility aj v oblasti nadobudnutia nových európskych postojov uplatňovaných v  praxi ako nástroj osobného rozvoja a zvyšovania si hodnoty na trhu práce. Jazyková úroveň po absolvovaní akademickej mobility nadobúda inú lepšiu kvalitatívnu úroveň.  </w:t>
      </w:r>
    </w:p>
    <w:p w:rsidR="00577419" w:rsidRPr="00EF2265" w:rsidRDefault="00577419" w:rsidP="00E86605">
      <w:pPr>
        <w:pStyle w:val="Zkladntext2"/>
        <w:tabs>
          <w:tab w:val="left" w:pos="9356"/>
        </w:tabs>
        <w:jc w:val="left"/>
        <w:rPr>
          <w:sz w:val="20"/>
        </w:rPr>
      </w:pPr>
      <w:r w:rsidRPr="00EF2265">
        <w:rPr>
          <w:sz w:val="20"/>
        </w:rPr>
        <w:t>Mobility sa realizujú cez programy, granty a zmluvy, najmä:</w:t>
      </w:r>
    </w:p>
    <w:p w:rsidR="00577419" w:rsidRPr="00EF2265" w:rsidRDefault="00577419" w:rsidP="00E86605">
      <w:pPr>
        <w:pStyle w:val="Zkladntext2"/>
        <w:numPr>
          <w:ilvl w:val="0"/>
          <w:numId w:val="2"/>
        </w:numPr>
        <w:tabs>
          <w:tab w:val="left" w:pos="9356"/>
        </w:tabs>
        <w:spacing w:after="120"/>
        <w:ind w:left="714" w:hanging="357"/>
        <w:jc w:val="left"/>
        <w:rPr>
          <w:sz w:val="20"/>
        </w:rPr>
      </w:pPr>
      <w:r w:rsidRPr="00EF2265">
        <w:rPr>
          <w:sz w:val="20"/>
        </w:rPr>
        <w:t xml:space="preserve">Program </w:t>
      </w:r>
      <w:r w:rsidRPr="00EF2265">
        <w:rPr>
          <w:b/>
          <w:sz w:val="20"/>
        </w:rPr>
        <w:t>Erasmus+</w:t>
      </w:r>
      <w:r w:rsidRPr="00EF2265">
        <w:rPr>
          <w:sz w:val="20"/>
        </w:rPr>
        <w:t>, ktorý zlučuje všetky doterajšie programy EÚ pre vzdelávanie, odbornú prípravu, mládež a šport vrátane programov celoživotného vzdelávania (Erasmus, Leonardo da Vinci, Comenius, Grundtvig), programu Mládež v akcii a piatich programov medzinárodnej spolupráce (Erasmus Mundus, Tempus, Alfa, Edulink a program pre spoluprácu s industrializovanými krajinami).</w:t>
      </w:r>
    </w:p>
    <w:p w:rsidR="00577419" w:rsidRPr="00EF2265" w:rsidRDefault="00577419" w:rsidP="00E86605">
      <w:pPr>
        <w:pStyle w:val="Zkladntext2"/>
        <w:numPr>
          <w:ilvl w:val="0"/>
          <w:numId w:val="2"/>
        </w:numPr>
        <w:tabs>
          <w:tab w:val="left" w:pos="9356"/>
        </w:tabs>
        <w:spacing w:after="120"/>
        <w:ind w:left="714" w:hanging="357"/>
        <w:jc w:val="left"/>
        <w:rPr>
          <w:sz w:val="20"/>
        </w:rPr>
      </w:pPr>
      <w:r w:rsidRPr="00EF2265">
        <w:rPr>
          <w:sz w:val="20"/>
        </w:rPr>
        <w:t xml:space="preserve">Program </w:t>
      </w:r>
      <w:r w:rsidRPr="00EF2265">
        <w:rPr>
          <w:b/>
          <w:sz w:val="20"/>
        </w:rPr>
        <w:t xml:space="preserve">CEEPUS </w:t>
      </w:r>
      <w:r w:rsidRPr="00EF2265">
        <w:rPr>
          <w:sz w:val="20"/>
        </w:rPr>
        <w:t>(Central European Exchange Program</w:t>
      </w:r>
      <w:r w:rsidRPr="00EF2265">
        <w:rPr>
          <w:b/>
          <w:sz w:val="20"/>
        </w:rPr>
        <w:t xml:space="preserve"> </w:t>
      </w:r>
      <w:r w:rsidRPr="00EF2265">
        <w:rPr>
          <w:sz w:val="20"/>
        </w:rPr>
        <w:t>for University Studies), ktorý podporuje</w:t>
      </w:r>
      <w:r w:rsidRPr="00EF2265">
        <w:rPr>
          <w:b/>
          <w:sz w:val="20"/>
        </w:rPr>
        <w:t xml:space="preserve"> </w:t>
      </w:r>
      <w:r w:rsidRPr="00EF2265">
        <w:rPr>
          <w:sz w:val="20"/>
        </w:rPr>
        <w:t>študijné</w:t>
      </w:r>
      <w:r w:rsidRPr="00EF2265">
        <w:rPr>
          <w:b/>
          <w:sz w:val="20"/>
        </w:rPr>
        <w:t xml:space="preserve"> </w:t>
      </w:r>
      <w:r w:rsidRPr="00EF2265">
        <w:rPr>
          <w:sz w:val="20"/>
        </w:rPr>
        <w:t>výmenné pobyty na univerzitách v štátoch strednej Európy.</w:t>
      </w:r>
    </w:p>
    <w:p w:rsidR="00577419" w:rsidRPr="00EF2265" w:rsidRDefault="00577419" w:rsidP="00E86605">
      <w:pPr>
        <w:pStyle w:val="Zkladntext2"/>
        <w:numPr>
          <w:ilvl w:val="0"/>
          <w:numId w:val="2"/>
        </w:numPr>
        <w:tabs>
          <w:tab w:val="left" w:pos="9356"/>
        </w:tabs>
        <w:spacing w:after="120"/>
        <w:ind w:left="714" w:hanging="357"/>
        <w:jc w:val="left"/>
        <w:rPr>
          <w:sz w:val="20"/>
        </w:rPr>
      </w:pPr>
      <w:r w:rsidRPr="00EF2265">
        <w:rPr>
          <w:b/>
          <w:sz w:val="20"/>
        </w:rPr>
        <w:t>Národný štipendijný program Slovenskej republiky</w:t>
      </w:r>
      <w:r w:rsidRPr="00EF2265">
        <w:rPr>
          <w:sz w:val="20"/>
        </w:rPr>
        <w:t xml:space="preserve"> (NŠP), ktorého cieľom je podpora mobilít študentov, doktorandov, vysokoškolských učiteľov a vedeckých pracovníkov. </w:t>
      </w:r>
    </w:p>
    <w:p w:rsidR="00577419" w:rsidRPr="00EF2265" w:rsidRDefault="00577419" w:rsidP="00E86605">
      <w:pPr>
        <w:pStyle w:val="Zkladntext2"/>
        <w:numPr>
          <w:ilvl w:val="0"/>
          <w:numId w:val="2"/>
        </w:numPr>
        <w:tabs>
          <w:tab w:val="left" w:pos="9356"/>
        </w:tabs>
        <w:spacing w:after="120"/>
        <w:ind w:left="714" w:hanging="357"/>
        <w:jc w:val="left"/>
        <w:rPr>
          <w:sz w:val="20"/>
        </w:rPr>
      </w:pPr>
      <w:r w:rsidRPr="00EF2265">
        <w:rPr>
          <w:b/>
          <w:sz w:val="20"/>
        </w:rPr>
        <w:t xml:space="preserve">IAESTE </w:t>
      </w:r>
      <w:r w:rsidRPr="00EF2265">
        <w:rPr>
          <w:sz w:val="20"/>
        </w:rPr>
        <w:t>(The International Association for the Exchange of Students for Technical Experience), ktoré zabezpečuje výmenný program odborných stáží pre študentov technických vysokých škôl.</w:t>
      </w:r>
    </w:p>
    <w:p w:rsidR="00577419" w:rsidRPr="00EF2265" w:rsidRDefault="00577419" w:rsidP="00E86605">
      <w:pPr>
        <w:pStyle w:val="Zkladntext2"/>
        <w:numPr>
          <w:ilvl w:val="0"/>
          <w:numId w:val="2"/>
        </w:numPr>
        <w:tabs>
          <w:tab w:val="left" w:pos="9356"/>
        </w:tabs>
        <w:spacing w:after="120"/>
        <w:ind w:left="714" w:hanging="357"/>
        <w:jc w:val="left"/>
        <w:rPr>
          <w:sz w:val="20"/>
        </w:rPr>
      </w:pPr>
      <w:r w:rsidRPr="00EF2265">
        <w:rPr>
          <w:b/>
          <w:sz w:val="20"/>
        </w:rPr>
        <w:t xml:space="preserve">Štipendijný program EHP, </w:t>
      </w:r>
      <w:r w:rsidRPr="00EF2265">
        <w:rPr>
          <w:sz w:val="20"/>
        </w:rPr>
        <w:t>ktorý zabezpečuje mobility študentov a doktorandov na partnerských organizáciách v donorských štátoch Nórsku, Islande a Lichtenštajnsku.</w:t>
      </w:r>
    </w:p>
    <w:p w:rsidR="00577419" w:rsidRPr="00EF2265" w:rsidRDefault="00577419" w:rsidP="00E86605">
      <w:pPr>
        <w:pStyle w:val="Zkladntext2"/>
        <w:numPr>
          <w:ilvl w:val="0"/>
          <w:numId w:val="2"/>
        </w:numPr>
        <w:tabs>
          <w:tab w:val="left" w:pos="9356"/>
        </w:tabs>
        <w:spacing w:after="120"/>
        <w:ind w:left="714" w:hanging="357"/>
        <w:jc w:val="left"/>
        <w:rPr>
          <w:sz w:val="20"/>
        </w:rPr>
      </w:pPr>
      <w:r w:rsidRPr="00EF2265">
        <w:rPr>
          <w:sz w:val="20"/>
        </w:rPr>
        <w:t xml:space="preserve">Na základe </w:t>
      </w:r>
      <w:r w:rsidRPr="00EF2265">
        <w:rPr>
          <w:b/>
          <w:sz w:val="20"/>
        </w:rPr>
        <w:t>zmlúv a dohôd</w:t>
      </w:r>
      <w:r w:rsidRPr="00EF2265">
        <w:rPr>
          <w:sz w:val="20"/>
        </w:rPr>
        <w:t xml:space="preserve"> uzatvorených buď na úrovni univerzity, alebo fakúlt.</w:t>
      </w:r>
    </w:p>
    <w:p w:rsidR="00577419" w:rsidRPr="00EF2265" w:rsidRDefault="00577419" w:rsidP="00E86605">
      <w:pPr>
        <w:pStyle w:val="Zkladntext2"/>
        <w:tabs>
          <w:tab w:val="left" w:pos="9356"/>
        </w:tabs>
        <w:spacing w:after="120"/>
        <w:jc w:val="left"/>
        <w:rPr>
          <w:sz w:val="20"/>
        </w:rPr>
      </w:pPr>
      <w:r w:rsidRPr="00EF2265">
        <w:rPr>
          <w:sz w:val="20"/>
        </w:rPr>
        <w:t>Ďalšou možnosťou je akademická mobilita typu Free-movers,</w:t>
      </w:r>
      <w:r w:rsidRPr="00EF2265">
        <w:rPr>
          <w:b/>
          <w:sz w:val="20"/>
        </w:rPr>
        <w:t xml:space="preserve"> </w:t>
      </w:r>
      <w:r w:rsidRPr="00EF2265">
        <w:rPr>
          <w:sz w:val="20"/>
        </w:rPr>
        <w:t xml:space="preserve">mobilitný program, ktorý môže (ale nemusí) byť zastrešený bilaterálnou zmluvou a študent si mobilitu hradí individuálne zo svojich finančných zdrojov. </w:t>
      </w:r>
    </w:p>
    <w:p w:rsidR="00577419" w:rsidRPr="00EF2265" w:rsidRDefault="00577419" w:rsidP="00E86605">
      <w:pPr>
        <w:pStyle w:val="Zkladntext2"/>
        <w:tabs>
          <w:tab w:val="left" w:pos="9356"/>
        </w:tabs>
        <w:ind w:right="-2"/>
        <w:jc w:val="left"/>
        <w:rPr>
          <w:sz w:val="20"/>
        </w:rPr>
      </w:pPr>
      <w:r w:rsidRPr="00EF2265">
        <w:rPr>
          <w:sz w:val="20"/>
        </w:rPr>
        <w:t xml:space="preserve">Najčastejšie využívané mobilitné programy sú Erasmus+, CEEPUS a Národný štipendijný program. STU spolu v akademickom roku 2017/2018 </w:t>
      </w:r>
      <w:r w:rsidRPr="00EF2265">
        <w:rPr>
          <w:spacing w:val="6"/>
          <w:sz w:val="20"/>
        </w:rPr>
        <w:t>cez tieto programy</w:t>
      </w:r>
      <w:r w:rsidRPr="00EF2265">
        <w:rPr>
          <w:b/>
          <w:sz w:val="20"/>
        </w:rPr>
        <w:t xml:space="preserve"> vyslala</w:t>
      </w:r>
      <w:r w:rsidRPr="00EF2265">
        <w:rPr>
          <w:spacing w:val="6"/>
          <w:sz w:val="20"/>
        </w:rPr>
        <w:t xml:space="preserve"> </w:t>
      </w:r>
      <w:r w:rsidRPr="00EF2265">
        <w:rPr>
          <w:b/>
          <w:spacing w:val="6"/>
          <w:sz w:val="20"/>
        </w:rPr>
        <w:t>303</w:t>
      </w:r>
      <w:r w:rsidRPr="00EF2265">
        <w:rPr>
          <w:b/>
          <w:sz w:val="20"/>
        </w:rPr>
        <w:t xml:space="preserve"> </w:t>
      </w:r>
      <w:r w:rsidRPr="00EF2265">
        <w:rPr>
          <w:sz w:val="20"/>
        </w:rPr>
        <w:t xml:space="preserve">študentov STU a </w:t>
      </w:r>
      <w:r w:rsidRPr="00EF2265">
        <w:rPr>
          <w:b/>
          <w:sz w:val="20"/>
        </w:rPr>
        <w:t>prijala 185</w:t>
      </w:r>
      <w:r w:rsidRPr="00EF2265">
        <w:rPr>
          <w:sz w:val="20"/>
        </w:rPr>
        <w:t xml:space="preserve"> zahraničných</w:t>
      </w:r>
      <w:r w:rsidRPr="00EF2265">
        <w:rPr>
          <w:spacing w:val="-8"/>
          <w:sz w:val="20"/>
        </w:rPr>
        <w:t xml:space="preserve"> </w:t>
      </w:r>
      <w:r w:rsidRPr="00EF2265">
        <w:rPr>
          <w:sz w:val="20"/>
        </w:rPr>
        <w:t>študentov iných vysokých škôl. Bližšie rozdelenie po fakultách je uvedené</w:t>
      </w:r>
      <w:r w:rsidRPr="00EF2265">
        <w:rPr>
          <w:sz w:val="20"/>
        </w:rPr>
        <w:br/>
        <w:t xml:space="preserve">v </w:t>
      </w:r>
      <w:r w:rsidRPr="00EF2265">
        <w:rPr>
          <w:sz w:val="20"/>
        </w:rPr>
        <w:fldChar w:fldCharType="begin"/>
      </w:r>
      <w:r w:rsidRPr="00EF2265">
        <w:rPr>
          <w:sz w:val="20"/>
        </w:rPr>
        <w:instrText xml:space="preserve"> REF _Ref474777076 \h  \* MERGEFORMAT </w:instrText>
      </w:r>
      <w:r w:rsidRPr="00EF2265">
        <w:rPr>
          <w:sz w:val="20"/>
        </w:rPr>
      </w:r>
      <w:r w:rsidRPr="00EF2265">
        <w:rPr>
          <w:sz w:val="20"/>
        </w:rPr>
        <w:fldChar w:fldCharType="separate"/>
      </w:r>
      <w:r w:rsidR="001C349F" w:rsidRPr="00EF2265">
        <w:rPr>
          <w:bCs/>
          <w:sz w:val="20"/>
          <w:lang w:eastAsia="sk-SK"/>
        </w:rPr>
        <w:t xml:space="preserve">Tab. č. </w:t>
      </w:r>
      <w:r w:rsidR="001C349F">
        <w:rPr>
          <w:sz w:val="20"/>
        </w:rPr>
        <w:t>17</w:t>
      </w:r>
      <w:r w:rsidRPr="00EF2265">
        <w:rPr>
          <w:sz w:val="20"/>
        </w:rPr>
        <w:fldChar w:fldCharType="end"/>
      </w:r>
      <w:r w:rsidRPr="00EF2265">
        <w:rPr>
          <w:sz w:val="20"/>
        </w:rPr>
        <w:t>.</w:t>
      </w:r>
    </w:p>
    <w:p w:rsidR="00577419" w:rsidRPr="00EF2265" w:rsidRDefault="00577419" w:rsidP="00E86605">
      <w:pPr>
        <w:tabs>
          <w:tab w:val="left" w:pos="9356"/>
        </w:tabs>
        <w:jc w:val="left"/>
        <w:rPr>
          <w:rFonts w:ascii="Times New Roman" w:eastAsia="Times New Roman" w:hAnsi="Times New Roman"/>
          <w:sz w:val="20"/>
          <w:szCs w:val="20"/>
          <w:lang w:eastAsia="ko-KR"/>
        </w:rPr>
      </w:pPr>
    </w:p>
    <w:p w:rsidR="00577419" w:rsidRPr="00EF2265" w:rsidRDefault="00577419" w:rsidP="00E86605">
      <w:pPr>
        <w:pStyle w:val="Zkladntext2"/>
        <w:tabs>
          <w:tab w:val="left" w:pos="9356"/>
        </w:tabs>
        <w:jc w:val="left"/>
        <w:rPr>
          <w:bCs/>
          <w:sz w:val="20"/>
          <w:lang w:eastAsia="sk-SK"/>
        </w:rPr>
      </w:pPr>
      <w:bookmarkStart w:id="245" w:name="_Toc507066497"/>
      <w:r w:rsidRPr="00EF2265">
        <w:rPr>
          <w:bCs/>
          <w:sz w:val="20"/>
          <w:lang w:eastAsia="sk-SK"/>
        </w:rPr>
        <w:t xml:space="preserve">Tab. č. </w:t>
      </w:r>
      <w:r w:rsidRPr="00EF2265">
        <w:rPr>
          <w:sz w:val="20"/>
        </w:rPr>
        <w:fldChar w:fldCharType="begin"/>
      </w:r>
      <w:r w:rsidRPr="00EF2265">
        <w:rPr>
          <w:sz w:val="20"/>
        </w:rPr>
        <w:instrText xml:space="preserve"> SEQ Tabuľka_č. \* ARABIC </w:instrText>
      </w:r>
      <w:r w:rsidRPr="00EF2265">
        <w:rPr>
          <w:sz w:val="20"/>
        </w:rPr>
        <w:fldChar w:fldCharType="separate"/>
      </w:r>
      <w:r w:rsidR="001C349F">
        <w:rPr>
          <w:noProof/>
          <w:sz w:val="20"/>
        </w:rPr>
        <w:t>48</w:t>
      </w:r>
      <w:r w:rsidRPr="00EF2265">
        <w:rPr>
          <w:sz w:val="20"/>
        </w:rPr>
        <w:fldChar w:fldCharType="end"/>
      </w:r>
      <w:r w:rsidRPr="00EF2265">
        <w:rPr>
          <w:bCs/>
          <w:sz w:val="20"/>
          <w:lang w:eastAsia="sk-SK"/>
        </w:rPr>
        <w:t>: Mobility študentov v akademickom roku 2016/2017 na STU</w:t>
      </w:r>
      <w:bookmarkEnd w:id="245"/>
    </w:p>
    <w:tbl>
      <w:tblPr>
        <w:tblW w:w="8820" w:type="dxa"/>
        <w:tblInd w:w="55" w:type="dxa"/>
        <w:tblCellMar>
          <w:left w:w="70" w:type="dxa"/>
          <w:right w:w="70" w:type="dxa"/>
        </w:tblCellMar>
        <w:tblLook w:val="04A0" w:firstRow="1" w:lastRow="0" w:firstColumn="1" w:lastColumn="0" w:noHBand="0" w:noVBand="1"/>
      </w:tblPr>
      <w:tblGrid>
        <w:gridCol w:w="1140"/>
        <w:gridCol w:w="960"/>
        <w:gridCol w:w="960"/>
        <w:gridCol w:w="960"/>
        <w:gridCol w:w="960"/>
        <w:gridCol w:w="960"/>
        <w:gridCol w:w="960"/>
        <w:gridCol w:w="960"/>
        <w:gridCol w:w="960"/>
      </w:tblGrid>
      <w:tr w:rsidR="00577419" w:rsidRPr="00EF2265" w:rsidTr="00E81927">
        <w:trPr>
          <w:trHeight w:val="255"/>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ERASMUS+</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NŠP</w:t>
            </w:r>
          </w:p>
        </w:tc>
        <w:tc>
          <w:tcPr>
            <w:tcW w:w="1920" w:type="dxa"/>
            <w:gridSpan w:val="2"/>
            <w:tcBorders>
              <w:top w:val="single" w:sz="4" w:space="0" w:color="auto"/>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CEEPUS</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r>
      <w:tr w:rsidR="00577419" w:rsidRPr="00EF2265" w:rsidTr="00E81927">
        <w:trPr>
          <w:trHeight w:val="255"/>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Fakulty</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V</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w:t>
            </w:r>
          </w:p>
        </w:tc>
      </w:tr>
      <w:tr w:rsidR="00577419" w:rsidRPr="00EF2265" w:rsidTr="00E81927">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SvF*</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71</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41</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76</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41</w:t>
            </w:r>
          </w:p>
        </w:tc>
      </w:tr>
      <w:tr w:rsidR="00577419" w:rsidRPr="00EF2265" w:rsidTr="00E81927">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SjF</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27</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20</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27</w:t>
            </w:r>
          </w:p>
        </w:tc>
      </w:tr>
      <w:tr w:rsidR="00577419" w:rsidRPr="00EF2265" w:rsidTr="00E81927">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FEI</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33</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27</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36</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27</w:t>
            </w:r>
          </w:p>
        </w:tc>
      </w:tr>
      <w:tr w:rsidR="00577419" w:rsidRPr="00EF2265" w:rsidTr="00E81927">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FCHPT</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35</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40</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38</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45</w:t>
            </w:r>
          </w:p>
        </w:tc>
      </w:tr>
      <w:tr w:rsidR="00577419" w:rsidRPr="00EF2265" w:rsidTr="00E81927">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FA</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84</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21</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85</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21</w:t>
            </w:r>
          </w:p>
        </w:tc>
      </w:tr>
      <w:tr w:rsidR="00577419" w:rsidRPr="00EF2265" w:rsidTr="00E81927">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MTF*</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11</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11</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15</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26</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11</w:t>
            </w:r>
          </w:p>
        </w:tc>
      </w:tr>
      <w:tr w:rsidR="00577419" w:rsidRPr="00EF2265" w:rsidTr="00E81927">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FIIT</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14</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5</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14</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5</w:t>
            </w:r>
          </w:p>
        </w:tc>
      </w:tr>
      <w:tr w:rsidR="00577419" w:rsidRPr="00EF2265" w:rsidTr="00E81927">
        <w:trPr>
          <w:trHeight w:val="270"/>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ÚM*</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8</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8</w:t>
            </w:r>
          </w:p>
        </w:tc>
      </w:tr>
      <w:tr w:rsidR="00577419" w:rsidRPr="00EF2265" w:rsidTr="00E81927">
        <w:trPr>
          <w:trHeight w:val="270"/>
        </w:trPr>
        <w:tc>
          <w:tcPr>
            <w:tcW w:w="1140" w:type="dxa"/>
            <w:vMerge w:val="restart"/>
            <w:tcBorders>
              <w:top w:val="nil"/>
              <w:left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 </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276</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180</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7</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20</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303</w:t>
            </w:r>
          </w:p>
        </w:tc>
        <w:tc>
          <w:tcPr>
            <w:tcW w:w="960"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185</w:t>
            </w:r>
          </w:p>
        </w:tc>
      </w:tr>
      <w:tr w:rsidR="00577419" w:rsidRPr="00EF2265" w:rsidTr="00E81927">
        <w:trPr>
          <w:trHeight w:val="255"/>
        </w:trPr>
        <w:tc>
          <w:tcPr>
            <w:tcW w:w="1140" w:type="dxa"/>
            <w:vMerge/>
            <w:tcBorders>
              <w:left w:val="single" w:sz="4" w:space="0" w:color="auto"/>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∑456</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∑9</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∑23</w:t>
            </w:r>
          </w:p>
        </w:tc>
        <w:tc>
          <w:tcPr>
            <w:tcW w:w="1920" w:type="dxa"/>
            <w:gridSpan w:val="2"/>
            <w:tcBorders>
              <w:top w:val="single" w:sz="4" w:space="0" w:color="auto"/>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∑488</w:t>
            </w:r>
          </w:p>
        </w:tc>
      </w:tr>
    </w:tbl>
    <w:p w:rsidR="00577419" w:rsidRPr="00EF2265" w:rsidRDefault="00577419" w:rsidP="00E86605">
      <w:pPr>
        <w:pStyle w:val="Zkladntext2"/>
        <w:tabs>
          <w:tab w:val="left" w:pos="9356"/>
        </w:tabs>
        <w:jc w:val="left"/>
        <w:rPr>
          <w:sz w:val="20"/>
          <w:lang w:eastAsia="sk-SK"/>
        </w:rPr>
      </w:pPr>
      <w:r w:rsidRPr="00EF2265">
        <w:rPr>
          <w:sz w:val="20"/>
          <w:lang w:eastAsia="sk-SK"/>
        </w:rPr>
        <w:t>Vysvetlivky: V - vyslaní študenti; P - prijatí študenti</w:t>
      </w:r>
    </w:p>
    <w:p w:rsidR="00577419" w:rsidRPr="00EF2265" w:rsidRDefault="00577419" w:rsidP="00E86605">
      <w:pPr>
        <w:pStyle w:val="Zkladntext2"/>
        <w:tabs>
          <w:tab w:val="left" w:pos="9356"/>
        </w:tabs>
        <w:jc w:val="left"/>
        <w:rPr>
          <w:sz w:val="20"/>
          <w:lang w:eastAsia="sk-SK"/>
        </w:rPr>
      </w:pPr>
      <w:r w:rsidRPr="00EF2265">
        <w:rPr>
          <w:sz w:val="20"/>
          <w:lang w:eastAsia="sk-SK"/>
        </w:rPr>
        <w:t>* ERASMUS+ prijatí a vyslaní študenti vrátane ICM</w:t>
      </w:r>
    </w:p>
    <w:p w:rsidR="00577419" w:rsidRPr="00EF2265" w:rsidRDefault="00577419" w:rsidP="00E86605">
      <w:pPr>
        <w:pStyle w:val="Zkladntext2"/>
        <w:tabs>
          <w:tab w:val="left" w:pos="9356"/>
        </w:tabs>
        <w:jc w:val="left"/>
        <w:rPr>
          <w:sz w:val="20"/>
          <w:lang w:eastAsia="sk-SK"/>
        </w:rPr>
      </w:pPr>
    </w:p>
    <w:p w:rsidR="00577419" w:rsidRPr="00EF2265" w:rsidRDefault="00577419" w:rsidP="00E86605">
      <w:pPr>
        <w:pStyle w:val="Zkladntext2"/>
        <w:tabs>
          <w:tab w:val="left" w:pos="9356"/>
        </w:tabs>
        <w:spacing w:after="120"/>
        <w:jc w:val="left"/>
        <w:rPr>
          <w:b/>
          <w:sz w:val="20"/>
          <w:highlight w:val="yellow"/>
        </w:rPr>
      </w:pPr>
      <w:r w:rsidRPr="00EF2265">
        <w:rPr>
          <w:sz w:val="20"/>
        </w:rPr>
        <w:lastRenderedPageBreak/>
        <w:t xml:space="preserve">Najvyšší počet medzinárodných akademických mobilít zrealizovala STU cez program </w:t>
      </w:r>
      <w:r w:rsidRPr="00EF2265">
        <w:rPr>
          <w:b/>
          <w:sz w:val="20"/>
        </w:rPr>
        <w:t xml:space="preserve">Erasmus+. </w:t>
      </w:r>
      <w:r w:rsidRPr="00EF2265">
        <w:rPr>
          <w:sz w:val="20"/>
        </w:rPr>
        <w:t xml:space="preserve">V akademickom roku 2017/2018 STU vyslala a prijala v rámci tohto programu </w:t>
      </w:r>
      <w:r w:rsidRPr="00EF2265">
        <w:rPr>
          <w:b/>
          <w:sz w:val="20"/>
        </w:rPr>
        <w:t>456</w:t>
      </w:r>
      <w:r w:rsidRPr="00EF2265">
        <w:rPr>
          <w:sz w:val="20"/>
        </w:rPr>
        <w:t xml:space="preserve"> študentov. Prehľad Erasmus+ mobilít za posledných šesť rokov je uvedený v </w:t>
      </w:r>
      <w:r w:rsidRPr="00EF2265">
        <w:rPr>
          <w:sz w:val="20"/>
        </w:rPr>
        <w:fldChar w:fldCharType="begin"/>
      </w:r>
      <w:r w:rsidRPr="00EF2265">
        <w:rPr>
          <w:sz w:val="20"/>
        </w:rPr>
        <w:instrText xml:space="preserve"> REF _Ref474777529 \h  \* MERGEFORMAT </w:instrText>
      </w:r>
      <w:r w:rsidRPr="00EF2265">
        <w:rPr>
          <w:sz w:val="20"/>
        </w:rPr>
      </w:r>
      <w:r w:rsidRPr="00EF2265">
        <w:rPr>
          <w:sz w:val="20"/>
        </w:rPr>
        <w:fldChar w:fldCharType="separate"/>
      </w:r>
      <w:r w:rsidR="001C349F" w:rsidRPr="00EF2265">
        <w:rPr>
          <w:sz w:val="20"/>
          <w:lang w:eastAsia="sk-SK"/>
        </w:rPr>
        <w:t xml:space="preserve">Tab. č. </w:t>
      </w:r>
      <w:r w:rsidR="001C349F">
        <w:rPr>
          <w:sz w:val="20"/>
        </w:rPr>
        <w:t>18</w:t>
      </w:r>
      <w:r w:rsidRPr="00EF2265">
        <w:rPr>
          <w:sz w:val="20"/>
        </w:rPr>
        <w:fldChar w:fldCharType="end"/>
      </w:r>
      <w:r w:rsidRPr="00EF2265">
        <w:rPr>
          <w:sz w:val="20"/>
        </w:rPr>
        <w:t>. V hodnotenom akad. roku bol zaznamenaný vysoký záujem študentov nielen o študijné pobyty, ale i o mobility - pracovné stáže. V počte realizovaných vyslaní študentov STU sú započítané i stáže absolventov STU, pretože program Erasmus+ umožňuje realizovať i stáže absolventov najneskôr do jedného roka po riadnom skončení štúdia. Z počtu 261 vyslaní bolo 213 mobilít typu študijný pobyt a 63 pracovných stáží. Z počtu 63 pracovných stáží bolo realizovaných 19 stáží absolventmi STU.</w:t>
      </w:r>
    </w:p>
    <w:p w:rsidR="00577419" w:rsidRPr="00EF2265" w:rsidRDefault="00577419" w:rsidP="00E86605">
      <w:pPr>
        <w:tabs>
          <w:tab w:val="left" w:pos="9356"/>
        </w:tabs>
        <w:jc w:val="left"/>
        <w:rPr>
          <w:rFonts w:ascii="Times New Roman" w:hAnsi="Times New Roman"/>
          <w:sz w:val="20"/>
          <w:szCs w:val="20"/>
          <w:lang w:eastAsia="sk-SK"/>
        </w:rPr>
      </w:pPr>
      <w:bookmarkStart w:id="246" w:name="_Toc507066498"/>
      <w:r w:rsidRPr="00EF2265">
        <w:rPr>
          <w:rFonts w:ascii="Times New Roman" w:hAnsi="Times New Roman"/>
          <w:sz w:val="20"/>
          <w:szCs w:val="20"/>
          <w:lang w:eastAsia="sk-SK"/>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49</w:t>
      </w:r>
      <w:r w:rsidRPr="00EF2265">
        <w:rPr>
          <w:rFonts w:ascii="Times New Roman" w:hAnsi="Times New Roman"/>
          <w:sz w:val="20"/>
          <w:szCs w:val="20"/>
        </w:rPr>
        <w:fldChar w:fldCharType="end"/>
      </w:r>
      <w:r w:rsidRPr="00EF2265">
        <w:rPr>
          <w:rFonts w:ascii="Times New Roman" w:hAnsi="Times New Roman"/>
          <w:sz w:val="20"/>
          <w:szCs w:val="20"/>
          <w:lang w:eastAsia="sk-SK"/>
        </w:rPr>
        <w:t>: Vyslaní STU študenti a prijatí Erasmus+ zahraniční študenti za akademické roky 2012/2013 – 2017/201</w:t>
      </w:r>
      <w:bookmarkEnd w:id="246"/>
      <w:r w:rsidRPr="00EF2265">
        <w:rPr>
          <w:rFonts w:ascii="Times New Roman" w:hAnsi="Times New Roman"/>
          <w:sz w:val="20"/>
          <w:szCs w:val="20"/>
          <w:lang w:eastAsia="sk-SK"/>
        </w:rPr>
        <w:t>8</w:t>
      </w:r>
    </w:p>
    <w:tbl>
      <w:tblPr>
        <w:tblW w:w="5103" w:type="dxa"/>
        <w:tblInd w:w="70" w:type="dxa"/>
        <w:tblCellMar>
          <w:left w:w="70" w:type="dxa"/>
          <w:right w:w="70" w:type="dxa"/>
        </w:tblCellMar>
        <w:tblLook w:val="04A0" w:firstRow="1" w:lastRow="0" w:firstColumn="1" w:lastColumn="0" w:noHBand="0" w:noVBand="1"/>
      </w:tblPr>
      <w:tblGrid>
        <w:gridCol w:w="1560"/>
        <w:gridCol w:w="1181"/>
        <w:gridCol w:w="1181"/>
        <w:gridCol w:w="1181"/>
      </w:tblGrid>
      <w:tr w:rsidR="00577419" w:rsidRPr="00EF2265" w:rsidTr="00E81927">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akad. rok</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vyslaní</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prijatí</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spolu</w:t>
            </w:r>
          </w:p>
        </w:tc>
      </w:tr>
      <w:tr w:rsidR="00577419" w:rsidRPr="00EF2265" w:rsidTr="00E81927">
        <w:trPr>
          <w:trHeight w:val="25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2012/2013</w:t>
            </w:r>
          </w:p>
        </w:tc>
        <w:tc>
          <w:tcPr>
            <w:tcW w:w="1181"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192</w:t>
            </w:r>
          </w:p>
        </w:tc>
        <w:tc>
          <w:tcPr>
            <w:tcW w:w="1181"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76</w:t>
            </w:r>
          </w:p>
        </w:tc>
        <w:tc>
          <w:tcPr>
            <w:tcW w:w="1181"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268</w:t>
            </w:r>
          </w:p>
        </w:tc>
      </w:tr>
      <w:tr w:rsidR="00577419" w:rsidRPr="00EF2265" w:rsidTr="00E81927">
        <w:trPr>
          <w:trHeight w:val="255"/>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2013/2014</w:t>
            </w:r>
          </w:p>
        </w:tc>
        <w:tc>
          <w:tcPr>
            <w:tcW w:w="1181"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230</w:t>
            </w:r>
          </w:p>
        </w:tc>
        <w:tc>
          <w:tcPr>
            <w:tcW w:w="1181"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89</w:t>
            </w:r>
          </w:p>
        </w:tc>
        <w:tc>
          <w:tcPr>
            <w:tcW w:w="1181"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319</w:t>
            </w:r>
          </w:p>
        </w:tc>
      </w:tr>
      <w:tr w:rsidR="00577419" w:rsidRPr="00EF2265" w:rsidTr="00E81927">
        <w:trPr>
          <w:trHeight w:val="255"/>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2014/2015</w:t>
            </w:r>
          </w:p>
        </w:tc>
        <w:tc>
          <w:tcPr>
            <w:tcW w:w="1181"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305</w:t>
            </w:r>
          </w:p>
        </w:tc>
        <w:tc>
          <w:tcPr>
            <w:tcW w:w="1181"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100</w:t>
            </w:r>
          </w:p>
        </w:tc>
        <w:tc>
          <w:tcPr>
            <w:tcW w:w="1181"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405</w:t>
            </w:r>
          </w:p>
        </w:tc>
      </w:tr>
      <w:tr w:rsidR="00577419" w:rsidRPr="00EF2265" w:rsidTr="00E81927">
        <w:trPr>
          <w:trHeight w:val="255"/>
        </w:trPr>
        <w:tc>
          <w:tcPr>
            <w:tcW w:w="1560" w:type="dxa"/>
            <w:tcBorders>
              <w:top w:val="nil"/>
              <w:left w:val="single" w:sz="4" w:space="0" w:color="auto"/>
              <w:bottom w:val="single" w:sz="4" w:space="0" w:color="auto"/>
              <w:right w:val="single" w:sz="4" w:space="0" w:color="auto"/>
            </w:tcBorders>
            <w:shd w:val="clear" w:color="000000" w:fill="FFFFFF"/>
            <w:vAlign w:val="center"/>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2015/2016</w:t>
            </w:r>
          </w:p>
        </w:tc>
        <w:tc>
          <w:tcPr>
            <w:tcW w:w="1181" w:type="dxa"/>
            <w:tcBorders>
              <w:top w:val="nil"/>
              <w:left w:val="nil"/>
              <w:bottom w:val="single" w:sz="4" w:space="0" w:color="auto"/>
              <w:right w:val="single" w:sz="4" w:space="0" w:color="auto"/>
            </w:tcBorders>
            <w:shd w:val="clear" w:color="000000" w:fill="FFFFFF"/>
            <w:vAlign w:val="center"/>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280</w:t>
            </w:r>
          </w:p>
        </w:tc>
        <w:tc>
          <w:tcPr>
            <w:tcW w:w="1181" w:type="dxa"/>
            <w:tcBorders>
              <w:top w:val="nil"/>
              <w:left w:val="nil"/>
              <w:bottom w:val="single" w:sz="4" w:space="0" w:color="auto"/>
              <w:right w:val="single" w:sz="4" w:space="0" w:color="auto"/>
            </w:tcBorders>
            <w:shd w:val="clear" w:color="000000" w:fill="FFFFFF"/>
            <w:vAlign w:val="center"/>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113</w:t>
            </w:r>
          </w:p>
        </w:tc>
        <w:tc>
          <w:tcPr>
            <w:tcW w:w="1181" w:type="dxa"/>
            <w:tcBorders>
              <w:top w:val="nil"/>
              <w:left w:val="nil"/>
              <w:bottom w:val="single" w:sz="4" w:space="0" w:color="auto"/>
              <w:right w:val="single" w:sz="4" w:space="0" w:color="auto"/>
            </w:tcBorders>
            <w:shd w:val="clear" w:color="000000" w:fill="FFFFFF"/>
            <w:vAlign w:val="center"/>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393</w:t>
            </w:r>
          </w:p>
        </w:tc>
      </w:tr>
      <w:tr w:rsidR="00577419" w:rsidRPr="00EF2265" w:rsidTr="00E81927">
        <w:trPr>
          <w:trHeight w:val="255"/>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2016/2017</w:t>
            </w:r>
          </w:p>
        </w:tc>
        <w:tc>
          <w:tcPr>
            <w:tcW w:w="1181"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261</w:t>
            </w:r>
          </w:p>
        </w:tc>
        <w:tc>
          <w:tcPr>
            <w:tcW w:w="1181"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157</w:t>
            </w:r>
          </w:p>
        </w:tc>
        <w:tc>
          <w:tcPr>
            <w:tcW w:w="1181"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418</w:t>
            </w:r>
          </w:p>
        </w:tc>
      </w:tr>
      <w:tr w:rsidR="00577419" w:rsidRPr="00EF2265" w:rsidTr="00E81927">
        <w:trPr>
          <w:trHeight w:val="255"/>
        </w:trPr>
        <w:tc>
          <w:tcPr>
            <w:tcW w:w="1560" w:type="dxa"/>
            <w:tcBorders>
              <w:top w:val="nil"/>
              <w:left w:val="single" w:sz="4" w:space="0" w:color="auto"/>
              <w:bottom w:val="single" w:sz="4" w:space="0" w:color="auto"/>
              <w:right w:val="single" w:sz="4" w:space="0" w:color="auto"/>
            </w:tcBorders>
            <w:shd w:val="clear" w:color="000000" w:fill="FFFFFF"/>
            <w:vAlign w:val="center"/>
          </w:tcPr>
          <w:p w:rsidR="00577419" w:rsidRPr="00EF2265" w:rsidRDefault="00577419"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2017/2018</w:t>
            </w:r>
          </w:p>
        </w:tc>
        <w:tc>
          <w:tcPr>
            <w:tcW w:w="1181" w:type="dxa"/>
            <w:tcBorders>
              <w:top w:val="nil"/>
              <w:left w:val="nil"/>
              <w:bottom w:val="single" w:sz="4" w:space="0" w:color="auto"/>
              <w:right w:val="single" w:sz="4" w:space="0" w:color="auto"/>
            </w:tcBorders>
            <w:shd w:val="clear" w:color="000000" w:fill="FFFFFF"/>
            <w:vAlign w:val="center"/>
          </w:tcPr>
          <w:p w:rsidR="00577419" w:rsidRPr="00EF2265" w:rsidRDefault="00577419"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276</w:t>
            </w:r>
          </w:p>
        </w:tc>
        <w:tc>
          <w:tcPr>
            <w:tcW w:w="1181" w:type="dxa"/>
            <w:tcBorders>
              <w:top w:val="nil"/>
              <w:left w:val="nil"/>
              <w:bottom w:val="single" w:sz="4" w:space="0" w:color="auto"/>
              <w:right w:val="single" w:sz="4" w:space="0" w:color="auto"/>
            </w:tcBorders>
            <w:shd w:val="clear" w:color="000000" w:fill="FFFFFF"/>
            <w:vAlign w:val="center"/>
          </w:tcPr>
          <w:p w:rsidR="00577419" w:rsidRPr="00EF2265" w:rsidRDefault="00577419"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180</w:t>
            </w:r>
          </w:p>
        </w:tc>
        <w:tc>
          <w:tcPr>
            <w:tcW w:w="1181" w:type="dxa"/>
            <w:tcBorders>
              <w:top w:val="nil"/>
              <w:left w:val="nil"/>
              <w:bottom w:val="single" w:sz="4" w:space="0" w:color="auto"/>
              <w:right w:val="single" w:sz="4" w:space="0" w:color="auto"/>
            </w:tcBorders>
            <w:shd w:val="clear" w:color="000000" w:fill="FFFFFF"/>
            <w:vAlign w:val="center"/>
          </w:tcPr>
          <w:p w:rsidR="00577419" w:rsidRPr="00EF2265" w:rsidRDefault="00577419"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456</w:t>
            </w:r>
          </w:p>
        </w:tc>
      </w:tr>
      <w:tr w:rsidR="00577419" w:rsidRPr="00EF2265" w:rsidTr="00E81927">
        <w:trPr>
          <w:trHeight w:val="255"/>
        </w:trPr>
        <w:tc>
          <w:tcPr>
            <w:tcW w:w="1560" w:type="dxa"/>
            <w:tcBorders>
              <w:top w:val="nil"/>
              <w:left w:val="single" w:sz="4" w:space="0" w:color="auto"/>
              <w:bottom w:val="single" w:sz="4" w:space="0" w:color="auto"/>
              <w:right w:val="single" w:sz="4" w:space="0" w:color="auto"/>
            </w:tcBorders>
            <w:shd w:val="clear" w:color="auto" w:fill="EEECE1" w:themeFill="background2"/>
            <w:vAlign w:val="center"/>
          </w:tcPr>
          <w:p w:rsidR="00577419" w:rsidRPr="00EF2265" w:rsidRDefault="00577419" w:rsidP="00EF2265">
            <w:pPr>
              <w:ind w:firstLineChars="100" w:firstLine="201"/>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Spolu</w:t>
            </w:r>
          </w:p>
        </w:tc>
        <w:tc>
          <w:tcPr>
            <w:tcW w:w="1181" w:type="dxa"/>
            <w:tcBorders>
              <w:top w:val="nil"/>
              <w:left w:val="nil"/>
              <w:bottom w:val="single" w:sz="4" w:space="0" w:color="auto"/>
              <w:right w:val="single" w:sz="4" w:space="0" w:color="auto"/>
            </w:tcBorders>
            <w:shd w:val="clear" w:color="auto" w:fill="EEECE1" w:themeFill="background2"/>
            <w:vAlign w:val="center"/>
          </w:tcPr>
          <w:p w:rsidR="00577419" w:rsidRPr="00EF2265" w:rsidRDefault="00577419" w:rsidP="00E86605">
            <w:pPr>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1 720</w:t>
            </w:r>
          </w:p>
        </w:tc>
        <w:tc>
          <w:tcPr>
            <w:tcW w:w="1181" w:type="dxa"/>
            <w:tcBorders>
              <w:top w:val="nil"/>
              <w:left w:val="nil"/>
              <w:bottom w:val="single" w:sz="4" w:space="0" w:color="auto"/>
              <w:right w:val="single" w:sz="4" w:space="0" w:color="auto"/>
            </w:tcBorders>
            <w:shd w:val="clear" w:color="auto" w:fill="EEECE1" w:themeFill="background2"/>
            <w:vAlign w:val="center"/>
          </w:tcPr>
          <w:p w:rsidR="00577419" w:rsidRPr="00EF2265" w:rsidRDefault="00577419" w:rsidP="00E86605">
            <w:pPr>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769</w:t>
            </w:r>
          </w:p>
        </w:tc>
        <w:tc>
          <w:tcPr>
            <w:tcW w:w="1181" w:type="dxa"/>
            <w:tcBorders>
              <w:top w:val="nil"/>
              <w:left w:val="nil"/>
              <w:bottom w:val="single" w:sz="4" w:space="0" w:color="auto"/>
              <w:right w:val="single" w:sz="4" w:space="0" w:color="auto"/>
            </w:tcBorders>
            <w:shd w:val="clear" w:color="auto" w:fill="EEECE1" w:themeFill="background2"/>
            <w:vAlign w:val="center"/>
          </w:tcPr>
          <w:p w:rsidR="00577419" w:rsidRPr="00EF2265" w:rsidRDefault="00577419" w:rsidP="00E86605">
            <w:pPr>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2 489</w:t>
            </w:r>
          </w:p>
        </w:tc>
      </w:tr>
    </w:tbl>
    <w:p w:rsidR="00577419" w:rsidRPr="00EF2265" w:rsidRDefault="00577419" w:rsidP="00E86605">
      <w:pPr>
        <w:tabs>
          <w:tab w:val="left" w:pos="9356"/>
        </w:tabs>
        <w:jc w:val="left"/>
        <w:rPr>
          <w:rFonts w:ascii="Times New Roman" w:hAnsi="Times New Roman"/>
          <w:sz w:val="20"/>
          <w:szCs w:val="20"/>
        </w:rPr>
      </w:pPr>
    </w:p>
    <w:p w:rsidR="00577419" w:rsidRPr="00EF2265" w:rsidRDefault="00577419" w:rsidP="00E86605">
      <w:pPr>
        <w:pStyle w:val="Zkladntext2"/>
        <w:tabs>
          <w:tab w:val="left" w:pos="9356"/>
        </w:tabs>
        <w:jc w:val="left"/>
        <w:rPr>
          <w:sz w:val="20"/>
        </w:rPr>
      </w:pPr>
      <w:r w:rsidRPr="00EF2265">
        <w:rPr>
          <w:sz w:val="20"/>
        </w:rPr>
        <w:t>Percentuálne najvyšší počet vyslaných študentov v programe Erasmus+ z STU predstavujú študenti druhého stupňa štúdia (</w:t>
      </w:r>
      <w:r w:rsidRPr="00EF2265">
        <w:rPr>
          <w:sz w:val="20"/>
        </w:rPr>
        <w:fldChar w:fldCharType="begin"/>
      </w:r>
      <w:r w:rsidRPr="00EF2265">
        <w:rPr>
          <w:sz w:val="20"/>
        </w:rPr>
        <w:instrText xml:space="preserve"> REF _Ref474779829 \h  \* MERGEFORMAT </w:instrText>
      </w:r>
      <w:r w:rsidRPr="00EF2265">
        <w:rPr>
          <w:sz w:val="20"/>
        </w:rPr>
      </w:r>
      <w:r w:rsidRPr="00EF2265">
        <w:rPr>
          <w:sz w:val="20"/>
        </w:rPr>
        <w:fldChar w:fldCharType="separate"/>
      </w:r>
      <w:r w:rsidR="001C349F" w:rsidRPr="00EF2265">
        <w:rPr>
          <w:sz w:val="20"/>
        </w:rPr>
        <w:t xml:space="preserve">Graf č. </w:t>
      </w:r>
      <w:r w:rsidR="001C349F">
        <w:rPr>
          <w:sz w:val="20"/>
        </w:rPr>
        <w:t>7</w:t>
      </w:r>
      <w:r w:rsidRPr="00EF2265">
        <w:rPr>
          <w:sz w:val="20"/>
        </w:rPr>
        <w:fldChar w:fldCharType="end"/>
      </w:r>
      <w:r w:rsidRPr="00EF2265">
        <w:rPr>
          <w:sz w:val="20"/>
        </w:rPr>
        <w:t>). Rozloženie mobilít tým plní predpokladané a aj žiadúce rozloženie študentov podľa stupňa štúdia.</w:t>
      </w:r>
    </w:p>
    <w:p w:rsidR="00577419" w:rsidRPr="00EF2265" w:rsidRDefault="00577419" w:rsidP="00E86605">
      <w:pPr>
        <w:pStyle w:val="Zkladntext2"/>
        <w:tabs>
          <w:tab w:val="left" w:pos="9356"/>
        </w:tabs>
        <w:jc w:val="left"/>
        <w:rPr>
          <w:sz w:val="20"/>
        </w:rPr>
      </w:pPr>
    </w:p>
    <w:p w:rsidR="00577419" w:rsidRPr="00EF2265" w:rsidRDefault="00577419" w:rsidP="00E86605">
      <w:pPr>
        <w:pStyle w:val="Zkladntext2"/>
        <w:tabs>
          <w:tab w:val="left" w:pos="9356"/>
        </w:tabs>
        <w:jc w:val="left"/>
        <w:rPr>
          <w:sz w:val="20"/>
        </w:rPr>
      </w:pPr>
      <w:bookmarkStart w:id="247" w:name="_Toc507066538"/>
      <w:r w:rsidRPr="00EF2265">
        <w:rPr>
          <w:sz w:val="20"/>
        </w:rPr>
        <w:t xml:space="preserve">Graf č. </w:t>
      </w:r>
      <w:r w:rsidRPr="00EF2265">
        <w:rPr>
          <w:sz w:val="20"/>
        </w:rPr>
        <w:fldChar w:fldCharType="begin"/>
      </w:r>
      <w:r w:rsidRPr="00EF2265">
        <w:rPr>
          <w:sz w:val="20"/>
        </w:rPr>
        <w:instrText xml:space="preserve"> SEQ Graf_č. \* ARABIC </w:instrText>
      </w:r>
      <w:r w:rsidRPr="00EF2265">
        <w:rPr>
          <w:sz w:val="20"/>
        </w:rPr>
        <w:fldChar w:fldCharType="separate"/>
      </w:r>
      <w:r w:rsidR="001C349F">
        <w:rPr>
          <w:noProof/>
          <w:sz w:val="20"/>
        </w:rPr>
        <w:t>20</w:t>
      </w:r>
      <w:r w:rsidRPr="00EF2265">
        <w:rPr>
          <w:sz w:val="20"/>
        </w:rPr>
        <w:fldChar w:fldCharType="end"/>
      </w:r>
      <w:r w:rsidRPr="00EF2265">
        <w:rPr>
          <w:sz w:val="20"/>
        </w:rPr>
        <w:t>: Percentuálne zastúpenie vyslaných študentov/absolventov STU v programe Erasmus+ podľa stupňa štúdia</w:t>
      </w:r>
      <w:bookmarkEnd w:id="247"/>
    </w:p>
    <w:p w:rsidR="00577419" w:rsidRPr="00EF2265" w:rsidRDefault="00577419" w:rsidP="00E86605">
      <w:pPr>
        <w:pStyle w:val="Zkladntext2"/>
        <w:tabs>
          <w:tab w:val="left" w:pos="9356"/>
        </w:tabs>
        <w:jc w:val="left"/>
        <w:rPr>
          <w:noProof/>
          <w:sz w:val="20"/>
          <w:lang w:eastAsia="sk-SK"/>
        </w:rPr>
      </w:pPr>
      <w:r w:rsidRPr="00EF2265">
        <w:rPr>
          <w:noProof/>
          <w:sz w:val="20"/>
          <w:lang w:eastAsia="sk-SK"/>
        </w:rPr>
        <w:drawing>
          <wp:inline distT="0" distB="0" distL="0" distR="0" wp14:anchorId="5FD7A986" wp14:editId="6F8F61AD">
            <wp:extent cx="3045124" cy="2191109"/>
            <wp:effectExtent l="38100" t="0" r="3175"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EF2265">
        <w:rPr>
          <w:noProof/>
          <w:sz w:val="20"/>
          <w:lang w:eastAsia="sk-SK"/>
        </w:rPr>
        <w:t xml:space="preserve"> </w:t>
      </w:r>
    </w:p>
    <w:p w:rsidR="00577419" w:rsidRPr="00EF2265" w:rsidRDefault="00577419" w:rsidP="00E86605">
      <w:pPr>
        <w:pStyle w:val="Zkladntext2"/>
        <w:tabs>
          <w:tab w:val="left" w:pos="9356"/>
        </w:tabs>
        <w:jc w:val="left"/>
        <w:rPr>
          <w:sz w:val="20"/>
        </w:rPr>
      </w:pPr>
    </w:p>
    <w:p w:rsidR="00577419" w:rsidRPr="00EF2265" w:rsidRDefault="00577419" w:rsidP="00E86605">
      <w:pPr>
        <w:pStyle w:val="Zkladntext2"/>
        <w:tabs>
          <w:tab w:val="left" w:pos="9356"/>
        </w:tabs>
        <w:jc w:val="left"/>
        <w:rPr>
          <w:sz w:val="20"/>
        </w:rPr>
      </w:pPr>
      <w:r w:rsidRPr="00EF2265">
        <w:rPr>
          <w:sz w:val="20"/>
        </w:rPr>
        <w:t xml:space="preserve">Mobility Erasmus+ boli realizované v </w:t>
      </w:r>
      <w:r w:rsidRPr="00EF2265">
        <w:rPr>
          <w:b/>
          <w:sz w:val="20"/>
        </w:rPr>
        <w:t>33</w:t>
      </w:r>
      <w:r w:rsidRPr="00EF2265">
        <w:rPr>
          <w:sz w:val="20"/>
        </w:rPr>
        <w:t xml:space="preserve"> štátoch participujúcich v programe ako uvádza </w:t>
      </w:r>
      <w:r w:rsidRPr="00EF2265">
        <w:rPr>
          <w:sz w:val="20"/>
        </w:rPr>
        <w:fldChar w:fldCharType="begin"/>
      </w:r>
      <w:r w:rsidRPr="00EF2265">
        <w:rPr>
          <w:sz w:val="20"/>
        </w:rPr>
        <w:instrText xml:space="preserve"> REF _Ref474779844 \h  \* MERGEFORMAT </w:instrText>
      </w:r>
      <w:r w:rsidRPr="00EF2265">
        <w:rPr>
          <w:sz w:val="20"/>
        </w:rPr>
      </w:r>
      <w:r w:rsidRPr="00EF2265">
        <w:rPr>
          <w:sz w:val="20"/>
        </w:rPr>
        <w:fldChar w:fldCharType="separate"/>
      </w:r>
      <w:r w:rsidR="001C349F" w:rsidRPr="00EF2265">
        <w:rPr>
          <w:sz w:val="20"/>
          <w:lang w:eastAsia="sk-SK"/>
        </w:rPr>
        <w:t xml:space="preserve">Graf č. </w:t>
      </w:r>
      <w:r w:rsidR="001C349F">
        <w:rPr>
          <w:sz w:val="20"/>
        </w:rPr>
        <w:t>8</w:t>
      </w:r>
      <w:r w:rsidRPr="00EF2265">
        <w:rPr>
          <w:sz w:val="20"/>
        </w:rPr>
        <w:fldChar w:fldCharType="end"/>
      </w:r>
      <w:r w:rsidRPr="00EF2265">
        <w:rPr>
          <w:sz w:val="20"/>
        </w:rPr>
        <w:t>.</w:t>
      </w:r>
    </w:p>
    <w:p w:rsidR="00577419" w:rsidRPr="00EF2265" w:rsidRDefault="00577419" w:rsidP="00E86605">
      <w:pPr>
        <w:pStyle w:val="Zkladntext2"/>
        <w:tabs>
          <w:tab w:val="left" w:pos="9356"/>
        </w:tabs>
        <w:jc w:val="left"/>
        <w:rPr>
          <w:sz w:val="20"/>
        </w:rPr>
      </w:pPr>
    </w:p>
    <w:p w:rsidR="00577419" w:rsidRPr="00EF2265" w:rsidRDefault="00577419" w:rsidP="00E86605">
      <w:pPr>
        <w:pStyle w:val="Zkladntext2"/>
        <w:tabs>
          <w:tab w:val="left" w:pos="9356"/>
        </w:tabs>
        <w:jc w:val="left"/>
        <w:rPr>
          <w:sz w:val="20"/>
          <w:lang w:eastAsia="sk-SK"/>
        </w:rPr>
      </w:pPr>
      <w:bookmarkStart w:id="248" w:name="_Toc507066539"/>
      <w:r w:rsidRPr="00EF2265">
        <w:rPr>
          <w:sz w:val="20"/>
          <w:lang w:eastAsia="sk-SK"/>
        </w:rPr>
        <w:t xml:space="preserve">Graf č. </w:t>
      </w:r>
      <w:r w:rsidRPr="00EF2265">
        <w:rPr>
          <w:sz w:val="20"/>
        </w:rPr>
        <w:fldChar w:fldCharType="begin"/>
      </w:r>
      <w:r w:rsidRPr="00EF2265">
        <w:rPr>
          <w:sz w:val="20"/>
        </w:rPr>
        <w:instrText xml:space="preserve"> SEQ Graf_č. \* ARABIC </w:instrText>
      </w:r>
      <w:r w:rsidRPr="00EF2265">
        <w:rPr>
          <w:sz w:val="20"/>
        </w:rPr>
        <w:fldChar w:fldCharType="separate"/>
      </w:r>
      <w:r w:rsidR="001C349F">
        <w:rPr>
          <w:noProof/>
          <w:sz w:val="20"/>
        </w:rPr>
        <w:t>21</w:t>
      </w:r>
      <w:r w:rsidRPr="00EF2265">
        <w:rPr>
          <w:sz w:val="20"/>
        </w:rPr>
        <w:fldChar w:fldCharType="end"/>
      </w:r>
      <w:r w:rsidRPr="00EF2265">
        <w:rPr>
          <w:sz w:val="20"/>
          <w:lang w:eastAsia="sk-SK"/>
        </w:rPr>
        <w:t>: Prehľad vyslaní a prijatí v programe Erasmus+ v akad. roku 2016/2017 podľa štátov</w:t>
      </w:r>
      <w:bookmarkEnd w:id="248"/>
    </w:p>
    <w:p w:rsidR="00577419" w:rsidRPr="00EF2265" w:rsidRDefault="00577419" w:rsidP="00E86605">
      <w:pPr>
        <w:pStyle w:val="Zkladntext2"/>
        <w:tabs>
          <w:tab w:val="left" w:pos="9356"/>
        </w:tabs>
        <w:jc w:val="left"/>
        <w:rPr>
          <w:sz w:val="20"/>
          <w:lang w:eastAsia="sk-SK"/>
        </w:rPr>
      </w:pPr>
    </w:p>
    <w:p w:rsidR="00577419" w:rsidRPr="00EF2265" w:rsidRDefault="00577419" w:rsidP="00E86605">
      <w:pPr>
        <w:pStyle w:val="Zkladntext2"/>
        <w:tabs>
          <w:tab w:val="left" w:pos="9356"/>
        </w:tabs>
        <w:jc w:val="left"/>
        <w:rPr>
          <w:sz w:val="20"/>
          <w:lang w:eastAsia="sk-SK"/>
        </w:rPr>
      </w:pPr>
      <w:r w:rsidRPr="00EF2265">
        <w:rPr>
          <w:noProof/>
          <w:sz w:val="20"/>
          <w:lang w:eastAsia="sk-SK"/>
        </w:rPr>
        <w:lastRenderedPageBreak/>
        <w:drawing>
          <wp:inline distT="0" distB="0" distL="0" distR="0" wp14:anchorId="6AA32E8B" wp14:editId="113D7EB7">
            <wp:extent cx="5969479" cy="264831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77419" w:rsidRPr="00EF2265" w:rsidRDefault="00577419" w:rsidP="00E86605">
      <w:pPr>
        <w:pStyle w:val="Zkladntext2"/>
        <w:tabs>
          <w:tab w:val="left" w:pos="9356"/>
        </w:tabs>
        <w:jc w:val="left"/>
        <w:rPr>
          <w:sz w:val="20"/>
          <w:lang w:eastAsia="sk-SK"/>
        </w:rPr>
      </w:pPr>
    </w:p>
    <w:p w:rsidR="00577419" w:rsidRPr="00EF2265" w:rsidRDefault="00577419" w:rsidP="00E86605">
      <w:pPr>
        <w:tabs>
          <w:tab w:val="left" w:pos="9356"/>
        </w:tabs>
        <w:ind w:right="-2"/>
        <w:jc w:val="left"/>
        <w:rPr>
          <w:rFonts w:ascii="Times New Roman" w:hAnsi="Times New Roman"/>
          <w:sz w:val="20"/>
          <w:szCs w:val="20"/>
        </w:rPr>
      </w:pPr>
      <w:r w:rsidRPr="00EF2265">
        <w:rPr>
          <w:rFonts w:ascii="Times New Roman" w:hAnsi="Times New Roman"/>
          <w:sz w:val="20"/>
          <w:szCs w:val="20"/>
        </w:rPr>
        <w:t xml:space="preserve">STU zaznamenala pozitívny nárast na strane vyslaných ako aj pricestovaných zahraničných študentov. Mierny nárast počtu vycestovaných študentov možno pripísať aj ku pokojnejšej politickej situácií vo svete. </w:t>
      </w:r>
    </w:p>
    <w:p w:rsidR="00577419" w:rsidRPr="00EF2265" w:rsidRDefault="00577419" w:rsidP="00E86605">
      <w:pPr>
        <w:tabs>
          <w:tab w:val="left" w:pos="9356"/>
        </w:tabs>
        <w:ind w:right="-2"/>
        <w:jc w:val="left"/>
        <w:rPr>
          <w:rFonts w:ascii="Times New Roman" w:hAnsi="Times New Roman"/>
          <w:sz w:val="20"/>
          <w:szCs w:val="20"/>
        </w:rPr>
      </w:pPr>
      <w:r w:rsidRPr="00EF2265">
        <w:rPr>
          <w:rFonts w:ascii="Times New Roman" w:hAnsi="Times New Roman"/>
          <w:sz w:val="20"/>
          <w:szCs w:val="20"/>
        </w:rPr>
        <w:t>Celkovo je však možné konštatovať stabilný trend vycestovaných študentov v rámci programu Erasmus+ v pomere k celkovému počtu študentov STU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_Ref474777583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lang w:eastAsia="sk-SK"/>
        </w:rPr>
        <w:t xml:space="preserve">Tab. č. </w:t>
      </w:r>
      <w:r w:rsidR="001C349F">
        <w:rPr>
          <w:rFonts w:ascii="Times New Roman" w:hAnsi="Times New Roman"/>
          <w:sz w:val="20"/>
          <w:szCs w:val="20"/>
        </w:rPr>
        <w:t>19</w:t>
      </w:r>
      <w:r w:rsidRPr="00EF2265">
        <w:rPr>
          <w:rFonts w:ascii="Times New Roman" w:hAnsi="Times New Roman"/>
          <w:sz w:val="20"/>
          <w:szCs w:val="20"/>
        </w:rPr>
        <w:fldChar w:fldCharType="end"/>
      </w:r>
      <w:r w:rsidRPr="00EF2265">
        <w:rPr>
          <w:rFonts w:ascii="Times New Roman" w:hAnsi="Times New Roman"/>
          <w:sz w:val="20"/>
          <w:szCs w:val="20"/>
        </w:rPr>
        <w:t>).</w:t>
      </w:r>
    </w:p>
    <w:p w:rsidR="00577419" w:rsidRPr="00EF2265" w:rsidRDefault="00577419" w:rsidP="005C672C">
      <w:pPr>
        <w:tabs>
          <w:tab w:val="left" w:pos="9356"/>
        </w:tabs>
        <w:jc w:val="left"/>
        <w:rPr>
          <w:rFonts w:ascii="Times New Roman" w:hAnsi="Times New Roman"/>
          <w:sz w:val="20"/>
          <w:szCs w:val="20"/>
          <w:lang w:eastAsia="sk-SK"/>
        </w:rPr>
      </w:pPr>
      <w:r w:rsidRPr="00EF2265">
        <w:rPr>
          <w:rFonts w:ascii="Times New Roman" w:eastAsia="Calibri" w:hAnsi="Times New Roman"/>
          <w:sz w:val="20"/>
          <w:szCs w:val="20"/>
        </w:rPr>
        <w:br w:type="page"/>
      </w:r>
      <w:bookmarkStart w:id="249" w:name="_Toc507066499"/>
      <w:r w:rsidRPr="00EF2265">
        <w:rPr>
          <w:rFonts w:ascii="Times New Roman" w:hAnsi="Times New Roman"/>
          <w:sz w:val="20"/>
          <w:szCs w:val="20"/>
          <w:lang w:eastAsia="sk-SK"/>
        </w:rPr>
        <w:lastRenderedPageBreak/>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50</w:t>
      </w:r>
      <w:r w:rsidRPr="00EF2265">
        <w:rPr>
          <w:rFonts w:ascii="Times New Roman" w:hAnsi="Times New Roman"/>
          <w:sz w:val="20"/>
          <w:szCs w:val="20"/>
        </w:rPr>
        <w:fldChar w:fldCharType="end"/>
      </w:r>
      <w:r w:rsidRPr="00EF2265">
        <w:rPr>
          <w:rFonts w:ascii="Times New Roman" w:hAnsi="Times New Roman"/>
          <w:sz w:val="20"/>
          <w:szCs w:val="20"/>
          <w:lang w:eastAsia="sk-SK"/>
        </w:rPr>
        <w:t>: Percentuálne vyjadrenie pomeru vycestovaných študentov/absolventov STU v  rámci programu Erasmus+ k celkovému počtu študentov</w:t>
      </w:r>
      <w:bookmarkEnd w:id="249"/>
    </w:p>
    <w:tbl>
      <w:tblPr>
        <w:tblW w:w="9356" w:type="dxa"/>
        <w:tblInd w:w="-5" w:type="dxa"/>
        <w:tblCellMar>
          <w:left w:w="70" w:type="dxa"/>
          <w:right w:w="70" w:type="dxa"/>
        </w:tblCellMar>
        <w:tblLook w:val="04A0" w:firstRow="1" w:lastRow="0" w:firstColumn="1" w:lastColumn="0" w:noHBand="0" w:noVBand="1"/>
      </w:tblPr>
      <w:tblGrid>
        <w:gridCol w:w="1446"/>
        <w:gridCol w:w="1537"/>
        <w:gridCol w:w="3277"/>
        <w:gridCol w:w="3096"/>
      </w:tblGrid>
      <w:tr w:rsidR="00577419" w:rsidRPr="00EF2265" w:rsidTr="00E81927">
        <w:trPr>
          <w:trHeight w:val="510"/>
        </w:trPr>
        <w:tc>
          <w:tcPr>
            <w:tcW w:w="1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419" w:rsidRPr="00EF2265" w:rsidRDefault="00577419" w:rsidP="00EF2265">
            <w:pPr>
              <w:tabs>
                <w:tab w:val="left" w:pos="9356"/>
              </w:tabs>
              <w:ind w:firstLineChars="100" w:firstLine="201"/>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akad. rok</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celkový počet študentov STU</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počet študentov/absolventov STU vyslaných cez Erasmus+</w:t>
            </w:r>
          </w:p>
        </w:tc>
        <w:tc>
          <w:tcPr>
            <w:tcW w:w="3096" w:type="dxa"/>
            <w:tcBorders>
              <w:top w:val="single" w:sz="4" w:space="0" w:color="auto"/>
              <w:left w:val="nil"/>
              <w:bottom w:val="single" w:sz="4" w:space="0" w:color="auto"/>
              <w:right w:val="single" w:sz="4" w:space="0" w:color="auto"/>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Pomer vycestovaní/celkový</w:t>
            </w:r>
            <w:r w:rsidRPr="00EF2265">
              <w:rPr>
                <w:rFonts w:ascii="Times New Roman" w:eastAsia="Times New Roman" w:hAnsi="Times New Roman"/>
                <w:b/>
                <w:bCs/>
                <w:sz w:val="20"/>
                <w:szCs w:val="20"/>
                <w:lang w:eastAsia="sk-SK"/>
              </w:rPr>
              <w:br/>
              <w:t xml:space="preserve">počet študentov </w:t>
            </w:r>
          </w:p>
        </w:tc>
      </w:tr>
      <w:tr w:rsidR="00577419" w:rsidRPr="00EF2265" w:rsidTr="00E81927">
        <w:trPr>
          <w:trHeight w:val="300"/>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577419" w:rsidRPr="00EF2265" w:rsidRDefault="00577419" w:rsidP="00EF2265">
            <w:pPr>
              <w:ind w:firstLineChars="100" w:firstLine="200"/>
              <w:jc w:val="left"/>
              <w:rPr>
                <w:rFonts w:ascii="Times New Roman" w:hAnsi="Times New Roman"/>
                <w:sz w:val="20"/>
                <w:szCs w:val="20"/>
              </w:rPr>
            </w:pPr>
            <w:r w:rsidRPr="00EF2265">
              <w:rPr>
                <w:rFonts w:ascii="Times New Roman" w:hAnsi="Times New Roman"/>
                <w:sz w:val="20"/>
                <w:szCs w:val="20"/>
              </w:rPr>
              <w:t>2012/2013</w:t>
            </w:r>
          </w:p>
        </w:tc>
        <w:tc>
          <w:tcPr>
            <w:tcW w:w="1537"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17 059</w:t>
            </w:r>
          </w:p>
        </w:tc>
        <w:tc>
          <w:tcPr>
            <w:tcW w:w="3277"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192</w:t>
            </w:r>
          </w:p>
        </w:tc>
        <w:tc>
          <w:tcPr>
            <w:tcW w:w="3096"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1.13%</w:t>
            </w:r>
          </w:p>
        </w:tc>
      </w:tr>
      <w:tr w:rsidR="00577419" w:rsidRPr="00EF2265" w:rsidTr="00E81927">
        <w:trPr>
          <w:trHeight w:val="300"/>
        </w:trPr>
        <w:tc>
          <w:tcPr>
            <w:tcW w:w="1446" w:type="dxa"/>
            <w:tcBorders>
              <w:top w:val="nil"/>
              <w:left w:val="single" w:sz="4" w:space="0" w:color="auto"/>
              <w:bottom w:val="single" w:sz="4" w:space="0" w:color="auto"/>
              <w:right w:val="single" w:sz="4" w:space="0" w:color="auto"/>
            </w:tcBorders>
            <w:shd w:val="clear" w:color="auto" w:fill="auto"/>
            <w:vAlign w:val="center"/>
          </w:tcPr>
          <w:p w:rsidR="00577419" w:rsidRPr="00EF2265" w:rsidRDefault="00577419" w:rsidP="00EF2265">
            <w:pPr>
              <w:ind w:firstLineChars="100" w:firstLine="200"/>
              <w:jc w:val="left"/>
              <w:rPr>
                <w:rFonts w:ascii="Times New Roman" w:hAnsi="Times New Roman"/>
                <w:sz w:val="20"/>
                <w:szCs w:val="20"/>
              </w:rPr>
            </w:pPr>
            <w:r w:rsidRPr="00EF2265">
              <w:rPr>
                <w:rFonts w:ascii="Times New Roman" w:hAnsi="Times New Roman"/>
                <w:sz w:val="20"/>
                <w:szCs w:val="20"/>
              </w:rPr>
              <w:t>2013/2014</w:t>
            </w:r>
          </w:p>
        </w:tc>
        <w:tc>
          <w:tcPr>
            <w:tcW w:w="1537" w:type="dxa"/>
            <w:tcBorders>
              <w:top w:val="nil"/>
              <w:left w:val="nil"/>
              <w:bottom w:val="single" w:sz="4" w:space="0" w:color="auto"/>
              <w:right w:val="single" w:sz="4" w:space="0" w:color="auto"/>
            </w:tcBorders>
            <w:shd w:val="clear" w:color="auto" w:fill="auto"/>
            <w:vAlign w:val="center"/>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16 402</w:t>
            </w:r>
          </w:p>
        </w:tc>
        <w:tc>
          <w:tcPr>
            <w:tcW w:w="3277" w:type="dxa"/>
            <w:tcBorders>
              <w:top w:val="nil"/>
              <w:left w:val="nil"/>
              <w:bottom w:val="single" w:sz="4" w:space="0" w:color="auto"/>
              <w:right w:val="single" w:sz="4" w:space="0" w:color="auto"/>
            </w:tcBorders>
            <w:shd w:val="clear" w:color="auto" w:fill="auto"/>
            <w:vAlign w:val="center"/>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230</w:t>
            </w:r>
          </w:p>
        </w:tc>
        <w:tc>
          <w:tcPr>
            <w:tcW w:w="3096" w:type="dxa"/>
            <w:tcBorders>
              <w:top w:val="nil"/>
              <w:left w:val="nil"/>
              <w:bottom w:val="single" w:sz="4" w:space="0" w:color="auto"/>
              <w:right w:val="single" w:sz="4" w:space="0" w:color="auto"/>
            </w:tcBorders>
            <w:shd w:val="clear" w:color="auto" w:fill="auto"/>
            <w:vAlign w:val="center"/>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1.40%</w:t>
            </w:r>
          </w:p>
        </w:tc>
      </w:tr>
      <w:tr w:rsidR="00577419" w:rsidRPr="00EF2265" w:rsidTr="00E81927">
        <w:trPr>
          <w:trHeight w:val="300"/>
        </w:trPr>
        <w:tc>
          <w:tcPr>
            <w:tcW w:w="1446" w:type="dxa"/>
            <w:tcBorders>
              <w:top w:val="nil"/>
              <w:left w:val="single" w:sz="4" w:space="0" w:color="auto"/>
              <w:bottom w:val="single" w:sz="4" w:space="0" w:color="auto"/>
              <w:right w:val="single" w:sz="4" w:space="0" w:color="auto"/>
            </w:tcBorders>
            <w:shd w:val="clear" w:color="000000" w:fill="FFFFFF"/>
            <w:vAlign w:val="center"/>
            <w:hideMark/>
          </w:tcPr>
          <w:p w:rsidR="00577419" w:rsidRPr="00EF2265" w:rsidRDefault="00577419" w:rsidP="00EF2265">
            <w:pPr>
              <w:ind w:firstLineChars="100" w:firstLine="200"/>
              <w:jc w:val="left"/>
              <w:rPr>
                <w:rFonts w:ascii="Times New Roman" w:hAnsi="Times New Roman"/>
                <w:sz w:val="20"/>
                <w:szCs w:val="20"/>
              </w:rPr>
            </w:pPr>
            <w:r w:rsidRPr="00EF2265">
              <w:rPr>
                <w:rFonts w:ascii="Times New Roman" w:hAnsi="Times New Roman"/>
                <w:sz w:val="20"/>
                <w:szCs w:val="20"/>
              </w:rPr>
              <w:t>2014/2015</w:t>
            </w:r>
          </w:p>
        </w:tc>
        <w:tc>
          <w:tcPr>
            <w:tcW w:w="1537"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15 403</w:t>
            </w:r>
          </w:p>
        </w:tc>
        <w:tc>
          <w:tcPr>
            <w:tcW w:w="3277"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305</w:t>
            </w:r>
          </w:p>
        </w:tc>
        <w:tc>
          <w:tcPr>
            <w:tcW w:w="3096"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1.98%</w:t>
            </w:r>
          </w:p>
        </w:tc>
      </w:tr>
      <w:tr w:rsidR="00577419" w:rsidRPr="00EF2265" w:rsidTr="00E81927">
        <w:trPr>
          <w:trHeight w:val="300"/>
        </w:trPr>
        <w:tc>
          <w:tcPr>
            <w:tcW w:w="1446" w:type="dxa"/>
            <w:tcBorders>
              <w:top w:val="nil"/>
              <w:left w:val="single" w:sz="4" w:space="0" w:color="auto"/>
              <w:bottom w:val="single" w:sz="4" w:space="0" w:color="auto"/>
              <w:right w:val="single" w:sz="4" w:space="0" w:color="auto"/>
            </w:tcBorders>
            <w:shd w:val="clear" w:color="000000" w:fill="FFFFFF"/>
            <w:vAlign w:val="center"/>
            <w:hideMark/>
          </w:tcPr>
          <w:p w:rsidR="00577419" w:rsidRPr="00EF2265" w:rsidRDefault="00577419" w:rsidP="00EF2265">
            <w:pPr>
              <w:ind w:firstLineChars="100" w:firstLine="200"/>
              <w:jc w:val="left"/>
              <w:rPr>
                <w:rFonts w:ascii="Times New Roman" w:hAnsi="Times New Roman"/>
                <w:sz w:val="20"/>
                <w:szCs w:val="20"/>
              </w:rPr>
            </w:pPr>
            <w:r w:rsidRPr="00EF2265">
              <w:rPr>
                <w:rFonts w:ascii="Times New Roman" w:hAnsi="Times New Roman"/>
                <w:sz w:val="20"/>
                <w:szCs w:val="20"/>
              </w:rPr>
              <w:t>2015/2016</w:t>
            </w:r>
          </w:p>
        </w:tc>
        <w:tc>
          <w:tcPr>
            <w:tcW w:w="1537"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14 286</w:t>
            </w:r>
          </w:p>
        </w:tc>
        <w:tc>
          <w:tcPr>
            <w:tcW w:w="3277"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280</w:t>
            </w:r>
          </w:p>
        </w:tc>
        <w:tc>
          <w:tcPr>
            <w:tcW w:w="3096"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1.96%</w:t>
            </w:r>
          </w:p>
        </w:tc>
      </w:tr>
      <w:tr w:rsidR="00577419" w:rsidRPr="00EF2265" w:rsidTr="00E81927">
        <w:trPr>
          <w:trHeight w:val="300"/>
        </w:trPr>
        <w:tc>
          <w:tcPr>
            <w:tcW w:w="1446" w:type="dxa"/>
            <w:tcBorders>
              <w:top w:val="nil"/>
              <w:left w:val="single" w:sz="4" w:space="0" w:color="auto"/>
              <w:bottom w:val="single" w:sz="4" w:space="0" w:color="auto"/>
              <w:right w:val="single" w:sz="4" w:space="0" w:color="auto"/>
            </w:tcBorders>
            <w:shd w:val="clear" w:color="000000" w:fill="FFFFFF"/>
            <w:vAlign w:val="center"/>
            <w:hideMark/>
          </w:tcPr>
          <w:p w:rsidR="00577419" w:rsidRPr="00EF2265" w:rsidRDefault="00577419" w:rsidP="00EF2265">
            <w:pPr>
              <w:ind w:firstLineChars="100" w:firstLine="200"/>
              <w:jc w:val="left"/>
              <w:rPr>
                <w:rFonts w:ascii="Times New Roman" w:hAnsi="Times New Roman"/>
                <w:sz w:val="20"/>
                <w:szCs w:val="20"/>
              </w:rPr>
            </w:pPr>
            <w:r w:rsidRPr="00EF2265">
              <w:rPr>
                <w:rFonts w:ascii="Times New Roman" w:hAnsi="Times New Roman"/>
                <w:sz w:val="20"/>
                <w:szCs w:val="20"/>
              </w:rPr>
              <w:t>2016/2017</w:t>
            </w:r>
          </w:p>
        </w:tc>
        <w:tc>
          <w:tcPr>
            <w:tcW w:w="1537"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13 108</w:t>
            </w:r>
          </w:p>
        </w:tc>
        <w:tc>
          <w:tcPr>
            <w:tcW w:w="3277" w:type="dxa"/>
            <w:tcBorders>
              <w:top w:val="nil"/>
              <w:left w:val="nil"/>
              <w:bottom w:val="single" w:sz="4" w:space="0" w:color="auto"/>
              <w:right w:val="single" w:sz="4" w:space="0" w:color="auto"/>
            </w:tcBorders>
            <w:shd w:val="clear" w:color="000000" w:fill="FFFFFF"/>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261</w:t>
            </w:r>
          </w:p>
        </w:tc>
        <w:tc>
          <w:tcPr>
            <w:tcW w:w="3096" w:type="dxa"/>
            <w:tcBorders>
              <w:top w:val="nil"/>
              <w:left w:val="nil"/>
              <w:bottom w:val="single" w:sz="4" w:space="0" w:color="auto"/>
              <w:right w:val="single" w:sz="4" w:space="0" w:color="auto"/>
            </w:tcBorders>
            <w:shd w:val="clear" w:color="auto" w:fill="auto"/>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1.99%</w:t>
            </w:r>
          </w:p>
        </w:tc>
      </w:tr>
      <w:tr w:rsidR="00577419" w:rsidRPr="00EF2265" w:rsidTr="00E81927">
        <w:trPr>
          <w:trHeight w:val="300"/>
        </w:trPr>
        <w:tc>
          <w:tcPr>
            <w:tcW w:w="1446" w:type="dxa"/>
            <w:tcBorders>
              <w:top w:val="nil"/>
              <w:left w:val="single" w:sz="4" w:space="0" w:color="auto"/>
              <w:bottom w:val="single" w:sz="4" w:space="0" w:color="auto"/>
              <w:right w:val="single" w:sz="4" w:space="0" w:color="auto"/>
            </w:tcBorders>
            <w:shd w:val="clear" w:color="auto" w:fill="EEECE1" w:themeFill="background2"/>
            <w:vAlign w:val="center"/>
            <w:hideMark/>
          </w:tcPr>
          <w:p w:rsidR="00577419" w:rsidRPr="00EF2265" w:rsidRDefault="00577419" w:rsidP="00EF2265">
            <w:pPr>
              <w:ind w:firstLineChars="100" w:firstLine="201"/>
              <w:jc w:val="left"/>
              <w:rPr>
                <w:rFonts w:ascii="Times New Roman" w:hAnsi="Times New Roman"/>
                <w:b/>
                <w:bCs/>
                <w:sz w:val="20"/>
                <w:szCs w:val="20"/>
              </w:rPr>
            </w:pPr>
            <w:r w:rsidRPr="00EF2265">
              <w:rPr>
                <w:rFonts w:ascii="Times New Roman" w:hAnsi="Times New Roman"/>
                <w:b/>
                <w:bCs/>
                <w:sz w:val="20"/>
                <w:szCs w:val="20"/>
              </w:rPr>
              <w:t>2017/2018</w:t>
            </w:r>
          </w:p>
        </w:tc>
        <w:tc>
          <w:tcPr>
            <w:tcW w:w="1537"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hAnsi="Times New Roman"/>
                <w:b/>
                <w:bCs/>
                <w:sz w:val="20"/>
                <w:szCs w:val="20"/>
              </w:rPr>
            </w:pPr>
            <w:r w:rsidRPr="00EF2265">
              <w:rPr>
                <w:rFonts w:ascii="Times New Roman" w:hAnsi="Times New Roman"/>
                <w:b/>
                <w:bCs/>
                <w:sz w:val="20"/>
                <w:szCs w:val="20"/>
              </w:rPr>
              <w:t>12 305</w:t>
            </w:r>
          </w:p>
        </w:tc>
        <w:tc>
          <w:tcPr>
            <w:tcW w:w="3277"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hAnsi="Times New Roman"/>
                <w:b/>
                <w:bCs/>
                <w:sz w:val="20"/>
                <w:szCs w:val="20"/>
              </w:rPr>
            </w:pPr>
            <w:r w:rsidRPr="00EF2265">
              <w:rPr>
                <w:rFonts w:ascii="Times New Roman" w:hAnsi="Times New Roman"/>
                <w:b/>
                <w:bCs/>
                <w:sz w:val="20"/>
                <w:szCs w:val="20"/>
              </w:rPr>
              <w:t>276</w:t>
            </w:r>
          </w:p>
        </w:tc>
        <w:tc>
          <w:tcPr>
            <w:tcW w:w="3096" w:type="dxa"/>
            <w:tcBorders>
              <w:top w:val="nil"/>
              <w:left w:val="nil"/>
              <w:bottom w:val="single" w:sz="4" w:space="0" w:color="auto"/>
              <w:right w:val="single" w:sz="4" w:space="0" w:color="auto"/>
            </w:tcBorders>
            <w:shd w:val="clear" w:color="auto" w:fill="EEECE1" w:themeFill="background2"/>
            <w:vAlign w:val="center"/>
            <w:hideMark/>
          </w:tcPr>
          <w:p w:rsidR="00577419" w:rsidRPr="00EF2265" w:rsidRDefault="00577419" w:rsidP="00E86605">
            <w:pPr>
              <w:jc w:val="left"/>
              <w:rPr>
                <w:rFonts w:ascii="Times New Roman" w:hAnsi="Times New Roman"/>
                <w:sz w:val="20"/>
                <w:szCs w:val="20"/>
              </w:rPr>
            </w:pPr>
            <w:r w:rsidRPr="00EF2265">
              <w:rPr>
                <w:rFonts w:ascii="Times New Roman" w:hAnsi="Times New Roman"/>
                <w:sz w:val="20"/>
                <w:szCs w:val="20"/>
              </w:rPr>
              <w:t>2.24%</w:t>
            </w:r>
          </w:p>
        </w:tc>
      </w:tr>
    </w:tbl>
    <w:p w:rsidR="00577419" w:rsidRPr="00EF2265" w:rsidRDefault="00577419" w:rsidP="00E86605">
      <w:pPr>
        <w:tabs>
          <w:tab w:val="left" w:pos="9356"/>
        </w:tabs>
        <w:ind w:right="-2"/>
        <w:jc w:val="left"/>
        <w:rPr>
          <w:rFonts w:ascii="Times New Roman" w:eastAsia="Calibri" w:hAnsi="Times New Roman"/>
          <w:sz w:val="20"/>
          <w:szCs w:val="20"/>
        </w:rPr>
      </w:pPr>
    </w:p>
    <w:p w:rsidR="00577419" w:rsidRPr="00EF2265" w:rsidRDefault="00577419" w:rsidP="00E86605">
      <w:pPr>
        <w:tabs>
          <w:tab w:val="left" w:pos="9356"/>
        </w:tabs>
        <w:ind w:right="-2"/>
        <w:jc w:val="left"/>
        <w:rPr>
          <w:rFonts w:ascii="Times New Roman" w:hAnsi="Times New Roman"/>
          <w:sz w:val="20"/>
          <w:szCs w:val="20"/>
        </w:rPr>
      </w:pPr>
      <w:r w:rsidRPr="00EF2265">
        <w:rPr>
          <w:rFonts w:ascii="Times New Roman" w:hAnsi="Times New Roman"/>
          <w:sz w:val="20"/>
          <w:szCs w:val="20"/>
        </w:rPr>
        <w:t xml:space="preserve">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_Ref474777608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lang w:eastAsia="sk-SK"/>
        </w:rPr>
        <w:t xml:space="preserve">Tab. č. </w:t>
      </w:r>
      <w:r w:rsidR="001C349F">
        <w:rPr>
          <w:rFonts w:ascii="Times New Roman" w:hAnsi="Times New Roman"/>
          <w:sz w:val="20"/>
          <w:szCs w:val="20"/>
        </w:rPr>
        <w:t>20</w:t>
      </w:r>
      <w:r w:rsidRPr="00EF2265">
        <w:rPr>
          <w:rFonts w:ascii="Times New Roman" w:hAnsi="Times New Roman"/>
          <w:sz w:val="20"/>
          <w:szCs w:val="20"/>
        </w:rPr>
        <w:fldChar w:fldCharType="end"/>
      </w:r>
      <w:r w:rsidRPr="00EF2265">
        <w:rPr>
          <w:rFonts w:ascii="Times New Roman" w:hAnsi="Times New Roman"/>
          <w:sz w:val="20"/>
          <w:szCs w:val="20"/>
        </w:rPr>
        <w:t xml:space="preserve"> je prezentovaný vývoj evidovaných medzinárodných akademických mobilít študentov na STU.</w:t>
      </w:r>
    </w:p>
    <w:p w:rsidR="00577419" w:rsidRPr="00EF2265" w:rsidRDefault="00577419" w:rsidP="00E86605">
      <w:pPr>
        <w:tabs>
          <w:tab w:val="left" w:pos="9356"/>
        </w:tabs>
        <w:ind w:right="-2"/>
        <w:jc w:val="left"/>
        <w:rPr>
          <w:rFonts w:ascii="Times New Roman" w:eastAsia="Calibri" w:hAnsi="Times New Roman"/>
          <w:sz w:val="20"/>
          <w:szCs w:val="20"/>
        </w:rPr>
      </w:pPr>
    </w:p>
    <w:p w:rsidR="00577419" w:rsidRPr="00EF2265" w:rsidRDefault="00577419" w:rsidP="00E86605">
      <w:pPr>
        <w:tabs>
          <w:tab w:val="left" w:pos="5700"/>
          <w:tab w:val="left" w:pos="9356"/>
        </w:tabs>
        <w:jc w:val="left"/>
        <w:rPr>
          <w:rFonts w:ascii="Times New Roman" w:hAnsi="Times New Roman"/>
          <w:sz w:val="20"/>
          <w:szCs w:val="20"/>
          <w:lang w:eastAsia="sk-SK"/>
        </w:rPr>
      </w:pPr>
      <w:bookmarkStart w:id="250" w:name="_Toc507066500"/>
      <w:r w:rsidRPr="00EF2265">
        <w:rPr>
          <w:rFonts w:ascii="Times New Roman" w:hAnsi="Times New Roman"/>
          <w:sz w:val="20"/>
          <w:szCs w:val="20"/>
          <w:lang w:eastAsia="sk-SK"/>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51</w:t>
      </w:r>
      <w:r w:rsidRPr="00EF2265">
        <w:rPr>
          <w:rFonts w:ascii="Times New Roman" w:hAnsi="Times New Roman"/>
          <w:sz w:val="20"/>
          <w:szCs w:val="20"/>
        </w:rPr>
        <w:fldChar w:fldCharType="end"/>
      </w:r>
      <w:r w:rsidRPr="00EF2265">
        <w:rPr>
          <w:rFonts w:ascii="Times New Roman" w:hAnsi="Times New Roman"/>
          <w:sz w:val="20"/>
          <w:szCs w:val="20"/>
          <w:lang w:eastAsia="sk-SK"/>
        </w:rPr>
        <w:t>: Medzinárodné akademické mobility na STU za akademické roky 2011/2012 – 2016/2017</w:t>
      </w:r>
      <w:bookmarkEnd w:id="250"/>
    </w:p>
    <w:tbl>
      <w:tblPr>
        <w:tblW w:w="9371" w:type="dxa"/>
        <w:tblInd w:w="55" w:type="dxa"/>
        <w:tblLayout w:type="fixed"/>
        <w:tblCellMar>
          <w:left w:w="70" w:type="dxa"/>
          <w:right w:w="70" w:type="dxa"/>
        </w:tblCellMar>
        <w:tblLook w:val="04A0" w:firstRow="1" w:lastRow="0" w:firstColumn="1" w:lastColumn="0" w:noHBand="0" w:noVBand="1"/>
      </w:tblPr>
      <w:tblGrid>
        <w:gridCol w:w="1074"/>
        <w:gridCol w:w="993"/>
        <w:gridCol w:w="574"/>
        <w:gridCol w:w="918"/>
        <w:gridCol w:w="614"/>
        <w:gridCol w:w="729"/>
        <w:gridCol w:w="992"/>
        <w:gridCol w:w="522"/>
        <w:gridCol w:w="970"/>
        <w:gridCol w:w="567"/>
        <w:gridCol w:w="679"/>
        <w:gridCol w:w="739"/>
      </w:tblGrid>
      <w:tr w:rsidR="00577419" w:rsidRPr="00EF2265" w:rsidTr="00E81927">
        <w:trPr>
          <w:trHeight w:val="255"/>
        </w:trPr>
        <w:tc>
          <w:tcPr>
            <w:tcW w:w="10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Akad. rok</w:t>
            </w:r>
          </w:p>
        </w:tc>
        <w:tc>
          <w:tcPr>
            <w:tcW w:w="3828" w:type="dxa"/>
            <w:gridSpan w:val="5"/>
            <w:tcBorders>
              <w:top w:val="single" w:sz="4" w:space="0" w:color="000000"/>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vyslaní</w:t>
            </w:r>
          </w:p>
        </w:tc>
        <w:tc>
          <w:tcPr>
            <w:tcW w:w="3730" w:type="dxa"/>
            <w:gridSpan w:val="5"/>
            <w:tcBorders>
              <w:top w:val="single" w:sz="4" w:space="0" w:color="000000"/>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prijatí</w:t>
            </w:r>
          </w:p>
        </w:tc>
        <w:tc>
          <w:tcPr>
            <w:tcW w:w="739" w:type="dxa"/>
            <w:vMerge w:val="restart"/>
            <w:tcBorders>
              <w:top w:val="single" w:sz="4" w:space="0" w:color="000000"/>
              <w:left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r>
      <w:tr w:rsidR="00577419" w:rsidRPr="00EF2265" w:rsidTr="00E81927">
        <w:trPr>
          <w:trHeight w:val="255"/>
        </w:trPr>
        <w:tc>
          <w:tcPr>
            <w:tcW w:w="1074" w:type="dxa"/>
            <w:vMerge/>
            <w:tcBorders>
              <w:top w:val="single" w:sz="4" w:space="0" w:color="000000"/>
              <w:left w:val="single" w:sz="4" w:space="0" w:color="000000"/>
              <w:bottom w:val="single" w:sz="4" w:space="0" w:color="000000"/>
              <w:right w:val="single" w:sz="4" w:space="0" w:color="000000"/>
            </w:tcBorders>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p>
        </w:tc>
        <w:tc>
          <w:tcPr>
            <w:tcW w:w="993"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Erasmus+</w:t>
            </w:r>
          </w:p>
        </w:tc>
        <w:tc>
          <w:tcPr>
            <w:tcW w:w="57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NŠP</w:t>
            </w:r>
          </w:p>
        </w:tc>
        <w:tc>
          <w:tcPr>
            <w:tcW w:w="918"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CEEPUS</w:t>
            </w:r>
          </w:p>
        </w:tc>
        <w:tc>
          <w:tcPr>
            <w:tcW w:w="61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iné</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99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Erasmus+</w:t>
            </w:r>
          </w:p>
        </w:tc>
        <w:tc>
          <w:tcPr>
            <w:tcW w:w="52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NŠP</w:t>
            </w:r>
          </w:p>
        </w:tc>
        <w:tc>
          <w:tcPr>
            <w:tcW w:w="970"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CEEPUS</w:t>
            </w:r>
          </w:p>
        </w:tc>
        <w:tc>
          <w:tcPr>
            <w:tcW w:w="567"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iné</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spolu</w:t>
            </w:r>
          </w:p>
        </w:tc>
        <w:tc>
          <w:tcPr>
            <w:tcW w:w="739" w:type="dxa"/>
            <w:vMerge/>
            <w:tcBorders>
              <w:left w:val="single" w:sz="4" w:space="0" w:color="000000"/>
              <w:bottom w:val="single" w:sz="4" w:space="0" w:color="000000"/>
              <w:right w:val="single" w:sz="4" w:space="0" w:color="000000"/>
            </w:tcBorders>
            <w:vAlign w:val="center"/>
            <w:hideMark/>
          </w:tcPr>
          <w:p w:rsidR="00577419" w:rsidRPr="00EF2265" w:rsidRDefault="00577419" w:rsidP="00E86605">
            <w:pPr>
              <w:tabs>
                <w:tab w:val="left" w:pos="9356"/>
              </w:tabs>
              <w:jc w:val="left"/>
              <w:rPr>
                <w:rFonts w:ascii="Times New Roman" w:eastAsia="Times New Roman" w:hAnsi="Times New Roman"/>
                <w:b/>
                <w:bCs/>
                <w:sz w:val="20"/>
                <w:szCs w:val="20"/>
                <w:lang w:eastAsia="sk-SK"/>
              </w:rPr>
            </w:pPr>
          </w:p>
        </w:tc>
      </w:tr>
      <w:tr w:rsidR="00577419" w:rsidRPr="00EF2265" w:rsidTr="00E81927">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2012/2013</w:t>
            </w:r>
          </w:p>
        </w:tc>
        <w:tc>
          <w:tcPr>
            <w:tcW w:w="993"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192</w:t>
            </w:r>
          </w:p>
        </w:tc>
        <w:tc>
          <w:tcPr>
            <w:tcW w:w="57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22</w:t>
            </w:r>
          </w:p>
        </w:tc>
        <w:tc>
          <w:tcPr>
            <w:tcW w:w="918"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w:t>
            </w:r>
          </w:p>
        </w:tc>
        <w:tc>
          <w:tcPr>
            <w:tcW w:w="61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214</w:t>
            </w:r>
          </w:p>
        </w:tc>
        <w:tc>
          <w:tcPr>
            <w:tcW w:w="99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76</w:t>
            </w:r>
          </w:p>
        </w:tc>
        <w:tc>
          <w:tcPr>
            <w:tcW w:w="52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13</w:t>
            </w:r>
          </w:p>
        </w:tc>
        <w:tc>
          <w:tcPr>
            <w:tcW w:w="970"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23</w:t>
            </w:r>
          </w:p>
        </w:tc>
        <w:tc>
          <w:tcPr>
            <w:tcW w:w="567"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112</w:t>
            </w:r>
          </w:p>
        </w:tc>
        <w:tc>
          <w:tcPr>
            <w:tcW w:w="739"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326</w:t>
            </w:r>
          </w:p>
        </w:tc>
      </w:tr>
      <w:tr w:rsidR="00577419" w:rsidRPr="00EF2265" w:rsidTr="00E81927">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2013/2014</w:t>
            </w:r>
          </w:p>
        </w:tc>
        <w:tc>
          <w:tcPr>
            <w:tcW w:w="993"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230</w:t>
            </w:r>
          </w:p>
        </w:tc>
        <w:tc>
          <w:tcPr>
            <w:tcW w:w="57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33</w:t>
            </w:r>
          </w:p>
        </w:tc>
        <w:tc>
          <w:tcPr>
            <w:tcW w:w="918"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35</w:t>
            </w:r>
          </w:p>
        </w:tc>
        <w:tc>
          <w:tcPr>
            <w:tcW w:w="61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34</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332</w:t>
            </w:r>
          </w:p>
        </w:tc>
        <w:tc>
          <w:tcPr>
            <w:tcW w:w="99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89</w:t>
            </w:r>
          </w:p>
        </w:tc>
        <w:tc>
          <w:tcPr>
            <w:tcW w:w="52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13</w:t>
            </w:r>
          </w:p>
        </w:tc>
        <w:tc>
          <w:tcPr>
            <w:tcW w:w="970"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34</w:t>
            </w:r>
          </w:p>
        </w:tc>
        <w:tc>
          <w:tcPr>
            <w:tcW w:w="567"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30</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166</w:t>
            </w:r>
          </w:p>
        </w:tc>
        <w:tc>
          <w:tcPr>
            <w:tcW w:w="739"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498</w:t>
            </w:r>
          </w:p>
        </w:tc>
      </w:tr>
      <w:tr w:rsidR="00577419" w:rsidRPr="00EF2265" w:rsidTr="00E81927">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2014/2015</w:t>
            </w:r>
          </w:p>
        </w:tc>
        <w:tc>
          <w:tcPr>
            <w:tcW w:w="993" w:type="dxa"/>
            <w:tcBorders>
              <w:top w:val="nil"/>
              <w:left w:val="nil"/>
              <w:bottom w:val="single" w:sz="4" w:space="0" w:color="000000"/>
              <w:right w:val="single" w:sz="4" w:space="0" w:color="000000"/>
            </w:tcBorders>
            <w:shd w:val="clear" w:color="auto" w:fill="auto"/>
            <w:vAlign w:val="center"/>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305</w:t>
            </w:r>
          </w:p>
        </w:tc>
        <w:tc>
          <w:tcPr>
            <w:tcW w:w="574" w:type="dxa"/>
            <w:tcBorders>
              <w:top w:val="nil"/>
              <w:left w:val="nil"/>
              <w:bottom w:val="single" w:sz="4" w:space="0" w:color="000000"/>
              <w:right w:val="single" w:sz="4" w:space="0" w:color="000000"/>
            </w:tcBorders>
            <w:shd w:val="clear" w:color="auto" w:fill="auto"/>
            <w:vAlign w:val="center"/>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15</w:t>
            </w:r>
          </w:p>
        </w:tc>
        <w:tc>
          <w:tcPr>
            <w:tcW w:w="918" w:type="dxa"/>
            <w:tcBorders>
              <w:top w:val="nil"/>
              <w:left w:val="nil"/>
              <w:bottom w:val="single" w:sz="4" w:space="0" w:color="000000"/>
              <w:right w:val="single" w:sz="4" w:space="0" w:color="000000"/>
            </w:tcBorders>
            <w:shd w:val="clear" w:color="auto" w:fill="auto"/>
            <w:vAlign w:val="center"/>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67</w:t>
            </w:r>
          </w:p>
        </w:tc>
        <w:tc>
          <w:tcPr>
            <w:tcW w:w="614" w:type="dxa"/>
            <w:tcBorders>
              <w:top w:val="nil"/>
              <w:left w:val="nil"/>
              <w:bottom w:val="single" w:sz="4" w:space="0" w:color="000000"/>
              <w:right w:val="single" w:sz="4" w:space="0" w:color="000000"/>
            </w:tcBorders>
            <w:shd w:val="clear" w:color="auto" w:fill="auto"/>
            <w:vAlign w:val="center"/>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30</w:t>
            </w:r>
          </w:p>
        </w:tc>
        <w:tc>
          <w:tcPr>
            <w:tcW w:w="729" w:type="dxa"/>
            <w:tcBorders>
              <w:top w:val="nil"/>
              <w:left w:val="nil"/>
              <w:bottom w:val="single" w:sz="4" w:space="0" w:color="000000"/>
              <w:right w:val="single" w:sz="4" w:space="0" w:color="000000"/>
            </w:tcBorders>
            <w:shd w:val="clear" w:color="auto" w:fill="EEECE1" w:themeFill="background2"/>
            <w:vAlign w:val="center"/>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417</w:t>
            </w:r>
          </w:p>
        </w:tc>
        <w:tc>
          <w:tcPr>
            <w:tcW w:w="992" w:type="dxa"/>
            <w:tcBorders>
              <w:top w:val="nil"/>
              <w:left w:val="nil"/>
              <w:bottom w:val="single" w:sz="4" w:space="0" w:color="000000"/>
              <w:right w:val="single" w:sz="4" w:space="0" w:color="000000"/>
            </w:tcBorders>
            <w:shd w:val="clear" w:color="auto" w:fill="auto"/>
            <w:vAlign w:val="center"/>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100</w:t>
            </w:r>
          </w:p>
        </w:tc>
        <w:tc>
          <w:tcPr>
            <w:tcW w:w="522" w:type="dxa"/>
            <w:tcBorders>
              <w:top w:val="nil"/>
              <w:left w:val="nil"/>
              <w:bottom w:val="single" w:sz="4" w:space="0" w:color="000000"/>
              <w:right w:val="single" w:sz="4" w:space="0" w:color="000000"/>
            </w:tcBorders>
            <w:shd w:val="clear" w:color="auto" w:fill="auto"/>
            <w:vAlign w:val="center"/>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w:t>
            </w:r>
          </w:p>
        </w:tc>
        <w:tc>
          <w:tcPr>
            <w:tcW w:w="970" w:type="dxa"/>
            <w:tcBorders>
              <w:top w:val="nil"/>
              <w:left w:val="nil"/>
              <w:bottom w:val="single" w:sz="4" w:space="0" w:color="000000"/>
              <w:right w:val="single" w:sz="4" w:space="0" w:color="000000"/>
            </w:tcBorders>
            <w:shd w:val="clear" w:color="auto" w:fill="auto"/>
            <w:vAlign w:val="center"/>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47</w:t>
            </w:r>
          </w:p>
        </w:tc>
        <w:tc>
          <w:tcPr>
            <w:tcW w:w="567" w:type="dxa"/>
            <w:tcBorders>
              <w:top w:val="nil"/>
              <w:left w:val="nil"/>
              <w:bottom w:val="single" w:sz="4" w:space="0" w:color="000000"/>
              <w:right w:val="single" w:sz="4" w:space="0" w:color="000000"/>
            </w:tcBorders>
            <w:shd w:val="clear" w:color="auto" w:fill="auto"/>
            <w:vAlign w:val="center"/>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22</w:t>
            </w:r>
          </w:p>
        </w:tc>
        <w:tc>
          <w:tcPr>
            <w:tcW w:w="679" w:type="dxa"/>
            <w:tcBorders>
              <w:top w:val="nil"/>
              <w:left w:val="nil"/>
              <w:bottom w:val="single" w:sz="4" w:space="0" w:color="000000"/>
              <w:right w:val="single" w:sz="4" w:space="0" w:color="000000"/>
            </w:tcBorders>
            <w:shd w:val="clear" w:color="auto" w:fill="EEECE1" w:themeFill="background2"/>
            <w:vAlign w:val="center"/>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177</w:t>
            </w:r>
          </w:p>
        </w:tc>
        <w:tc>
          <w:tcPr>
            <w:tcW w:w="739" w:type="dxa"/>
            <w:tcBorders>
              <w:top w:val="nil"/>
              <w:left w:val="nil"/>
              <w:bottom w:val="single" w:sz="4" w:space="0" w:color="000000"/>
              <w:right w:val="single" w:sz="4" w:space="0" w:color="000000"/>
            </w:tcBorders>
            <w:shd w:val="clear" w:color="auto" w:fill="auto"/>
            <w:vAlign w:val="center"/>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594</w:t>
            </w:r>
          </w:p>
        </w:tc>
      </w:tr>
      <w:tr w:rsidR="00577419" w:rsidRPr="00EF2265" w:rsidTr="00E81927">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2015/2016</w:t>
            </w:r>
          </w:p>
        </w:tc>
        <w:tc>
          <w:tcPr>
            <w:tcW w:w="993"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280</w:t>
            </w:r>
          </w:p>
        </w:tc>
        <w:tc>
          <w:tcPr>
            <w:tcW w:w="57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9</w:t>
            </w:r>
          </w:p>
        </w:tc>
        <w:tc>
          <w:tcPr>
            <w:tcW w:w="918"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35</w:t>
            </w:r>
          </w:p>
        </w:tc>
        <w:tc>
          <w:tcPr>
            <w:tcW w:w="61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30</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354</w:t>
            </w:r>
          </w:p>
        </w:tc>
        <w:tc>
          <w:tcPr>
            <w:tcW w:w="99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113</w:t>
            </w:r>
          </w:p>
        </w:tc>
        <w:tc>
          <w:tcPr>
            <w:tcW w:w="52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970"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19</w:t>
            </w:r>
          </w:p>
        </w:tc>
        <w:tc>
          <w:tcPr>
            <w:tcW w:w="567"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34</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168</w:t>
            </w:r>
          </w:p>
        </w:tc>
        <w:tc>
          <w:tcPr>
            <w:tcW w:w="739"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522</w:t>
            </w:r>
          </w:p>
        </w:tc>
      </w:tr>
      <w:tr w:rsidR="00577419" w:rsidRPr="00EF2265" w:rsidTr="00E81927">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2016/2017</w:t>
            </w:r>
          </w:p>
        </w:tc>
        <w:tc>
          <w:tcPr>
            <w:tcW w:w="993"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261</w:t>
            </w:r>
          </w:p>
        </w:tc>
        <w:tc>
          <w:tcPr>
            <w:tcW w:w="57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5</w:t>
            </w:r>
          </w:p>
        </w:tc>
        <w:tc>
          <w:tcPr>
            <w:tcW w:w="918"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23</w:t>
            </w:r>
          </w:p>
        </w:tc>
        <w:tc>
          <w:tcPr>
            <w:tcW w:w="61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21</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310</w:t>
            </w:r>
          </w:p>
        </w:tc>
        <w:tc>
          <w:tcPr>
            <w:tcW w:w="99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157</w:t>
            </w:r>
          </w:p>
        </w:tc>
        <w:tc>
          <w:tcPr>
            <w:tcW w:w="52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10</w:t>
            </w:r>
          </w:p>
        </w:tc>
        <w:tc>
          <w:tcPr>
            <w:tcW w:w="970"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8</w:t>
            </w:r>
          </w:p>
        </w:tc>
        <w:tc>
          <w:tcPr>
            <w:tcW w:w="567"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9</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184</w:t>
            </w:r>
          </w:p>
        </w:tc>
        <w:tc>
          <w:tcPr>
            <w:tcW w:w="739"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494</w:t>
            </w:r>
          </w:p>
        </w:tc>
      </w:tr>
      <w:tr w:rsidR="00577419" w:rsidRPr="00EF2265" w:rsidTr="00E81927">
        <w:trPr>
          <w:trHeight w:val="255"/>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2017/2018</w:t>
            </w:r>
          </w:p>
        </w:tc>
        <w:tc>
          <w:tcPr>
            <w:tcW w:w="993"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276</w:t>
            </w:r>
          </w:p>
        </w:tc>
        <w:tc>
          <w:tcPr>
            <w:tcW w:w="57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7</w:t>
            </w:r>
          </w:p>
        </w:tc>
        <w:tc>
          <w:tcPr>
            <w:tcW w:w="918"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20</w:t>
            </w:r>
          </w:p>
        </w:tc>
        <w:tc>
          <w:tcPr>
            <w:tcW w:w="614"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15</w:t>
            </w:r>
          </w:p>
        </w:tc>
        <w:tc>
          <w:tcPr>
            <w:tcW w:w="72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318</w:t>
            </w:r>
          </w:p>
        </w:tc>
        <w:tc>
          <w:tcPr>
            <w:tcW w:w="99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180</w:t>
            </w:r>
          </w:p>
        </w:tc>
        <w:tc>
          <w:tcPr>
            <w:tcW w:w="522"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2</w:t>
            </w:r>
          </w:p>
        </w:tc>
        <w:tc>
          <w:tcPr>
            <w:tcW w:w="970"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w:t>
            </w:r>
          </w:p>
        </w:tc>
        <w:tc>
          <w:tcPr>
            <w:tcW w:w="567"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38</w:t>
            </w:r>
          </w:p>
        </w:tc>
        <w:tc>
          <w:tcPr>
            <w:tcW w:w="679" w:type="dxa"/>
            <w:tcBorders>
              <w:top w:val="nil"/>
              <w:left w:val="nil"/>
              <w:bottom w:val="single" w:sz="4" w:space="0" w:color="000000"/>
              <w:right w:val="single" w:sz="4" w:space="0" w:color="000000"/>
            </w:tcBorders>
            <w:shd w:val="clear" w:color="auto" w:fill="EEECE1" w:themeFill="background2"/>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223</w:t>
            </w:r>
          </w:p>
        </w:tc>
        <w:tc>
          <w:tcPr>
            <w:tcW w:w="739" w:type="dxa"/>
            <w:tcBorders>
              <w:top w:val="nil"/>
              <w:left w:val="nil"/>
              <w:bottom w:val="single" w:sz="4" w:space="0" w:color="000000"/>
              <w:right w:val="single" w:sz="4" w:space="0" w:color="000000"/>
            </w:tcBorders>
            <w:shd w:val="clear" w:color="auto" w:fill="auto"/>
            <w:vAlign w:val="center"/>
            <w:hideMark/>
          </w:tcPr>
          <w:p w:rsidR="00577419" w:rsidRPr="00EF2265" w:rsidRDefault="00577419" w:rsidP="00E86605">
            <w:pPr>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541</w:t>
            </w:r>
          </w:p>
        </w:tc>
      </w:tr>
    </w:tbl>
    <w:p w:rsidR="00577419" w:rsidRPr="00EF2265" w:rsidRDefault="00577419" w:rsidP="00E86605">
      <w:pPr>
        <w:tabs>
          <w:tab w:val="left" w:pos="9356"/>
        </w:tabs>
        <w:jc w:val="left"/>
        <w:rPr>
          <w:rFonts w:ascii="Times New Roman" w:hAnsi="Times New Roman"/>
          <w:sz w:val="20"/>
          <w:szCs w:val="20"/>
        </w:rPr>
      </w:pPr>
      <w:r w:rsidRPr="00EF2265">
        <w:rPr>
          <w:rFonts w:ascii="Times New Roman" w:hAnsi="Times New Roman"/>
          <w:sz w:val="20"/>
          <w:szCs w:val="20"/>
        </w:rPr>
        <w:t>Vysvetlivky: * z daného akademického roka nie sú údaje k dispozícii</w:t>
      </w:r>
    </w:p>
    <w:p w:rsidR="00577419" w:rsidRPr="00EF2265" w:rsidRDefault="00577419" w:rsidP="00E86605">
      <w:pPr>
        <w:tabs>
          <w:tab w:val="left" w:pos="9356"/>
        </w:tabs>
        <w:jc w:val="left"/>
        <w:rPr>
          <w:rFonts w:ascii="Times New Roman" w:hAnsi="Times New Roman"/>
          <w:sz w:val="20"/>
          <w:szCs w:val="20"/>
        </w:rPr>
      </w:pPr>
    </w:p>
    <w:p w:rsidR="00577419" w:rsidRPr="00EF2265" w:rsidRDefault="00577419"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STU má záujem na zvyšovaní akademickej mobility študentov, nakoľko pobyt študenta na zahraničnej inštitúcii je vždy pozitívnym prvkom v skladbe štúdia študenta. Jednoznačne sa tento prínos prejaví nielen počas ďalšieho štúdia na univerzite, ale i následne po absolvovaní univerzity pri hľadaní si pracovných príležitostí na trhu práce.</w:t>
      </w:r>
    </w:p>
    <w:p w:rsidR="00577419" w:rsidRPr="00EF2265" w:rsidRDefault="00577419"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Od roku 2015 sú v rámci programu Erasmus+ prostredníctvom grantovej schémy „Medzinárodná kreditová mobilita“ podporované aj výmeny študentov a zamestnancov vysokých škôl s kolegami z krajín mimo Európy. Aj z uvedeného dôvodu sa STU zúčastnila v roku 2016 výzvy vyhlásenej cez agentúru SAAIC na zapojenie sa do novej kľúčovej aktivity Erasmus+ KA107 - Erasmus+ International Credit Mobility.</w:t>
      </w:r>
    </w:p>
    <w:p w:rsidR="00577419" w:rsidRPr="00EF2265" w:rsidRDefault="00577419"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Po úspechu STU vo výberovom procese projektov Medzinárodná kreditová mobilita (ICM) Výzvy Erasmus+ 2016 a 2017, bol s STU chválený dvojročný projekt aj v rámci Výzvy roku 2018. Kvalita vypracovanej žiadosti bola hodnotená externými hodnotiteľmi, ktorí spolu s vysokým bodovým kvalitatívnym hodnotením schválili STU finančný príspevok.</w:t>
      </w:r>
    </w:p>
    <w:p w:rsidR="00577419" w:rsidRPr="00EF2265" w:rsidRDefault="00577419" w:rsidP="00E86605">
      <w:pPr>
        <w:tabs>
          <w:tab w:val="left" w:pos="9356"/>
        </w:tabs>
        <w:spacing w:after="120"/>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Tento projekt umožňuje realizáciu akademických mobilít študentov a zamestnancov univerzity v rámci podpísaných interinštitucionálnych zmlúv medzi krajinami programu (Slovensko) a partnerskými krajinami, to je krajinami mimo EU. STU bol schválený grant pre 4 inštitúcie zo 4 partnerských krajín pričom pri jednej krajine bol grant vyšší než bol žiadaný. </w:t>
      </w:r>
    </w:p>
    <w:p w:rsidR="00577419" w:rsidRPr="00EF2265" w:rsidRDefault="00577419" w:rsidP="00E86605">
      <w:pPr>
        <w:tabs>
          <w:tab w:val="left" w:pos="9356"/>
        </w:tabs>
        <w:spacing w:after="100" w:afterAutospacing="1"/>
        <w:jc w:val="left"/>
        <w:rPr>
          <w:rFonts w:ascii="Times New Roman" w:hAnsi="Times New Roman"/>
          <w:sz w:val="20"/>
          <w:szCs w:val="20"/>
        </w:rPr>
      </w:pPr>
      <w:r w:rsidRPr="00EF2265">
        <w:rPr>
          <w:rFonts w:ascii="Times New Roman" w:eastAsia="Times New Roman" w:hAnsi="Times New Roman"/>
          <w:sz w:val="20"/>
          <w:szCs w:val="20"/>
          <w:lang w:eastAsia="sk-SK"/>
        </w:rPr>
        <w:t>Na rozdiel od akademických mobilít realizovaných cez Erasmus+, v rámci Erasmus+ ICM projektu zabezpečuje inštitúcia v krajine programu (STU) celú administráciu mobilít a finančného grantu pre STU účastníkov mobilít i účastníkov z partnerskej inštitúcie.</w:t>
      </w:r>
    </w:p>
    <w:p w:rsidR="00577419" w:rsidRPr="00EF2265" w:rsidRDefault="00577419" w:rsidP="00E86605">
      <w:pPr>
        <w:jc w:val="left"/>
        <w:rPr>
          <w:rFonts w:ascii="Times New Roman" w:eastAsia="Times New Roman" w:hAnsi="Times New Roman"/>
          <w:sz w:val="20"/>
          <w:szCs w:val="20"/>
          <w:lang w:eastAsia="ko-KR"/>
        </w:rPr>
      </w:pPr>
    </w:p>
    <w:p w:rsidR="00577419" w:rsidRPr="00EF2265" w:rsidRDefault="00577419" w:rsidP="00E86605">
      <w:pPr>
        <w:jc w:val="left"/>
        <w:rPr>
          <w:rFonts w:ascii="Times New Roman" w:eastAsia="Times New Roman" w:hAnsi="Times New Roman"/>
          <w:sz w:val="20"/>
          <w:szCs w:val="20"/>
          <w:lang w:eastAsia="ko-KR"/>
        </w:rPr>
      </w:pPr>
    </w:p>
    <w:p w:rsidR="00A1222F" w:rsidRPr="00EF2265" w:rsidRDefault="00A1222F" w:rsidP="00E86605">
      <w:pPr>
        <w:pStyle w:val="Zkladntext2"/>
        <w:jc w:val="left"/>
        <w:rPr>
          <w:sz w:val="20"/>
        </w:rPr>
      </w:pPr>
    </w:p>
    <w:p w:rsidR="00A1222F" w:rsidRPr="00EF2265" w:rsidRDefault="00A1222F" w:rsidP="00E86605">
      <w:pPr>
        <w:pStyle w:val="Nadpis2"/>
        <w:keepLines w:val="0"/>
        <w:numPr>
          <w:ilvl w:val="1"/>
          <w:numId w:val="76"/>
        </w:numPr>
        <w:tabs>
          <w:tab w:val="clear" w:pos="567"/>
        </w:tabs>
        <w:spacing w:before="240" w:after="240"/>
        <w:ind w:left="0" w:firstLine="0"/>
        <w:rPr>
          <w:rFonts w:ascii="Times New Roman" w:hAnsi="Times New Roman" w:cs="Times New Roman"/>
          <w:color w:val="auto"/>
          <w:sz w:val="20"/>
          <w:szCs w:val="20"/>
        </w:rPr>
      </w:pPr>
      <w:r w:rsidRPr="00EF2265">
        <w:rPr>
          <w:rFonts w:ascii="Times New Roman" w:hAnsi="Times New Roman" w:cs="Times New Roman"/>
          <w:color w:val="auto"/>
          <w:sz w:val="20"/>
          <w:szCs w:val="20"/>
        </w:rPr>
        <w:t xml:space="preserve"> </w:t>
      </w:r>
      <w:bookmarkStart w:id="251" w:name="_Toc477769496"/>
      <w:r w:rsidRPr="00EF2265">
        <w:rPr>
          <w:rFonts w:ascii="Times New Roman" w:hAnsi="Times New Roman" w:cs="Times New Roman"/>
          <w:color w:val="auto"/>
          <w:sz w:val="20"/>
          <w:szCs w:val="20"/>
        </w:rPr>
        <w:t>Pôsobenie STU v medzinárodných organizáciách a sieťach</w:t>
      </w:r>
      <w:bookmarkEnd w:id="251"/>
      <w:r w:rsidRPr="00EF2265">
        <w:rPr>
          <w:rFonts w:ascii="Times New Roman" w:hAnsi="Times New Roman" w:cs="Times New Roman"/>
          <w:color w:val="auto"/>
          <w:sz w:val="20"/>
          <w:szCs w:val="20"/>
        </w:rPr>
        <w:t xml:space="preserve"> </w:t>
      </w:r>
    </w:p>
    <w:p w:rsidR="00A1222F" w:rsidRPr="00EF2265" w:rsidRDefault="00A1222F" w:rsidP="00E86605">
      <w:pPr>
        <w:jc w:val="left"/>
        <w:rPr>
          <w:rFonts w:ascii="Times New Roman" w:eastAsia="Times New Roman" w:hAnsi="Times New Roman"/>
          <w:sz w:val="20"/>
          <w:szCs w:val="20"/>
          <w:lang w:eastAsia="sk-SK"/>
        </w:rPr>
      </w:pPr>
      <w:r w:rsidRPr="00EF2265">
        <w:rPr>
          <w:rFonts w:ascii="Times New Roman" w:hAnsi="Times New Roman"/>
          <w:sz w:val="20"/>
          <w:szCs w:val="20"/>
        </w:rPr>
        <w:t xml:space="preserve">     Slovenská technická univerzita v Bratislave, jej súčasti a jednotliví zamestnanci sa podieľajú na medzinárodnej spolupráci svojim pôsobením vo významných európskych a svetových odborných, vedeckých, technických, umeleckých organizáciách a združeniach. S rastúcou mierou globalizácie rastie aj význam </w:t>
      </w:r>
      <w:r w:rsidRPr="00EF2265">
        <w:rPr>
          <w:rFonts w:ascii="Times New Roman" w:hAnsi="Times New Roman"/>
          <w:sz w:val="20"/>
          <w:szCs w:val="20"/>
        </w:rPr>
        <w:lastRenderedPageBreak/>
        <w:t xml:space="preserve">medzinárodnej spolupráce univerzity so zahraničnými inštitúciami. Aj členstvom v medzinárodne uznávaných organizáciách sa vytvára platforma pre pozitívnu propagáciu STU v globálnom kontexte. </w:t>
      </w:r>
    </w:p>
    <w:p w:rsidR="00A1222F" w:rsidRPr="00EF2265" w:rsidRDefault="00A1222F"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STU bola v sledovanom roku  inštitucionálnym členom v nasledujúcich organizáciách: </w:t>
      </w:r>
    </w:p>
    <w:p w:rsidR="00A1222F" w:rsidRPr="00EF2265" w:rsidRDefault="00A1222F" w:rsidP="00E86605">
      <w:pPr>
        <w:pStyle w:val="Odsekzoznamu"/>
        <w:numPr>
          <w:ilvl w:val="0"/>
          <w:numId w:val="75"/>
        </w:numPr>
        <w:spacing w:after="0" w:line="240" w:lineRule="auto"/>
        <w:ind w:left="360"/>
        <w:rPr>
          <w:rFonts w:ascii="Times New Roman" w:hAnsi="Times New Roman"/>
          <w:b/>
          <w:sz w:val="20"/>
          <w:szCs w:val="20"/>
        </w:rPr>
      </w:pPr>
      <w:r w:rsidRPr="00EF2265">
        <w:rPr>
          <w:rFonts w:ascii="Times New Roman" w:hAnsi="Times New Roman"/>
          <w:b/>
          <w:sz w:val="20"/>
          <w:szCs w:val="20"/>
        </w:rPr>
        <w:t xml:space="preserve">European University Association (EUA) </w:t>
      </w:r>
    </w:p>
    <w:p w:rsidR="00A1222F" w:rsidRPr="00EF2265" w:rsidRDefault="00A1222F" w:rsidP="00E86605">
      <w:pPr>
        <w:ind w:left="363" w:hanging="3"/>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Patrí k najvýznamnejším organizáciám ovplyvňujúcim vysokoškolskú a vedeckú politiku Európskej únie. Poskytuje jedinečné odborné hodnotenie vysokoškolského vzdelávania a vedy, ako i platformu na výmenu skúseností a vízií v predmetnej oblasti. STU je jej dlhoročným členom.</w:t>
      </w:r>
    </w:p>
    <w:p w:rsidR="00A1222F" w:rsidRPr="00EF2265" w:rsidRDefault="00A1222F" w:rsidP="00E86605">
      <w:pPr>
        <w:pStyle w:val="Odsekzoznamu"/>
        <w:numPr>
          <w:ilvl w:val="0"/>
          <w:numId w:val="75"/>
        </w:numPr>
        <w:spacing w:after="0" w:line="240" w:lineRule="auto"/>
        <w:ind w:left="360"/>
        <w:rPr>
          <w:rFonts w:ascii="Times New Roman" w:hAnsi="Times New Roman"/>
          <w:b/>
          <w:sz w:val="20"/>
          <w:szCs w:val="20"/>
        </w:rPr>
      </w:pPr>
      <w:r w:rsidRPr="00EF2265">
        <w:rPr>
          <w:rFonts w:ascii="Times New Roman" w:hAnsi="Times New Roman"/>
          <w:b/>
          <w:sz w:val="20"/>
          <w:szCs w:val="20"/>
        </w:rPr>
        <w:t xml:space="preserve">European Society for Engineering Education (SEFI) </w:t>
      </w:r>
    </w:p>
    <w:p w:rsidR="00A1222F" w:rsidRPr="00EF2265" w:rsidRDefault="00A1222F" w:rsidP="00E86605">
      <w:pPr>
        <w:ind w:left="363" w:hanging="3"/>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STU ako technicky orientovaná univerzita je dlhodobým členom nezávislého medzinárodného fóra pre diskusie o problémoch a možnostiach ich riešenia v inžinierskom vzdelávaní. Okrem iného je cieľom SEFI prispieť k rozvoju a zlepšeniu vysokoškolského inžinierskeho štúdia a zlepšiť komunikáciu a mobilitu profesorov, výskumných pracovníkov a študentov v Európe.</w:t>
      </w:r>
    </w:p>
    <w:p w:rsidR="00A1222F" w:rsidRPr="00EF2265" w:rsidRDefault="00A1222F" w:rsidP="00E86605">
      <w:pPr>
        <w:pStyle w:val="Odsekzoznamu"/>
        <w:numPr>
          <w:ilvl w:val="0"/>
          <w:numId w:val="75"/>
        </w:numPr>
        <w:spacing w:after="0" w:line="240" w:lineRule="auto"/>
        <w:ind w:left="360"/>
        <w:rPr>
          <w:rFonts w:ascii="Times New Roman" w:hAnsi="Times New Roman"/>
          <w:b/>
          <w:sz w:val="20"/>
          <w:szCs w:val="20"/>
        </w:rPr>
      </w:pPr>
      <w:r w:rsidRPr="00EF2265">
        <w:rPr>
          <w:rFonts w:ascii="Times New Roman" w:hAnsi="Times New Roman"/>
          <w:b/>
          <w:sz w:val="20"/>
          <w:szCs w:val="20"/>
        </w:rPr>
        <w:t>Vision2020 (Vision 2020: The Horizon Network)</w:t>
      </w:r>
    </w:p>
    <w:p w:rsidR="00A1222F" w:rsidRPr="00EF2265" w:rsidRDefault="00A1222F" w:rsidP="00E86605">
      <w:pPr>
        <w:ind w:left="363" w:hanging="3"/>
        <w:jc w:val="left"/>
        <w:rPr>
          <w:rFonts w:ascii="Times New Roman" w:hAnsi="Times New Roman"/>
          <w:sz w:val="20"/>
          <w:szCs w:val="20"/>
        </w:rPr>
      </w:pPr>
      <w:r w:rsidRPr="00EF2265">
        <w:rPr>
          <w:rFonts w:ascii="Times New Roman" w:eastAsia="Times New Roman" w:hAnsi="Times New Roman"/>
          <w:sz w:val="20"/>
          <w:szCs w:val="20"/>
          <w:lang w:eastAsia="sk-SK"/>
        </w:rPr>
        <w:t>Je</w:t>
      </w:r>
      <w:r w:rsidRPr="00EF2265">
        <w:rPr>
          <w:rFonts w:ascii="Times New Roman" w:hAnsi="Times New Roman"/>
          <w:sz w:val="20"/>
          <w:szCs w:val="20"/>
        </w:rPr>
        <w:t xml:space="preserve"> inovatívnou platformou pre výskumné organizácie a firmy, ktoré sú, alebo chcú byť, účastníkmi programu Horizont 2020. Združuje excelentné organizácie/univerzity/firmy,  ktoré sú vysoko aktívne v Európe v oblasti výskumu a inovácií. V súčasnosti združuje organizácie z viac ako 30 krajín.</w:t>
      </w:r>
    </w:p>
    <w:p w:rsidR="00A1222F" w:rsidRPr="00EF2265" w:rsidRDefault="00A1222F" w:rsidP="00E86605">
      <w:pPr>
        <w:pStyle w:val="Odsekzoznamu"/>
        <w:numPr>
          <w:ilvl w:val="0"/>
          <w:numId w:val="75"/>
        </w:numPr>
        <w:spacing w:after="0" w:line="240" w:lineRule="auto"/>
        <w:ind w:left="360"/>
        <w:rPr>
          <w:rFonts w:ascii="Times New Roman" w:hAnsi="Times New Roman"/>
          <w:b/>
          <w:sz w:val="20"/>
          <w:szCs w:val="20"/>
        </w:rPr>
      </w:pPr>
      <w:r w:rsidRPr="00EF2265">
        <w:rPr>
          <w:rFonts w:ascii="Times New Roman" w:hAnsi="Times New Roman"/>
          <w:b/>
          <w:sz w:val="20"/>
          <w:szCs w:val="20"/>
        </w:rPr>
        <w:t xml:space="preserve">European Sustainable Energy Innovation Alliance (ESEIA) </w:t>
      </w:r>
    </w:p>
    <w:p w:rsidR="00A1222F" w:rsidRPr="00EF2265" w:rsidRDefault="00A1222F" w:rsidP="00E86605">
      <w:pPr>
        <w:ind w:left="363" w:hanging="3"/>
        <w:jc w:val="left"/>
        <w:rPr>
          <w:rFonts w:ascii="Times New Roman" w:hAnsi="Times New Roman"/>
          <w:sz w:val="20"/>
          <w:szCs w:val="20"/>
        </w:rPr>
      </w:pPr>
      <w:r w:rsidRPr="00EF2265">
        <w:rPr>
          <w:rFonts w:ascii="Times New Roman" w:hAnsi="Times New Roman"/>
          <w:sz w:val="20"/>
          <w:szCs w:val="20"/>
        </w:rPr>
        <w:t xml:space="preserve">Európska </w:t>
      </w:r>
      <w:r w:rsidRPr="00EF2265">
        <w:rPr>
          <w:rFonts w:ascii="Times New Roman" w:eastAsia="Times New Roman" w:hAnsi="Times New Roman"/>
          <w:sz w:val="20"/>
          <w:szCs w:val="20"/>
          <w:lang w:eastAsia="sk-SK"/>
        </w:rPr>
        <w:t>inovačná</w:t>
      </w:r>
      <w:r w:rsidRPr="00EF2265">
        <w:rPr>
          <w:rFonts w:ascii="Times New Roman" w:hAnsi="Times New Roman"/>
          <w:sz w:val="20"/>
          <w:szCs w:val="20"/>
        </w:rPr>
        <w:t xml:space="preserve"> asociácia v oblasti obnoviteľných zdrojov energie </w:t>
      </w:r>
      <w:r w:rsidRPr="00EF2265">
        <w:rPr>
          <w:rFonts w:ascii="Times New Roman" w:eastAsia="Times New Roman" w:hAnsi="Times New Roman"/>
          <w:sz w:val="20"/>
          <w:szCs w:val="20"/>
          <w:lang w:eastAsia="sk-SK"/>
        </w:rPr>
        <w:t xml:space="preserve">je vedúcim združením organizácií naprieč sektormi na poli udržateľných energetických systémov, od zásobovania energiou až po spotrebu energie v oblasti výskumu, výučby a inovácie. Eseia bola v rámci programu Horizont 2020 validovaná ako výskumná nezisková organizácia. </w:t>
      </w:r>
    </w:p>
    <w:p w:rsidR="00A1222F" w:rsidRPr="00EF2265" w:rsidRDefault="00A1222F" w:rsidP="00E86605">
      <w:pPr>
        <w:jc w:val="left"/>
        <w:rPr>
          <w:rFonts w:ascii="Times New Roman" w:eastAsia="Times New Roman" w:hAnsi="Times New Roman"/>
          <w:sz w:val="20"/>
          <w:szCs w:val="20"/>
          <w:lang w:eastAsia="sk-SK"/>
        </w:rPr>
      </w:pPr>
    </w:p>
    <w:p w:rsidR="00A1222F" w:rsidRPr="00EF2265" w:rsidRDefault="00A1222F"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Fakulty STU sú členmi uvedených medzinárodných organizácií: </w:t>
      </w:r>
    </w:p>
    <w:p w:rsidR="00A1222F" w:rsidRPr="00EF2265" w:rsidRDefault="00A1222F" w:rsidP="00E86605">
      <w:pPr>
        <w:jc w:val="left"/>
        <w:rPr>
          <w:rFonts w:ascii="Times New Roman" w:eastAsia="Times New Roman" w:hAnsi="Times New Roman"/>
          <w:sz w:val="20"/>
          <w:szCs w:val="20"/>
          <w:lang w:eastAsia="sk-SK"/>
        </w:rPr>
      </w:pPr>
      <w:r w:rsidRPr="00EF2265">
        <w:rPr>
          <w:rFonts w:ascii="Times New Roman" w:eastAsia="Times New Roman" w:hAnsi="Times New Roman"/>
          <w:b/>
          <w:bCs/>
          <w:sz w:val="20"/>
          <w:szCs w:val="20"/>
          <w:lang w:eastAsia="sk-SK"/>
        </w:rPr>
        <w:t>Stavebná fakulta</w:t>
      </w:r>
      <w:r w:rsidRPr="00EF2265">
        <w:rPr>
          <w:rFonts w:ascii="Times New Roman" w:eastAsia="Times New Roman" w:hAnsi="Times New Roman"/>
          <w:sz w:val="20"/>
          <w:szCs w:val="20"/>
          <w:lang w:eastAsia="sk-SK"/>
        </w:rPr>
        <w:t>:</w:t>
      </w:r>
    </w:p>
    <w:p w:rsidR="00A1222F" w:rsidRPr="00EF2265" w:rsidRDefault="00A1222F" w:rsidP="00E86605">
      <w:pPr>
        <w:numPr>
          <w:ilvl w:val="0"/>
          <w:numId w:val="58"/>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Federation of European Heating, Ventilation and Air-conditioning Associations (</w:t>
      </w:r>
      <w:hyperlink r:id="rId102" w:history="1">
        <w:r w:rsidRPr="00EF2265">
          <w:rPr>
            <w:rFonts w:ascii="Times New Roman" w:eastAsia="Times New Roman" w:hAnsi="Times New Roman"/>
            <w:sz w:val="20"/>
            <w:szCs w:val="20"/>
            <w:lang w:eastAsia="sk-SK"/>
          </w:rPr>
          <w:t>REHVA</w:t>
        </w:r>
      </w:hyperlink>
      <w:r w:rsidRPr="00EF2265">
        <w:rPr>
          <w:rFonts w:ascii="Times New Roman" w:eastAsia="Times New Roman" w:hAnsi="Times New Roman"/>
          <w:sz w:val="20"/>
          <w:szCs w:val="20"/>
          <w:lang w:eastAsia="sk-SK"/>
        </w:rPr>
        <w:t>)</w:t>
      </w:r>
    </w:p>
    <w:p w:rsidR="00A1222F" w:rsidRPr="00EF2265" w:rsidRDefault="00A1222F" w:rsidP="00E86605">
      <w:pPr>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Fakulta chemickej a potravinárskej technológie:</w:t>
      </w:r>
    </w:p>
    <w:p w:rsidR="00A1222F" w:rsidRPr="00EF2265" w:rsidRDefault="00A1222F" w:rsidP="00E86605">
      <w:pPr>
        <w:pStyle w:val="Odsekzoznamu"/>
        <w:numPr>
          <w:ilvl w:val="0"/>
          <w:numId w:val="74"/>
        </w:numPr>
        <w:spacing w:after="0" w:line="240" w:lineRule="auto"/>
        <w:rPr>
          <w:rFonts w:ascii="Times New Roman" w:hAnsi="Times New Roman"/>
          <w:sz w:val="20"/>
          <w:szCs w:val="20"/>
        </w:rPr>
      </w:pPr>
      <w:r w:rsidRPr="00EF2265">
        <w:rPr>
          <w:rFonts w:ascii="Times New Roman" w:hAnsi="Times New Roman"/>
          <w:sz w:val="20"/>
          <w:szCs w:val="20"/>
        </w:rPr>
        <w:t>European Chemistry Thematic Network Association ECTNA)</w:t>
      </w:r>
    </w:p>
    <w:p w:rsidR="00A1222F" w:rsidRPr="00EF2265" w:rsidRDefault="00A1222F" w:rsidP="00E86605">
      <w:pPr>
        <w:pStyle w:val="Odsekzoznamu"/>
        <w:numPr>
          <w:ilvl w:val="0"/>
          <w:numId w:val="74"/>
        </w:numPr>
        <w:spacing w:after="0" w:line="240" w:lineRule="auto"/>
        <w:rPr>
          <w:rFonts w:ascii="Times New Roman" w:hAnsi="Times New Roman"/>
          <w:sz w:val="20"/>
          <w:szCs w:val="20"/>
        </w:rPr>
      </w:pPr>
      <w:r w:rsidRPr="00EF2265">
        <w:rPr>
          <w:rFonts w:ascii="Times New Roman" w:hAnsi="Times New Roman"/>
          <w:sz w:val="20"/>
          <w:szCs w:val="20"/>
        </w:rPr>
        <w:t>European Federation of Chemical Engineering (EFCE)</w:t>
      </w:r>
    </w:p>
    <w:p w:rsidR="00A1222F" w:rsidRPr="00EF2265" w:rsidRDefault="00A1222F" w:rsidP="00E86605">
      <w:pPr>
        <w:jc w:val="left"/>
        <w:rPr>
          <w:rFonts w:ascii="Times New Roman" w:eastAsia="Times New Roman" w:hAnsi="Times New Roman"/>
          <w:sz w:val="20"/>
          <w:szCs w:val="20"/>
          <w:lang w:eastAsia="sk-SK"/>
        </w:rPr>
      </w:pPr>
      <w:r w:rsidRPr="00EF2265">
        <w:rPr>
          <w:rFonts w:ascii="Times New Roman" w:eastAsia="Times New Roman" w:hAnsi="Times New Roman"/>
          <w:b/>
          <w:bCs/>
          <w:sz w:val="20"/>
          <w:szCs w:val="20"/>
          <w:lang w:eastAsia="sk-SK"/>
        </w:rPr>
        <w:t>Strojnícka fakulta:</w:t>
      </w:r>
    </w:p>
    <w:p w:rsidR="00A1222F" w:rsidRPr="00EF2265" w:rsidRDefault="00A1222F" w:rsidP="00E86605">
      <w:pPr>
        <w:numPr>
          <w:ilvl w:val="0"/>
          <w:numId w:val="59"/>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Federation of European Materials Societies (</w:t>
      </w:r>
      <w:hyperlink r:id="rId103" w:history="1">
        <w:r w:rsidRPr="00EF2265">
          <w:rPr>
            <w:rFonts w:ascii="Times New Roman" w:eastAsia="Times New Roman" w:hAnsi="Times New Roman"/>
            <w:sz w:val="20"/>
            <w:szCs w:val="20"/>
            <w:lang w:eastAsia="sk-SK"/>
          </w:rPr>
          <w:t>FEMS</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60"/>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European Automobile Enginneers Cooperation (</w:t>
      </w:r>
      <w:hyperlink r:id="rId104" w:history="1">
        <w:r w:rsidRPr="00EF2265">
          <w:rPr>
            <w:rFonts w:ascii="Times New Roman" w:eastAsia="Times New Roman" w:hAnsi="Times New Roman"/>
            <w:sz w:val="20"/>
            <w:szCs w:val="20"/>
            <w:lang w:eastAsia="sk-SK"/>
          </w:rPr>
          <w:t>EAEC</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61"/>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International Society for Geometry and Graphics (</w:t>
      </w:r>
      <w:hyperlink r:id="rId105" w:history="1">
        <w:r w:rsidRPr="00EF2265">
          <w:rPr>
            <w:rFonts w:ascii="Times New Roman" w:eastAsia="Times New Roman" w:hAnsi="Times New Roman"/>
            <w:sz w:val="20"/>
            <w:szCs w:val="20"/>
            <w:lang w:eastAsia="sk-SK"/>
          </w:rPr>
          <w:t>ISGG</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62"/>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International Federation of Automatic Control (</w:t>
      </w:r>
      <w:hyperlink r:id="rId106" w:history="1">
        <w:r w:rsidRPr="00EF2265">
          <w:rPr>
            <w:rFonts w:ascii="Times New Roman" w:eastAsia="Times New Roman" w:hAnsi="Times New Roman"/>
            <w:sz w:val="20"/>
            <w:szCs w:val="20"/>
            <w:lang w:eastAsia="sk-SK"/>
          </w:rPr>
          <w:t>IFAC</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63"/>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International Institute of Noise Control Engineering (</w:t>
      </w:r>
      <w:hyperlink r:id="rId107" w:history="1">
        <w:r w:rsidRPr="00EF2265">
          <w:rPr>
            <w:rFonts w:ascii="Times New Roman" w:eastAsia="Times New Roman" w:hAnsi="Times New Roman"/>
            <w:sz w:val="20"/>
            <w:szCs w:val="20"/>
            <w:lang w:eastAsia="sk-SK"/>
          </w:rPr>
          <w:t>I-INCE</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64"/>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International Institute of Refrigeration (</w:t>
      </w:r>
      <w:hyperlink r:id="rId108" w:history="1">
        <w:r w:rsidRPr="00EF2265">
          <w:rPr>
            <w:rFonts w:ascii="Times New Roman" w:eastAsia="Times New Roman" w:hAnsi="Times New Roman"/>
            <w:sz w:val="20"/>
            <w:szCs w:val="20"/>
            <w:lang w:eastAsia="sk-SK"/>
          </w:rPr>
          <w:t>IIR</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65"/>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International Federation for the Promotion of Mechanism and Machine Science  (</w:t>
      </w:r>
      <w:hyperlink r:id="rId109" w:history="1">
        <w:r w:rsidRPr="00EF2265">
          <w:rPr>
            <w:rFonts w:ascii="Times New Roman" w:eastAsia="Times New Roman" w:hAnsi="Times New Roman"/>
            <w:sz w:val="20"/>
            <w:szCs w:val="20"/>
            <w:lang w:eastAsia="sk-SK"/>
          </w:rPr>
          <w:t>IFToMM</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66"/>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Fedération Internationale des Societés d'Ingénieurs de Techniques de l'Automobile (</w:t>
      </w:r>
      <w:hyperlink r:id="rId110" w:history="1">
        <w:r w:rsidRPr="00EF2265">
          <w:rPr>
            <w:rFonts w:ascii="Times New Roman" w:eastAsia="Times New Roman" w:hAnsi="Times New Roman"/>
            <w:sz w:val="20"/>
            <w:szCs w:val="20"/>
            <w:lang w:eastAsia="sk-SK"/>
          </w:rPr>
          <w:t>FISITA</w:t>
        </w:r>
      </w:hyperlink>
      <w:r w:rsidRPr="00EF2265">
        <w:rPr>
          <w:rFonts w:ascii="Times New Roman" w:eastAsia="Times New Roman" w:hAnsi="Times New Roman"/>
          <w:sz w:val="20"/>
          <w:szCs w:val="20"/>
          <w:lang w:eastAsia="sk-SK"/>
        </w:rPr>
        <w:t>)</w:t>
      </w:r>
    </w:p>
    <w:p w:rsidR="00A1222F" w:rsidRPr="00EF2265" w:rsidRDefault="00F43069" w:rsidP="00E86605">
      <w:pPr>
        <w:numPr>
          <w:ilvl w:val="0"/>
          <w:numId w:val="67"/>
        </w:numPr>
        <w:jc w:val="left"/>
        <w:rPr>
          <w:rFonts w:ascii="Times New Roman" w:eastAsia="Times New Roman" w:hAnsi="Times New Roman"/>
          <w:sz w:val="20"/>
          <w:szCs w:val="20"/>
          <w:lang w:eastAsia="sk-SK"/>
        </w:rPr>
      </w:pPr>
      <w:hyperlink r:id="rId111" w:history="1">
        <w:r w:rsidR="00A1222F" w:rsidRPr="00EF2265">
          <w:rPr>
            <w:rFonts w:ascii="Times New Roman" w:eastAsia="Times New Roman" w:hAnsi="Times New Roman"/>
            <w:sz w:val="20"/>
            <w:szCs w:val="20"/>
            <w:lang w:eastAsia="sk-SK"/>
          </w:rPr>
          <w:t>Česká slévárenská společnost</w:t>
        </w:r>
      </w:hyperlink>
    </w:p>
    <w:p w:rsidR="00A1222F" w:rsidRPr="00EF2265" w:rsidRDefault="00A1222F" w:rsidP="00E86605">
      <w:pPr>
        <w:numPr>
          <w:ilvl w:val="0"/>
          <w:numId w:val="67"/>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Institute of Research engineers and doctors</w:t>
      </w:r>
    </w:p>
    <w:p w:rsidR="00A1222F" w:rsidRPr="00EF2265" w:rsidRDefault="00A1222F" w:rsidP="00E86605">
      <w:pPr>
        <w:numPr>
          <w:ilvl w:val="0"/>
          <w:numId w:val="67"/>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International Assiciation of Engineers</w:t>
      </w:r>
    </w:p>
    <w:p w:rsidR="00A1222F" w:rsidRPr="00EF2265" w:rsidRDefault="00A1222F" w:rsidP="00E86605">
      <w:pPr>
        <w:numPr>
          <w:ilvl w:val="0"/>
          <w:numId w:val="67"/>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European Structural Integrity Society (ESIS) </w:t>
      </w:r>
    </w:p>
    <w:p w:rsidR="00A1222F" w:rsidRPr="00EF2265" w:rsidRDefault="00A1222F" w:rsidP="00E86605">
      <w:pPr>
        <w:jc w:val="left"/>
        <w:rPr>
          <w:rFonts w:ascii="Times New Roman" w:eastAsia="Times New Roman" w:hAnsi="Times New Roman"/>
          <w:sz w:val="20"/>
          <w:szCs w:val="20"/>
          <w:lang w:eastAsia="sk-SK"/>
        </w:rPr>
      </w:pPr>
      <w:r w:rsidRPr="00EF2265">
        <w:rPr>
          <w:rFonts w:ascii="Times New Roman" w:eastAsia="Times New Roman" w:hAnsi="Times New Roman"/>
          <w:b/>
          <w:bCs/>
          <w:sz w:val="20"/>
          <w:szCs w:val="20"/>
          <w:lang w:eastAsia="sk-SK"/>
        </w:rPr>
        <w:t>Materiálovotechnologická fakulta v Trnave:</w:t>
      </w:r>
    </w:p>
    <w:p w:rsidR="00A1222F" w:rsidRPr="00EF2265" w:rsidRDefault="00A1222F" w:rsidP="00E86605">
      <w:pPr>
        <w:numPr>
          <w:ilvl w:val="0"/>
          <w:numId w:val="68"/>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European Alliance for Innovation (</w:t>
      </w:r>
      <w:hyperlink r:id="rId112" w:history="1">
        <w:r w:rsidRPr="00EF2265">
          <w:rPr>
            <w:rFonts w:ascii="Times New Roman" w:eastAsia="Times New Roman" w:hAnsi="Times New Roman"/>
            <w:sz w:val="20"/>
            <w:szCs w:val="20"/>
            <w:lang w:eastAsia="sk-SK"/>
          </w:rPr>
          <w:t>EAI</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69"/>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European Virtual Institute on Knowledge-based Multifunctional Materials AISBL (</w:t>
      </w:r>
      <w:hyperlink r:id="rId113" w:history="1">
        <w:r w:rsidRPr="00EF2265">
          <w:rPr>
            <w:rFonts w:ascii="Times New Roman" w:eastAsia="Times New Roman" w:hAnsi="Times New Roman"/>
            <w:sz w:val="20"/>
            <w:szCs w:val="20"/>
            <w:lang w:eastAsia="sk-SK"/>
          </w:rPr>
          <w:t>KMM-VIN</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70"/>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European Network Education and Training in Occupational Safety and Health (</w:t>
      </w:r>
      <w:hyperlink r:id="rId114" w:history="1">
        <w:r w:rsidRPr="00EF2265">
          <w:rPr>
            <w:rFonts w:ascii="Times New Roman" w:eastAsia="Times New Roman" w:hAnsi="Times New Roman"/>
            <w:sz w:val="20"/>
            <w:szCs w:val="20"/>
            <w:lang w:eastAsia="sk-SK"/>
          </w:rPr>
          <w:t>ENETOSH</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71"/>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Asociace pro tepelné zpracování kovů (</w:t>
      </w:r>
      <w:hyperlink r:id="rId115" w:history="1">
        <w:r w:rsidRPr="00EF2265">
          <w:rPr>
            <w:rFonts w:ascii="Times New Roman" w:eastAsia="Times New Roman" w:hAnsi="Times New Roman"/>
            <w:sz w:val="20"/>
            <w:szCs w:val="20"/>
            <w:lang w:eastAsia="sk-SK"/>
          </w:rPr>
          <w:t>ATZK</w:t>
        </w:r>
      </w:hyperlink>
      <w:r w:rsidRPr="00EF2265">
        <w:rPr>
          <w:rFonts w:ascii="Times New Roman" w:eastAsia="Times New Roman" w:hAnsi="Times New Roman"/>
          <w:sz w:val="20"/>
          <w:szCs w:val="20"/>
          <w:lang w:eastAsia="sk-SK"/>
        </w:rPr>
        <w:t>)</w:t>
      </w:r>
    </w:p>
    <w:p w:rsidR="00A1222F" w:rsidRPr="00EF2265" w:rsidRDefault="00A1222F" w:rsidP="00E86605">
      <w:pPr>
        <w:numPr>
          <w:ilvl w:val="0"/>
          <w:numId w:val="72"/>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EEDC AISBL C/O SEFI AISBL European Engineering Deans Council</w:t>
      </w:r>
    </w:p>
    <w:p w:rsidR="00A1222F" w:rsidRPr="00EF2265" w:rsidRDefault="00A1222F" w:rsidP="00E86605">
      <w:pPr>
        <w:jc w:val="left"/>
        <w:rPr>
          <w:rFonts w:ascii="Times New Roman" w:eastAsia="Times New Roman" w:hAnsi="Times New Roman"/>
          <w:sz w:val="20"/>
          <w:szCs w:val="20"/>
          <w:lang w:eastAsia="sk-SK"/>
        </w:rPr>
      </w:pPr>
    </w:p>
    <w:p w:rsidR="00A1222F" w:rsidRPr="00EF2265" w:rsidRDefault="00A1222F" w:rsidP="00E86605">
      <w:pPr>
        <w:jc w:val="left"/>
        <w:rPr>
          <w:rFonts w:ascii="Times New Roman" w:eastAsia="Times New Roman" w:hAnsi="Times New Roman"/>
          <w:sz w:val="20"/>
          <w:szCs w:val="20"/>
          <w:lang w:eastAsia="sk-SK"/>
        </w:rPr>
      </w:pPr>
      <w:r w:rsidRPr="00EF2265">
        <w:rPr>
          <w:rFonts w:ascii="Times New Roman" w:eastAsia="Times New Roman" w:hAnsi="Times New Roman"/>
          <w:b/>
          <w:bCs/>
          <w:sz w:val="20"/>
          <w:szCs w:val="20"/>
          <w:lang w:eastAsia="sk-SK"/>
        </w:rPr>
        <w:t>Ústav manažmentu:</w:t>
      </w:r>
    </w:p>
    <w:p w:rsidR="00A1222F" w:rsidRPr="00EF2265" w:rsidRDefault="00A1222F" w:rsidP="00E86605">
      <w:pPr>
        <w:numPr>
          <w:ilvl w:val="0"/>
          <w:numId w:val="73"/>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Network of Spatial Research and Planning in Central, Eastern and South Eastern Europe (SPA-CE.NET)</w:t>
      </w:r>
      <w:bookmarkStart w:id="252" w:name="_Toc349024727"/>
    </w:p>
    <w:p w:rsidR="00A1222F" w:rsidRPr="00EF2265" w:rsidRDefault="00A1222F" w:rsidP="00E86605">
      <w:pPr>
        <w:numPr>
          <w:ilvl w:val="0"/>
          <w:numId w:val="73"/>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Association of European Schools of Planning Network (AESOP)</w:t>
      </w:r>
    </w:p>
    <w:p w:rsidR="00A1222F" w:rsidRPr="00EF2265" w:rsidRDefault="00A1222F" w:rsidP="00E86605">
      <w:pPr>
        <w:numPr>
          <w:ilvl w:val="0"/>
          <w:numId w:val="73"/>
        </w:num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Centre for Transdisciplinary Research Network (CETIP)Western Balkan Network on Territorial Governance (WBNTG)</w:t>
      </w:r>
      <w:r w:rsidRPr="00EF2265">
        <w:rPr>
          <w:rFonts w:ascii="Times New Roman" w:eastAsia="Times New Roman" w:hAnsi="Times New Roman"/>
          <w:sz w:val="20"/>
          <w:szCs w:val="20"/>
          <w:lang w:eastAsia="sk-SK"/>
        </w:rPr>
        <w:br/>
      </w:r>
    </w:p>
    <w:p w:rsidR="00A1222F" w:rsidRPr="00EF2265" w:rsidRDefault="00A1222F" w:rsidP="00E86605">
      <w:pPr>
        <w:pStyle w:val="Nadpis2"/>
        <w:keepLines w:val="0"/>
        <w:numPr>
          <w:ilvl w:val="1"/>
          <w:numId w:val="76"/>
        </w:numPr>
        <w:tabs>
          <w:tab w:val="clear" w:pos="567"/>
        </w:tabs>
        <w:spacing w:before="240" w:after="240"/>
        <w:ind w:left="0" w:firstLine="0"/>
        <w:rPr>
          <w:rFonts w:ascii="Times New Roman" w:hAnsi="Times New Roman" w:cs="Times New Roman"/>
          <w:color w:val="auto"/>
          <w:sz w:val="20"/>
          <w:szCs w:val="20"/>
        </w:rPr>
      </w:pPr>
      <w:bookmarkStart w:id="253" w:name="_Toc477769497"/>
      <w:bookmarkEnd w:id="252"/>
      <w:r w:rsidRPr="00EF2265">
        <w:rPr>
          <w:rFonts w:ascii="Times New Roman" w:hAnsi="Times New Roman" w:cs="Times New Roman"/>
          <w:color w:val="auto"/>
          <w:sz w:val="20"/>
          <w:szCs w:val="20"/>
        </w:rPr>
        <w:lastRenderedPageBreak/>
        <w:t>Vycestovania zamestnancov do zahraničia a prijatia zahraničných hostí</w:t>
      </w:r>
      <w:bookmarkEnd w:id="253"/>
      <w:r w:rsidRPr="00EF2265">
        <w:rPr>
          <w:rFonts w:ascii="Times New Roman" w:hAnsi="Times New Roman" w:cs="Times New Roman"/>
          <w:color w:val="auto"/>
          <w:sz w:val="20"/>
          <w:szCs w:val="20"/>
        </w:rPr>
        <w:t xml:space="preserve"> </w:t>
      </w:r>
    </w:p>
    <w:p w:rsidR="00A1222F" w:rsidRPr="00EF2265" w:rsidRDefault="00A1222F" w:rsidP="00E86605">
      <w:pPr>
        <w:jc w:val="left"/>
        <w:rPr>
          <w:rFonts w:ascii="Times New Roman" w:eastAsia="Times New Roman" w:hAnsi="Times New Roman"/>
          <w:sz w:val="20"/>
          <w:szCs w:val="20"/>
          <w:lang w:eastAsia="ko-KR"/>
        </w:rPr>
      </w:pPr>
      <w:r w:rsidRPr="00EF2265">
        <w:rPr>
          <w:rFonts w:ascii="Times New Roman" w:eastAsia="Times New Roman" w:hAnsi="Times New Roman"/>
          <w:sz w:val="20"/>
          <w:szCs w:val="20"/>
          <w:lang w:eastAsia="ko-KR"/>
        </w:rPr>
        <w:t>Neoddeliteľnou súčasťou medzinárodnej spolupráce sú i zahraničné pracovné cesty zamestnancov a prijímanie zahraničných zamestnancov a hostí. V roku 2018 zrealizovali zamestnanci STU 3 633 zahraničných pracovných ciest(Tab. č. 11.3)</w:t>
      </w:r>
      <w:r w:rsidRPr="00EF2265">
        <w:rPr>
          <w:rFonts w:ascii="Times New Roman" w:eastAsia="Times New Roman" w:hAnsi="Times New Roman"/>
          <w:b/>
          <w:sz w:val="20"/>
          <w:szCs w:val="20"/>
          <w:lang w:eastAsia="ko-KR"/>
        </w:rPr>
        <w:t>.</w:t>
      </w:r>
      <w:r w:rsidRPr="00EF2265">
        <w:rPr>
          <w:rFonts w:ascii="Times New Roman" w:eastAsia="Times New Roman" w:hAnsi="Times New Roman"/>
          <w:sz w:val="20"/>
          <w:szCs w:val="20"/>
          <w:lang w:eastAsia="ko-KR"/>
        </w:rPr>
        <w:t xml:space="preserve">  Najviac ciest smerovalo do Českej republiky, Rakúska a Nemecka.</w:t>
      </w:r>
    </w:p>
    <w:p w:rsidR="00A1222F" w:rsidRPr="00EF2265" w:rsidRDefault="00A1222F" w:rsidP="00E86605">
      <w:pPr>
        <w:jc w:val="left"/>
        <w:rPr>
          <w:rFonts w:ascii="Times New Roman" w:eastAsia="Times New Roman" w:hAnsi="Times New Roman"/>
          <w:sz w:val="20"/>
          <w:szCs w:val="20"/>
          <w:lang w:eastAsia="ko-KR"/>
        </w:rPr>
      </w:pPr>
    </w:p>
    <w:p w:rsidR="00A1222F" w:rsidRPr="00EF2265" w:rsidRDefault="00A1222F" w:rsidP="00E86605">
      <w:pPr>
        <w:jc w:val="left"/>
        <w:rPr>
          <w:rFonts w:ascii="Times New Roman" w:eastAsia="Times New Roman" w:hAnsi="Times New Roman"/>
          <w:sz w:val="20"/>
          <w:szCs w:val="20"/>
          <w:lang w:eastAsia="ko-KR"/>
        </w:rPr>
      </w:pPr>
      <w:r w:rsidRPr="00EF2265">
        <w:rPr>
          <w:rFonts w:ascii="Times New Roman" w:hAnsi="Times New Roman"/>
          <w:sz w:val="20"/>
          <w:szCs w:val="20"/>
        </w:rPr>
        <w:t>V</w:t>
      </w:r>
      <w:r w:rsidRPr="00EF2265">
        <w:rPr>
          <w:rFonts w:ascii="Times New Roman" w:hAnsi="Times New Roman"/>
          <w:bCs/>
          <w:sz w:val="20"/>
          <w:szCs w:val="20"/>
        </w:rPr>
        <w:t xml:space="preserve"> priebehu roku 2018 boli na úrovni vedenia STU prijaté delegácie a zástupcovia univerzít:  </w:t>
      </w:r>
    </w:p>
    <w:p w:rsidR="00A1222F" w:rsidRPr="00EF2265" w:rsidRDefault="00A1222F" w:rsidP="00E86605">
      <w:pPr>
        <w:spacing w:after="240"/>
        <w:jc w:val="left"/>
        <w:rPr>
          <w:rFonts w:ascii="Times New Roman" w:hAnsi="Times New Roman"/>
          <w:sz w:val="20"/>
          <w:szCs w:val="20"/>
        </w:rPr>
      </w:pPr>
      <w:r w:rsidRPr="00EF2265">
        <w:rPr>
          <w:rFonts w:ascii="Times New Roman" w:hAnsi="Times New Roman"/>
          <w:b/>
          <w:bCs/>
          <w:sz w:val="20"/>
          <w:szCs w:val="20"/>
        </w:rPr>
        <w:t>január</w:t>
      </w:r>
      <w:r w:rsidRPr="00EF2265">
        <w:rPr>
          <w:rFonts w:ascii="Times New Roman" w:hAnsi="Times New Roman"/>
          <w:bCs/>
          <w:sz w:val="20"/>
          <w:szCs w:val="20"/>
        </w:rPr>
        <w:t xml:space="preserve"> - </w:t>
      </w:r>
      <w:r w:rsidRPr="00EF2265">
        <w:rPr>
          <w:rFonts w:ascii="Times New Roman" w:hAnsi="Times New Roman"/>
          <w:sz w:val="20"/>
          <w:szCs w:val="20"/>
        </w:rPr>
        <w:t>V rámci podujatia International Week 2018 organizovanou Fachhochschule Technikum Wien boli prijatí zástupcovia 7 univerzít - China Three Gorges University, Mongolian University of Science and Technology, Universidade de Trás-os-Montes e Alto Douro, Université de Savioe Mont Blanc, University Transilvania of Brasov s University of Aplied Sciences Technikum Wien a viedli diskusiu o možnosti budúcich spoluprác v rámci možností jednotlivých univerzít.</w:t>
      </w:r>
    </w:p>
    <w:p w:rsidR="00A1222F" w:rsidRPr="00EF2265" w:rsidRDefault="00A1222F" w:rsidP="00E86605">
      <w:pPr>
        <w:spacing w:after="240"/>
        <w:jc w:val="left"/>
        <w:rPr>
          <w:rFonts w:ascii="Times New Roman" w:hAnsi="Times New Roman"/>
          <w:sz w:val="20"/>
          <w:szCs w:val="20"/>
        </w:rPr>
      </w:pPr>
      <w:r w:rsidRPr="00EF2265">
        <w:rPr>
          <w:rFonts w:ascii="Times New Roman" w:hAnsi="Times New Roman"/>
          <w:b/>
          <w:bCs/>
          <w:sz w:val="20"/>
          <w:szCs w:val="20"/>
        </w:rPr>
        <w:t>február</w:t>
      </w:r>
      <w:r w:rsidRPr="00EF2265">
        <w:rPr>
          <w:rFonts w:ascii="Times New Roman" w:hAnsi="Times New Roman"/>
          <w:sz w:val="20"/>
          <w:szCs w:val="20"/>
        </w:rPr>
        <w:t xml:space="preserve"> -Bilaterálne stretnutie s University of Alberta, Edmonton, Canada sa konalo v rámci schváleného Erasmus+ ICM projektu č. 2017-1-SK01-KA107-035039. Delegácia z kanadskej univerzity bola vedená pánom prof. Dr. Stanislav Karapetrovicom a Dr Jamesom Hoganom.</w:t>
      </w:r>
    </w:p>
    <w:p w:rsidR="00A1222F" w:rsidRPr="00EF2265" w:rsidRDefault="00A1222F" w:rsidP="00E86605">
      <w:pPr>
        <w:spacing w:after="240"/>
        <w:jc w:val="left"/>
        <w:rPr>
          <w:rFonts w:ascii="Times New Roman" w:hAnsi="Times New Roman"/>
          <w:sz w:val="20"/>
          <w:szCs w:val="20"/>
        </w:rPr>
      </w:pPr>
      <w:r w:rsidRPr="00EF2265">
        <w:rPr>
          <w:rFonts w:ascii="Times New Roman" w:hAnsi="Times New Roman"/>
          <w:sz w:val="20"/>
          <w:szCs w:val="20"/>
        </w:rPr>
        <w:t>Bilaterálne stretnutie s Amirkabir University of Technology, Iran sa konalo za účelom podpísania Memoranda o spolupráci univerzít. Delegáciu viedol prezident univerzity Sayed Ahmad Motamedi.</w:t>
      </w:r>
    </w:p>
    <w:p w:rsidR="00A1222F" w:rsidRPr="00EF2265" w:rsidRDefault="00A1222F" w:rsidP="00E86605">
      <w:pPr>
        <w:spacing w:after="240"/>
        <w:jc w:val="left"/>
        <w:rPr>
          <w:rFonts w:ascii="Times New Roman" w:hAnsi="Times New Roman"/>
          <w:sz w:val="20"/>
          <w:szCs w:val="20"/>
        </w:rPr>
      </w:pPr>
      <w:r w:rsidRPr="00EF2265">
        <w:rPr>
          <w:rFonts w:ascii="Times New Roman" w:hAnsi="Times New Roman"/>
          <w:b/>
          <w:sz w:val="20"/>
          <w:szCs w:val="20"/>
        </w:rPr>
        <w:t>marec</w:t>
      </w:r>
      <w:r w:rsidRPr="00EF2265">
        <w:rPr>
          <w:rFonts w:ascii="Times New Roman" w:hAnsi="Times New Roman"/>
          <w:sz w:val="20"/>
          <w:szCs w:val="20"/>
        </w:rPr>
        <w:t xml:space="preserve"> - Bilaterálne stretnutie s Universidad Central, „Marta Abreu“ de Las Villas, Kuba sa konalo  v rámci schváleného Erasmus+ ICM projektu  č. 2016-1-SK01-KA107-022213. Delegácia z kubánskej univerzity bola vedená pánom rektorom prof. Andres Castro AlegriomUniversidad Central, „Marta Abreu“ de Las Villas</w:t>
      </w:r>
      <w:r w:rsidRPr="00EF2265" w:rsidDel="00D35683">
        <w:rPr>
          <w:rFonts w:ascii="Times New Roman" w:hAnsi="Times New Roman"/>
          <w:sz w:val="20"/>
          <w:szCs w:val="20"/>
        </w:rPr>
        <w:t xml:space="preserve"> </w:t>
      </w:r>
      <w:r w:rsidRPr="00EF2265">
        <w:rPr>
          <w:rFonts w:ascii="Times New Roman" w:hAnsi="Times New Roman"/>
          <w:sz w:val="20"/>
          <w:szCs w:val="20"/>
        </w:rPr>
        <w:t>.</w:t>
      </w:r>
    </w:p>
    <w:p w:rsidR="00A1222F" w:rsidRPr="00EF2265" w:rsidRDefault="00A1222F" w:rsidP="00E86605">
      <w:pPr>
        <w:spacing w:after="240"/>
        <w:jc w:val="left"/>
        <w:rPr>
          <w:rFonts w:ascii="Times New Roman" w:hAnsi="Times New Roman"/>
          <w:sz w:val="20"/>
          <w:szCs w:val="20"/>
        </w:rPr>
      </w:pPr>
      <w:r w:rsidRPr="00EF2265">
        <w:rPr>
          <w:rFonts w:ascii="Times New Roman" w:hAnsi="Times New Roman"/>
          <w:sz w:val="20"/>
          <w:szCs w:val="20"/>
        </w:rPr>
        <w:t xml:space="preserve">Bilaterálne stretnutie s Kalashnikov Izhevsk State Technical University sa konalo v rámci schváleného Erasmus+ ICM projektu č. 2016-1-SK01-KA107-022213. Delegácia bola vedená pánom prorektorom prof. Aleksandrom Gubertom. </w:t>
      </w:r>
    </w:p>
    <w:p w:rsidR="00A1222F" w:rsidRPr="00EF2265" w:rsidRDefault="00A1222F" w:rsidP="00E86605">
      <w:pPr>
        <w:spacing w:after="240"/>
        <w:jc w:val="left"/>
        <w:rPr>
          <w:rFonts w:ascii="Times New Roman" w:hAnsi="Times New Roman"/>
          <w:sz w:val="20"/>
          <w:szCs w:val="20"/>
        </w:rPr>
      </w:pPr>
      <w:r w:rsidRPr="00EF2265">
        <w:rPr>
          <w:rFonts w:ascii="Times New Roman" w:hAnsi="Times New Roman"/>
          <w:b/>
          <w:sz w:val="20"/>
          <w:szCs w:val="20"/>
        </w:rPr>
        <w:t xml:space="preserve">máj - </w:t>
      </w:r>
      <w:r w:rsidRPr="00EF2265">
        <w:rPr>
          <w:rFonts w:ascii="Times New Roman" w:hAnsi="Times New Roman"/>
          <w:b/>
          <w:sz w:val="20"/>
          <w:szCs w:val="20"/>
        </w:rPr>
        <w:tab/>
      </w:r>
      <w:r w:rsidRPr="00EF2265">
        <w:rPr>
          <w:rFonts w:ascii="Times New Roman" w:hAnsi="Times New Roman"/>
          <w:sz w:val="20"/>
          <w:szCs w:val="20"/>
        </w:rPr>
        <w:t xml:space="preserve">prijatie delegácie South Ural State University bolo zamerané na vzájomnú prezentáciu informácií o štúdiu a možnostiach výskumu na oboch univerzitách ako aj rokovanie o podpise dohody a spolupráci. Za South Ural State University sa na stretnutí zúčastnil prorektor Andej Alexandroviť Radionov. </w:t>
      </w:r>
    </w:p>
    <w:p w:rsidR="00A1222F" w:rsidRPr="00EF2265" w:rsidRDefault="00A1222F" w:rsidP="00E86605">
      <w:pPr>
        <w:jc w:val="left"/>
        <w:rPr>
          <w:rFonts w:ascii="Times New Roman" w:hAnsi="Times New Roman"/>
          <w:sz w:val="20"/>
          <w:szCs w:val="20"/>
        </w:rPr>
      </w:pPr>
      <w:r w:rsidRPr="00EF2265">
        <w:rPr>
          <w:rFonts w:ascii="Times New Roman" w:hAnsi="Times New Roman"/>
          <w:b/>
          <w:sz w:val="20"/>
          <w:szCs w:val="20"/>
        </w:rPr>
        <w:t>jún -</w:t>
      </w:r>
      <w:r w:rsidRPr="00EF2265">
        <w:rPr>
          <w:rFonts w:ascii="Times New Roman" w:hAnsi="Times New Roman"/>
          <w:sz w:val="20"/>
          <w:szCs w:val="20"/>
        </w:rPr>
        <w:t xml:space="preserve"> V rámci podujatia 2nd International Erasmus+ Staff Week, ktorý organizoval Útvar medzinárodných vzťahov Slovenskej technickej univerzity v Bratislave boli na pôde Slovenskej technickej univerzity privítaní 12 účastníci z 8 univerzít - National University of Civil Engineering, Vietnam; National Technical University, Ukraina; Ecole Polytechnique de l´Université d´Orléans, Francuzsko; Universidade de Santiago de Compostela, Španielsko; The Cyprus Institute. Cyprus; Varna Free University, Bulharsko; Akdeniz University, Turecko; Techničko Veleučilište u Zagrebu, Chorvátsko. Počas celého týždňa sa venovali diskusiám o možnostiach spoluprác, ktoré ponúkajú ich univerzity a krajina. </w:t>
      </w:r>
    </w:p>
    <w:p w:rsidR="00A1222F" w:rsidRPr="00EF2265" w:rsidRDefault="00A1222F" w:rsidP="00E86605">
      <w:pPr>
        <w:spacing w:before="240"/>
        <w:jc w:val="left"/>
        <w:rPr>
          <w:rFonts w:ascii="Times New Roman" w:hAnsi="Times New Roman"/>
          <w:sz w:val="20"/>
          <w:szCs w:val="20"/>
        </w:rPr>
      </w:pPr>
      <w:r w:rsidRPr="00EF2265">
        <w:rPr>
          <w:rFonts w:ascii="Times New Roman" w:hAnsi="Times New Roman"/>
          <w:sz w:val="20"/>
          <w:szCs w:val="20"/>
        </w:rPr>
        <w:t>Prijatie kubánskej veľvyslankyne na Slovensku pani Yamila Pita Montes spolu s vedúcim pracovníkom odboru medzinárodnej spolupráce Ministerstva školstva Kubánskej republiky viedlo k diskusií o podpore a možnostiach štúdia na Kube pre študentov Slovenskej technickej univerzity a vytvorenia aktívnej spolupráce s kubánskou univerzitou podobného zamerania.</w:t>
      </w:r>
    </w:p>
    <w:p w:rsidR="00A1222F" w:rsidRPr="00EF2265" w:rsidRDefault="00A1222F" w:rsidP="00E86605">
      <w:pPr>
        <w:spacing w:before="240"/>
        <w:jc w:val="left"/>
        <w:rPr>
          <w:rFonts w:ascii="Times New Roman" w:hAnsi="Times New Roman"/>
          <w:sz w:val="20"/>
          <w:szCs w:val="20"/>
        </w:rPr>
      </w:pPr>
      <w:r w:rsidRPr="00EF2265">
        <w:rPr>
          <w:rFonts w:ascii="Times New Roman" w:hAnsi="Times New Roman"/>
          <w:sz w:val="20"/>
          <w:szCs w:val="20"/>
        </w:rPr>
        <w:t>Počas návštevy prezidenta Bulharskej republiky bolo v prezidentskom paláci počas oficiálneho prijatia bulharskej delegácie podpísané memorandum o spolupráci medzi Technical University of Sofia a Slovenskou technickou univerzitou. Memorandum bolo podpisované pánom rektorom prof. Georgym Mohovom Technickej univerzity v Sofií.</w:t>
      </w:r>
    </w:p>
    <w:p w:rsidR="00A1222F" w:rsidRPr="00EF2265" w:rsidRDefault="00A1222F" w:rsidP="00E86605">
      <w:pPr>
        <w:spacing w:before="240" w:after="240"/>
        <w:jc w:val="left"/>
        <w:rPr>
          <w:rFonts w:ascii="Times New Roman" w:hAnsi="Times New Roman"/>
          <w:sz w:val="20"/>
          <w:szCs w:val="20"/>
        </w:rPr>
      </w:pPr>
      <w:r w:rsidRPr="00EF2265">
        <w:rPr>
          <w:rFonts w:ascii="Times New Roman" w:hAnsi="Times New Roman"/>
          <w:sz w:val="20"/>
          <w:szCs w:val="20"/>
        </w:rPr>
        <w:t xml:space="preserve">Počas PSU Summer Trip boli privítaní zástupcovia a študenti z Prince Sultan University. Návšteva bola skombinovaná aj s exkurziou po fakultách Slovenskej technickej univerzity v Bratislave. </w:t>
      </w:r>
    </w:p>
    <w:p w:rsidR="00A1222F" w:rsidRPr="00EF2265" w:rsidRDefault="00A1222F" w:rsidP="00E86605">
      <w:pPr>
        <w:spacing w:after="240"/>
        <w:jc w:val="left"/>
        <w:rPr>
          <w:rFonts w:ascii="Times New Roman" w:hAnsi="Times New Roman"/>
          <w:sz w:val="20"/>
          <w:szCs w:val="20"/>
        </w:rPr>
      </w:pPr>
      <w:r w:rsidRPr="00EF2265">
        <w:rPr>
          <w:rFonts w:ascii="Times New Roman" w:hAnsi="Times New Roman"/>
          <w:b/>
          <w:sz w:val="20"/>
          <w:szCs w:val="20"/>
        </w:rPr>
        <w:t xml:space="preserve">október </w:t>
      </w:r>
      <w:r w:rsidRPr="00EF2265">
        <w:rPr>
          <w:rFonts w:ascii="Times New Roman" w:hAnsi="Times New Roman"/>
          <w:sz w:val="20"/>
          <w:szCs w:val="20"/>
        </w:rPr>
        <w:t xml:space="preserve">- zástupcovia Jinan University a Neusoft Institute navštívili STU za účelom nadviazania budúcej spolupráce. V rámci ich návštevy bola zorganizovaná exkurzia po fakultách STU. </w:t>
      </w:r>
    </w:p>
    <w:p w:rsidR="00A1222F" w:rsidRPr="00EF2265" w:rsidRDefault="00A1222F" w:rsidP="00E86605">
      <w:pPr>
        <w:spacing w:before="240"/>
        <w:jc w:val="left"/>
        <w:rPr>
          <w:rFonts w:ascii="Times New Roman" w:hAnsi="Times New Roman"/>
          <w:sz w:val="20"/>
          <w:szCs w:val="20"/>
        </w:rPr>
      </w:pPr>
      <w:r w:rsidRPr="00EF2265">
        <w:rPr>
          <w:rFonts w:ascii="Times New Roman" w:hAnsi="Times New Roman"/>
          <w:b/>
          <w:sz w:val="20"/>
          <w:szCs w:val="20"/>
        </w:rPr>
        <w:t xml:space="preserve">november </w:t>
      </w:r>
      <w:r w:rsidRPr="00EF2265">
        <w:rPr>
          <w:rFonts w:ascii="Times New Roman" w:hAnsi="Times New Roman"/>
          <w:sz w:val="20"/>
          <w:szCs w:val="20"/>
        </w:rPr>
        <w:t>- Bilaterálne stretnutie so zástupcami Hochschule Ulm  bolo zamerané na diskusiu o spoločných zameraniach univerzít. Delegáciu viedol prezident univerzity prof. Reuter.</w:t>
      </w:r>
    </w:p>
    <w:p w:rsidR="00A1222F" w:rsidRPr="00EF2265" w:rsidRDefault="00A1222F" w:rsidP="00E86605">
      <w:pPr>
        <w:ind w:firstLine="708"/>
        <w:jc w:val="left"/>
        <w:rPr>
          <w:rFonts w:ascii="Times New Roman" w:hAnsi="Times New Roman"/>
          <w:sz w:val="20"/>
          <w:szCs w:val="20"/>
        </w:rPr>
      </w:pPr>
      <w:r w:rsidRPr="00EF2265">
        <w:rPr>
          <w:rFonts w:ascii="Times New Roman" w:hAnsi="Times New Roman"/>
          <w:sz w:val="20"/>
          <w:szCs w:val="20"/>
        </w:rPr>
        <w:t> </w:t>
      </w:r>
    </w:p>
    <w:p w:rsidR="00A1222F" w:rsidRPr="00EF2265" w:rsidRDefault="00A1222F" w:rsidP="00E86605">
      <w:pPr>
        <w:jc w:val="left"/>
        <w:rPr>
          <w:rFonts w:ascii="Times New Roman" w:hAnsi="Times New Roman"/>
          <w:sz w:val="20"/>
          <w:szCs w:val="20"/>
        </w:rPr>
      </w:pPr>
    </w:p>
    <w:p w:rsidR="00A1222F" w:rsidRPr="00EF2265" w:rsidRDefault="00A1222F" w:rsidP="00E86605">
      <w:pPr>
        <w:jc w:val="left"/>
        <w:rPr>
          <w:rFonts w:ascii="Times New Roman" w:eastAsia="Times New Roman" w:hAnsi="Times New Roman"/>
          <w:b/>
          <w:bCs/>
          <w:sz w:val="20"/>
          <w:szCs w:val="20"/>
        </w:rPr>
      </w:pPr>
      <w:r w:rsidRPr="00EF2265">
        <w:rPr>
          <w:rFonts w:ascii="Times New Roman" w:eastAsia="Times New Roman" w:hAnsi="Times New Roman"/>
          <w:b/>
          <w:bCs/>
          <w:sz w:val="20"/>
          <w:szCs w:val="20"/>
        </w:rPr>
        <w:lastRenderedPageBreak/>
        <w:t xml:space="preserve">Tab. č. 11.3: Vycestovania a prijatia v roku 2018   </w:t>
      </w:r>
    </w:p>
    <w:tbl>
      <w:tblPr>
        <w:tblW w:w="6961" w:type="dxa"/>
        <w:tblInd w:w="55" w:type="dxa"/>
        <w:tblLayout w:type="fixed"/>
        <w:tblCellMar>
          <w:left w:w="70" w:type="dxa"/>
          <w:right w:w="70" w:type="dxa"/>
        </w:tblCellMar>
        <w:tblLook w:val="04A0" w:firstRow="1" w:lastRow="0" w:firstColumn="1" w:lastColumn="0" w:noHBand="0" w:noVBand="1"/>
      </w:tblPr>
      <w:tblGrid>
        <w:gridCol w:w="1149"/>
        <w:gridCol w:w="2694"/>
        <w:gridCol w:w="3118"/>
      </w:tblGrid>
      <w:tr w:rsidR="00A1222F" w:rsidRPr="00EF2265" w:rsidTr="00E81927">
        <w:trPr>
          <w:trHeight w:val="630"/>
        </w:trPr>
        <w:tc>
          <w:tcPr>
            <w:tcW w:w="1149" w:type="dxa"/>
            <w:tcBorders>
              <w:top w:val="single" w:sz="4" w:space="0" w:color="auto"/>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sz w:val="20"/>
                <w:szCs w:val="20"/>
                <w:lang w:eastAsia="sk-SK"/>
              </w:rPr>
            </w:pPr>
          </w:p>
          <w:p w:rsidR="00A1222F" w:rsidRPr="00EF2265" w:rsidRDefault="00A1222F" w:rsidP="00E86605">
            <w:pPr>
              <w:jc w:val="left"/>
              <w:rPr>
                <w:rFonts w:ascii="Times New Roman" w:hAnsi="Times New Roman"/>
                <w:sz w:val="20"/>
                <w:szCs w:val="20"/>
                <w:lang w:eastAsia="sk-SK"/>
              </w:rPr>
            </w:pPr>
            <w:r w:rsidRPr="00EF2265">
              <w:rPr>
                <w:rFonts w:ascii="Times New Roman" w:hAnsi="Times New Roman"/>
                <w:sz w:val="20"/>
                <w:szCs w:val="20"/>
                <w:lang w:eastAsia="sk-SK"/>
              </w:rPr>
              <w:t>STU</w:t>
            </w:r>
          </w:p>
        </w:tc>
        <w:tc>
          <w:tcPr>
            <w:tcW w:w="2694" w:type="dxa"/>
            <w:tcBorders>
              <w:top w:val="single" w:sz="4" w:space="0" w:color="auto"/>
              <w:left w:val="nil"/>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Počet vycestovaní</w:t>
            </w:r>
          </w:p>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zamestnancov</w:t>
            </w:r>
          </w:p>
        </w:tc>
        <w:tc>
          <w:tcPr>
            <w:tcW w:w="3118" w:type="dxa"/>
            <w:tcBorders>
              <w:top w:val="single" w:sz="4" w:space="0" w:color="auto"/>
              <w:left w:val="nil"/>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 xml:space="preserve">Počet prijatých </w:t>
            </w:r>
          </w:p>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zahraničných hostí</w:t>
            </w:r>
          </w:p>
        </w:tc>
      </w:tr>
      <w:tr w:rsidR="00A1222F" w:rsidRPr="00EF2265" w:rsidTr="00E81927">
        <w:trPr>
          <w:trHeight w:val="315"/>
        </w:trPr>
        <w:tc>
          <w:tcPr>
            <w:tcW w:w="1149" w:type="dxa"/>
            <w:tcBorders>
              <w:top w:val="nil"/>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R-STU</w:t>
            </w:r>
          </w:p>
        </w:tc>
        <w:tc>
          <w:tcPr>
            <w:tcW w:w="2694"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333</w:t>
            </w:r>
          </w:p>
        </w:tc>
        <w:tc>
          <w:tcPr>
            <w:tcW w:w="3118"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71</w:t>
            </w:r>
          </w:p>
        </w:tc>
      </w:tr>
      <w:tr w:rsidR="00A1222F" w:rsidRPr="00EF2265" w:rsidTr="00E81927">
        <w:trPr>
          <w:trHeight w:val="315"/>
        </w:trPr>
        <w:tc>
          <w:tcPr>
            <w:tcW w:w="1149" w:type="dxa"/>
            <w:tcBorders>
              <w:top w:val="nil"/>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SvF</w:t>
            </w:r>
          </w:p>
        </w:tc>
        <w:tc>
          <w:tcPr>
            <w:tcW w:w="2694"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844</w:t>
            </w:r>
          </w:p>
        </w:tc>
        <w:tc>
          <w:tcPr>
            <w:tcW w:w="3118"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30</w:t>
            </w:r>
          </w:p>
        </w:tc>
      </w:tr>
      <w:tr w:rsidR="00A1222F" w:rsidRPr="00EF2265" w:rsidTr="00E81927">
        <w:trPr>
          <w:trHeight w:val="315"/>
        </w:trPr>
        <w:tc>
          <w:tcPr>
            <w:tcW w:w="1149" w:type="dxa"/>
            <w:tcBorders>
              <w:top w:val="nil"/>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SjF</w:t>
            </w:r>
          </w:p>
        </w:tc>
        <w:tc>
          <w:tcPr>
            <w:tcW w:w="2694"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303</w:t>
            </w:r>
          </w:p>
        </w:tc>
        <w:tc>
          <w:tcPr>
            <w:tcW w:w="3118"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0</w:t>
            </w:r>
          </w:p>
        </w:tc>
      </w:tr>
      <w:tr w:rsidR="00A1222F" w:rsidRPr="00EF2265" w:rsidTr="00E81927">
        <w:trPr>
          <w:trHeight w:val="315"/>
        </w:trPr>
        <w:tc>
          <w:tcPr>
            <w:tcW w:w="1149" w:type="dxa"/>
            <w:tcBorders>
              <w:top w:val="nil"/>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FEI</w:t>
            </w:r>
          </w:p>
        </w:tc>
        <w:tc>
          <w:tcPr>
            <w:tcW w:w="2694"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539</w:t>
            </w:r>
          </w:p>
        </w:tc>
        <w:tc>
          <w:tcPr>
            <w:tcW w:w="3118"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0</w:t>
            </w:r>
          </w:p>
        </w:tc>
      </w:tr>
      <w:tr w:rsidR="00A1222F" w:rsidRPr="00EF2265" w:rsidTr="00E81927">
        <w:trPr>
          <w:trHeight w:val="315"/>
        </w:trPr>
        <w:tc>
          <w:tcPr>
            <w:tcW w:w="1149" w:type="dxa"/>
            <w:tcBorders>
              <w:top w:val="nil"/>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FCHPT</w:t>
            </w:r>
          </w:p>
        </w:tc>
        <w:tc>
          <w:tcPr>
            <w:tcW w:w="2694"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746</w:t>
            </w:r>
          </w:p>
        </w:tc>
        <w:tc>
          <w:tcPr>
            <w:tcW w:w="3118"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22</w:t>
            </w:r>
          </w:p>
        </w:tc>
      </w:tr>
      <w:tr w:rsidR="00A1222F" w:rsidRPr="00EF2265" w:rsidTr="00E81927">
        <w:trPr>
          <w:trHeight w:val="315"/>
        </w:trPr>
        <w:tc>
          <w:tcPr>
            <w:tcW w:w="1149" w:type="dxa"/>
            <w:tcBorders>
              <w:top w:val="nil"/>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FA</w:t>
            </w:r>
          </w:p>
        </w:tc>
        <w:tc>
          <w:tcPr>
            <w:tcW w:w="2694"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260</w:t>
            </w:r>
          </w:p>
        </w:tc>
        <w:tc>
          <w:tcPr>
            <w:tcW w:w="3118"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0</w:t>
            </w:r>
          </w:p>
        </w:tc>
      </w:tr>
      <w:tr w:rsidR="00A1222F" w:rsidRPr="00EF2265" w:rsidTr="00E81927">
        <w:trPr>
          <w:trHeight w:val="315"/>
        </w:trPr>
        <w:tc>
          <w:tcPr>
            <w:tcW w:w="1149" w:type="dxa"/>
            <w:tcBorders>
              <w:top w:val="nil"/>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MTF</w:t>
            </w:r>
          </w:p>
        </w:tc>
        <w:tc>
          <w:tcPr>
            <w:tcW w:w="2694"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419</w:t>
            </w:r>
          </w:p>
        </w:tc>
        <w:tc>
          <w:tcPr>
            <w:tcW w:w="3118"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69</w:t>
            </w:r>
          </w:p>
        </w:tc>
      </w:tr>
      <w:tr w:rsidR="00A1222F" w:rsidRPr="00EF2265" w:rsidTr="00E81927">
        <w:trPr>
          <w:trHeight w:val="315"/>
        </w:trPr>
        <w:tc>
          <w:tcPr>
            <w:tcW w:w="1149" w:type="dxa"/>
            <w:tcBorders>
              <w:top w:val="nil"/>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FIIT</w:t>
            </w:r>
          </w:p>
        </w:tc>
        <w:tc>
          <w:tcPr>
            <w:tcW w:w="2694"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189</w:t>
            </w:r>
          </w:p>
        </w:tc>
        <w:tc>
          <w:tcPr>
            <w:tcW w:w="3118"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0</w:t>
            </w:r>
          </w:p>
        </w:tc>
      </w:tr>
      <w:tr w:rsidR="00A1222F" w:rsidRPr="00EF2265" w:rsidTr="00E81927">
        <w:trPr>
          <w:trHeight w:val="315"/>
        </w:trPr>
        <w:tc>
          <w:tcPr>
            <w:tcW w:w="1149" w:type="dxa"/>
            <w:tcBorders>
              <w:top w:val="nil"/>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ÚM</w:t>
            </w:r>
          </w:p>
        </w:tc>
        <w:tc>
          <w:tcPr>
            <w:tcW w:w="2694"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333</w:t>
            </w:r>
          </w:p>
        </w:tc>
        <w:tc>
          <w:tcPr>
            <w:tcW w:w="3118" w:type="dxa"/>
            <w:tcBorders>
              <w:top w:val="nil"/>
              <w:left w:val="nil"/>
              <w:bottom w:val="single" w:sz="4" w:space="0" w:color="auto"/>
              <w:right w:val="single" w:sz="4" w:space="0" w:color="auto"/>
            </w:tcBorders>
            <w:noWrap/>
            <w:vAlign w:val="bottom"/>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38</w:t>
            </w:r>
          </w:p>
        </w:tc>
      </w:tr>
      <w:tr w:rsidR="00A1222F" w:rsidRPr="00EF2265" w:rsidTr="00E81927">
        <w:trPr>
          <w:trHeight w:val="315"/>
        </w:trPr>
        <w:tc>
          <w:tcPr>
            <w:tcW w:w="1149" w:type="dxa"/>
            <w:tcBorders>
              <w:top w:val="nil"/>
              <w:left w:val="single" w:sz="4" w:space="0" w:color="auto"/>
              <w:bottom w:val="single" w:sz="4" w:space="0" w:color="auto"/>
              <w:right w:val="single" w:sz="4" w:space="0" w:color="auto"/>
            </w:tcBorders>
            <w:hideMark/>
          </w:tcPr>
          <w:p w:rsidR="00A1222F" w:rsidRPr="00EF2265" w:rsidRDefault="00A1222F" w:rsidP="00E86605">
            <w:pPr>
              <w:jc w:val="left"/>
              <w:rPr>
                <w:rFonts w:ascii="Times New Roman" w:hAnsi="Times New Roman"/>
                <w:b/>
                <w:bCs/>
                <w:sz w:val="20"/>
                <w:szCs w:val="20"/>
                <w:lang w:eastAsia="sk-SK"/>
              </w:rPr>
            </w:pPr>
            <w:r w:rsidRPr="00EF2265">
              <w:rPr>
                <w:rFonts w:ascii="Times New Roman" w:hAnsi="Times New Roman"/>
                <w:b/>
                <w:bCs/>
                <w:sz w:val="20"/>
                <w:szCs w:val="20"/>
                <w:lang w:eastAsia="sk-SK"/>
              </w:rPr>
              <w:t>Spolu</w:t>
            </w:r>
          </w:p>
        </w:tc>
        <w:tc>
          <w:tcPr>
            <w:tcW w:w="2694" w:type="dxa"/>
            <w:tcBorders>
              <w:top w:val="nil"/>
              <w:left w:val="nil"/>
              <w:bottom w:val="single" w:sz="4" w:space="0" w:color="auto"/>
              <w:right w:val="single" w:sz="4" w:space="0" w:color="auto"/>
            </w:tcBorders>
            <w:noWrap/>
            <w:vAlign w:val="bottom"/>
            <w:hideMark/>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3966</w:t>
            </w:r>
          </w:p>
        </w:tc>
        <w:tc>
          <w:tcPr>
            <w:tcW w:w="3118" w:type="dxa"/>
            <w:tcBorders>
              <w:top w:val="nil"/>
              <w:left w:val="nil"/>
              <w:bottom w:val="single" w:sz="4" w:space="0" w:color="auto"/>
              <w:right w:val="single" w:sz="4" w:space="0" w:color="auto"/>
            </w:tcBorders>
            <w:noWrap/>
            <w:vAlign w:val="bottom"/>
            <w:hideMark/>
          </w:tcPr>
          <w:p w:rsidR="00A1222F" w:rsidRPr="00EF2265" w:rsidRDefault="00A1222F" w:rsidP="00E86605">
            <w:pPr>
              <w:ind w:right="497"/>
              <w:jc w:val="left"/>
              <w:rPr>
                <w:rFonts w:ascii="Times New Roman" w:hAnsi="Times New Roman"/>
                <w:b/>
                <w:sz w:val="20"/>
                <w:szCs w:val="20"/>
                <w:lang w:eastAsia="sk-SK"/>
              </w:rPr>
            </w:pPr>
            <w:r w:rsidRPr="00EF2265">
              <w:rPr>
                <w:rFonts w:ascii="Times New Roman" w:hAnsi="Times New Roman"/>
                <w:b/>
                <w:sz w:val="20"/>
                <w:szCs w:val="20"/>
                <w:lang w:eastAsia="sk-SK"/>
              </w:rPr>
              <w:t>230</w:t>
            </w:r>
          </w:p>
        </w:tc>
      </w:tr>
    </w:tbl>
    <w:p w:rsidR="00A1222F" w:rsidRPr="00EF2265" w:rsidRDefault="00A1222F" w:rsidP="00E86605">
      <w:pPr>
        <w:jc w:val="left"/>
        <w:rPr>
          <w:rFonts w:ascii="Times New Roman" w:hAnsi="Times New Roman"/>
          <w:sz w:val="20"/>
          <w:szCs w:val="20"/>
        </w:rPr>
      </w:pPr>
    </w:p>
    <w:p w:rsidR="000713C8" w:rsidRPr="00EF2265" w:rsidRDefault="000713C8" w:rsidP="00E86605">
      <w:pPr>
        <w:spacing w:line="223" w:lineRule="auto"/>
        <w:jc w:val="left"/>
        <w:rPr>
          <w:rFonts w:ascii="Times New Roman" w:hAnsi="Times New Roman"/>
          <w:b/>
          <w:bCs/>
          <w:sz w:val="20"/>
          <w:szCs w:val="20"/>
        </w:rPr>
      </w:pPr>
    </w:p>
    <w:p w:rsidR="007431AE" w:rsidRPr="00EF2265" w:rsidRDefault="007431AE" w:rsidP="00E86605">
      <w:pPr>
        <w:spacing w:line="223" w:lineRule="auto"/>
        <w:jc w:val="left"/>
        <w:rPr>
          <w:rFonts w:ascii="Times New Roman" w:hAnsi="Times New Roman"/>
          <w:b/>
          <w:bCs/>
          <w:sz w:val="20"/>
          <w:szCs w:val="20"/>
        </w:rPr>
      </w:pPr>
    </w:p>
    <w:p w:rsidR="007431AE" w:rsidRPr="00EF2265" w:rsidRDefault="007431AE" w:rsidP="00E86605">
      <w:pPr>
        <w:spacing w:line="223" w:lineRule="auto"/>
        <w:jc w:val="left"/>
        <w:rPr>
          <w:rFonts w:ascii="Times New Roman" w:hAnsi="Times New Roman"/>
          <w:b/>
          <w:bCs/>
          <w:sz w:val="20"/>
          <w:szCs w:val="20"/>
        </w:rPr>
      </w:pPr>
    </w:p>
    <w:p w:rsidR="007431AE" w:rsidRPr="00EF2265" w:rsidRDefault="007431AE" w:rsidP="00E86605">
      <w:pPr>
        <w:spacing w:line="223" w:lineRule="auto"/>
        <w:jc w:val="left"/>
        <w:rPr>
          <w:rFonts w:ascii="Times New Roman" w:hAnsi="Times New Roman"/>
          <w:b/>
          <w:bCs/>
          <w:sz w:val="20"/>
          <w:szCs w:val="20"/>
        </w:rPr>
      </w:pPr>
    </w:p>
    <w:p w:rsidR="007431AE" w:rsidRPr="00EF2265" w:rsidRDefault="007431AE" w:rsidP="00E86605">
      <w:pPr>
        <w:spacing w:line="223" w:lineRule="auto"/>
        <w:jc w:val="left"/>
        <w:rPr>
          <w:rFonts w:ascii="Times New Roman" w:hAnsi="Times New Roman"/>
          <w:b/>
          <w:bCs/>
          <w:sz w:val="20"/>
          <w:szCs w:val="20"/>
        </w:rPr>
      </w:pPr>
    </w:p>
    <w:p w:rsidR="007431AE" w:rsidRPr="00EF2265" w:rsidRDefault="007431AE" w:rsidP="00E86605">
      <w:pPr>
        <w:spacing w:line="223" w:lineRule="auto"/>
        <w:jc w:val="left"/>
        <w:rPr>
          <w:rFonts w:ascii="Times New Roman" w:hAnsi="Times New Roman"/>
          <w:b/>
          <w:bCs/>
          <w:sz w:val="20"/>
          <w:szCs w:val="20"/>
        </w:rPr>
      </w:pPr>
    </w:p>
    <w:p w:rsidR="007431AE" w:rsidRPr="00EF2265" w:rsidRDefault="007431AE" w:rsidP="00E86605">
      <w:pPr>
        <w:spacing w:line="223" w:lineRule="auto"/>
        <w:jc w:val="left"/>
        <w:rPr>
          <w:rFonts w:ascii="Times New Roman" w:hAnsi="Times New Roman"/>
          <w:b/>
          <w:bCs/>
          <w:sz w:val="20"/>
          <w:szCs w:val="20"/>
        </w:rPr>
      </w:pPr>
    </w:p>
    <w:p w:rsidR="007431AE" w:rsidRPr="005C672C" w:rsidRDefault="007431AE" w:rsidP="00E86605">
      <w:pPr>
        <w:pStyle w:val="Nadpis1"/>
        <w:numPr>
          <w:ilvl w:val="0"/>
          <w:numId w:val="76"/>
        </w:numPr>
        <w:tabs>
          <w:tab w:val="left" w:pos="9356"/>
        </w:tabs>
        <w:spacing w:after="120"/>
        <w:rPr>
          <w:rFonts w:ascii="Times New Roman" w:hAnsi="Times New Roman" w:cs="Times New Roman"/>
          <w:color w:val="auto"/>
          <w:shd w:val="clear" w:color="auto" w:fill="FFFFFF"/>
        </w:rPr>
      </w:pPr>
      <w:bookmarkStart w:id="254" w:name="_Toc534722902"/>
      <w:r w:rsidRPr="005C672C">
        <w:rPr>
          <w:rFonts w:ascii="Times New Roman" w:hAnsi="Times New Roman" w:cs="Times New Roman"/>
          <w:color w:val="auto"/>
          <w:shd w:val="clear" w:color="auto" w:fill="FFFFFF"/>
        </w:rPr>
        <w:t>Systém kvality a vzdelávania na STU</w:t>
      </w:r>
      <w:bookmarkEnd w:id="254"/>
    </w:p>
    <w:p w:rsidR="005C672C" w:rsidRDefault="005C672C" w:rsidP="00E86605">
      <w:pPr>
        <w:pStyle w:val="Nadpis2"/>
        <w:numPr>
          <w:ilvl w:val="0"/>
          <w:numId w:val="0"/>
        </w:numPr>
        <w:tabs>
          <w:tab w:val="left" w:pos="9356"/>
        </w:tabs>
        <w:rPr>
          <w:rFonts w:ascii="Times New Roman" w:hAnsi="Times New Roman" w:cs="Times New Roman"/>
          <w:color w:val="auto"/>
          <w:sz w:val="20"/>
          <w:szCs w:val="20"/>
        </w:rPr>
      </w:pPr>
      <w:bookmarkStart w:id="255" w:name="_Toc534722903"/>
    </w:p>
    <w:p w:rsidR="007431AE" w:rsidRPr="00EF2265" w:rsidRDefault="007431AE" w:rsidP="00E86605">
      <w:pPr>
        <w:pStyle w:val="Nadpis2"/>
        <w:numPr>
          <w:ilvl w:val="0"/>
          <w:numId w:val="0"/>
        </w:numPr>
        <w:tabs>
          <w:tab w:val="left" w:pos="9356"/>
        </w:tabs>
        <w:rPr>
          <w:rFonts w:ascii="Times New Roman" w:hAnsi="Times New Roman" w:cs="Times New Roman"/>
          <w:color w:val="auto"/>
          <w:sz w:val="20"/>
          <w:szCs w:val="20"/>
        </w:rPr>
      </w:pPr>
      <w:r w:rsidRPr="00EF2265">
        <w:rPr>
          <w:rFonts w:ascii="Times New Roman" w:hAnsi="Times New Roman" w:cs="Times New Roman"/>
          <w:color w:val="auto"/>
          <w:sz w:val="20"/>
          <w:szCs w:val="20"/>
        </w:rPr>
        <w:t>12.1. Manažment vysokej školy</w:t>
      </w:r>
      <w:bookmarkEnd w:id="255"/>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Pre podporu kontrolnej a riadiacej činnosti je na STU vypracovaný Vnútorný systém kvality (ďalej len „VSK“), ktorý bol schválený ako vnútorný predpis STU v Akademickom senáte STU 28. 4. 2014. VSK vytvára formálny rámec pre realizáciu kontrolných a riadiacich činností vo vzdelávaní. </w:t>
      </w:r>
    </w:p>
    <w:p w:rsidR="007431AE" w:rsidRPr="00EF2265" w:rsidRDefault="007431AE" w:rsidP="00E86605">
      <w:pPr>
        <w:tabs>
          <w:tab w:val="left" w:pos="9356"/>
        </w:tabs>
        <w:jc w:val="left"/>
        <w:rPr>
          <w:rFonts w:ascii="Times New Roman" w:hAnsi="Times New Roman"/>
          <w:sz w:val="20"/>
          <w:szCs w:val="20"/>
        </w:rPr>
      </w:pPr>
      <w:r w:rsidRPr="00EF2265">
        <w:rPr>
          <w:rFonts w:ascii="Times New Roman" w:hAnsi="Times New Roman"/>
          <w:sz w:val="20"/>
          <w:szCs w:val="20"/>
        </w:rPr>
        <w:t>VSK sa realizuje na týchto</w:t>
      </w:r>
      <w:r w:rsidRPr="00EF2265">
        <w:rPr>
          <w:rFonts w:ascii="Times New Roman" w:hAnsi="Times New Roman"/>
          <w:spacing w:val="-7"/>
          <w:sz w:val="20"/>
          <w:szCs w:val="20"/>
        </w:rPr>
        <w:t xml:space="preserve"> </w:t>
      </w:r>
      <w:r w:rsidRPr="00EF2265">
        <w:rPr>
          <w:rFonts w:ascii="Times New Roman" w:hAnsi="Times New Roman"/>
          <w:sz w:val="20"/>
          <w:szCs w:val="20"/>
        </w:rPr>
        <w:t>úrovniach:</w:t>
      </w:r>
    </w:p>
    <w:p w:rsidR="007431AE" w:rsidRPr="00EF2265" w:rsidRDefault="007431AE" w:rsidP="00E86605">
      <w:pPr>
        <w:pStyle w:val="Odsekzoznamu"/>
        <w:widowControl w:val="0"/>
        <w:numPr>
          <w:ilvl w:val="1"/>
          <w:numId w:val="36"/>
        </w:numPr>
        <w:tabs>
          <w:tab w:val="left" w:pos="9356"/>
        </w:tabs>
        <w:spacing w:after="0" w:line="240" w:lineRule="auto"/>
        <w:ind w:left="567" w:right="118" w:hanging="567"/>
        <w:rPr>
          <w:rFonts w:ascii="Times New Roman" w:hAnsi="Times New Roman"/>
          <w:sz w:val="20"/>
          <w:szCs w:val="20"/>
        </w:rPr>
      </w:pPr>
      <w:r w:rsidRPr="00EF2265">
        <w:rPr>
          <w:rFonts w:ascii="Times New Roman" w:hAnsi="Times New Roman"/>
          <w:sz w:val="20"/>
          <w:szCs w:val="20"/>
        </w:rPr>
        <w:t>orgány akademickej samosprávy STU (rektor, Vedecká rada STU, AS</w:t>
      </w:r>
      <w:r w:rsidRPr="00EF2265">
        <w:rPr>
          <w:rFonts w:ascii="Times New Roman" w:hAnsi="Times New Roman"/>
          <w:spacing w:val="9"/>
          <w:sz w:val="20"/>
          <w:szCs w:val="20"/>
        </w:rPr>
        <w:t xml:space="preserve"> </w:t>
      </w:r>
      <w:r w:rsidRPr="00EF2265">
        <w:rPr>
          <w:rFonts w:ascii="Times New Roman" w:hAnsi="Times New Roman"/>
          <w:sz w:val="20"/>
          <w:szCs w:val="20"/>
        </w:rPr>
        <w:t>STU,</w:t>
      </w:r>
      <w:r w:rsidRPr="00EF2265">
        <w:rPr>
          <w:rFonts w:ascii="Times New Roman" w:hAnsi="Times New Roman"/>
          <w:w w:val="99"/>
          <w:sz w:val="20"/>
          <w:szCs w:val="20"/>
        </w:rPr>
        <w:t xml:space="preserve"> </w:t>
      </w:r>
      <w:r w:rsidRPr="00EF2265">
        <w:rPr>
          <w:rFonts w:ascii="Times New Roman" w:hAnsi="Times New Roman"/>
          <w:sz w:val="20"/>
          <w:szCs w:val="20"/>
        </w:rPr>
        <w:t>Disciplinárna komisia</w:t>
      </w:r>
      <w:r w:rsidRPr="00EF2265">
        <w:rPr>
          <w:rFonts w:ascii="Times New Roman" w:hAnsi="Times New Roman"/>
          <w:spacing w:val="-3"/>
          <w:sz w:val="20"/>
          <w:szCs w:val="20"/>
        </w:rPr>
        <w:t xml:space="preserve"> </w:t>
      </w:r>
      <w:r w:rsidRPr="00EF2265">
        <w:rPr>
          <w:rFonts w:ascii="Times New Roman" w:hAnsi="Times New Roman"/>
          <w:sz w:val="20"/>
          <w:szCs w:val="20"/>
        </w:rPr>
        <w:t>STU pre študentov),</w:t>
      </w:r>
    </w:p>
    <w:p w:rsidR="007431AE" w:rsidRPr="00EF2265" w:rsidRDefault="007431AE" w:rsidP="00E86605">
      <w:pPr>
        <w:pStyle w:val="Odsekzoznamu"/>
        <w:widowControl w:val="0"/>
        <w:numPr>
          <w:ilvl w:val="1"/>
          <w:numId w:val="36"/>
        </w:numPr>
        <w:tabs>
          <w:tab w:val="left" w:pos="9356"/>
        </w:tabs>
        <w:spacing w:before="2" w:after="0" w:line="240" w:lineRule="auto"/>
        <w:ind w:left="567" w:right="118" w:hanging="567"/>
        <w:rPr>
          <w:rFonts w:ascii="Times New Roman" w:hAnsi="Times New Roman"/>
          <w:sz w:val="20"/>
          <w:szCs w:val="20"/>
        </w:rPr>
      </w:pPr>
      <w:r w:rsidRPr="00EF2265">
        <w:rPr>
          <w:rFonts w:ascii="Times New Roman" w:hAnsi="Times New Roman"/>
          <w:sz w:val="20"/>
          <w:szCs w:val="20"/>
        </w:rPr>
        <w:t>poradné orgány rektora (vedenie STU, kolégium rektora a rada pre kvalitu</w:t>
      </w:r>
      <w:r w:rsidRPr="00EF2265">
        <w:rPr>
          <w:rFonts w:ascii="Times New Roman" w:hAnsi="Times New Roman"/>
          <w:spacing w:val="-13"/>
          <w:sz w:val="20"/>
          <w:szCs w:val="20"/>
        </w:rPr>
        <w:t xml:space="preserve"> </w:t>
      </w:r>
      <w:r w:rsidRPr="00EF2265">
        <w:rPr>
          <w:rFonts w:ascii="Times New Roman" w:hAnsi="Times New Roman"/>
          <w:sz w:val="20"/>
          <w:szCs w:val="20"/>
        </w:rPr>
        <w:t>STU),</w:t>
      </w:r>
    </w:p>
    <w:p w:rsidR="007431AE" w:rsidRPr="00EF2265" w:rsidRDefault="007431AE" w:rsidP="00E86605">
      <w:pPr>
        <w:pStyle w:val="Odsekzoznamu"/>
        <w:widowControl w:val="0"/>
        <w:numPr>
          <w:ilvl w:val="1"/>
          <w:numId w:val="36"/>
        </w:numPr>
        <w:tabs>
          <w:tab w:val="left" w:pos="9356"/>
        </w:tabs>
        <w:spacing w:after="0" w:line="240" w:lineRule="auto"/>
        <w:ind w:left="567" w:right="118" w:hanging="567"/>
        <w:rPr>
          <w:rFonts w:ascii="Times New Roman" w:hAnsi="Times New Roman"/>
          <w:sz w:val="20"/>
          <w:szCs w:val="20"/>
        </w:rPr>
      </w:pPr>
      <w:r w:rsidRPr="00EF2265">
        <w:rPr>
          <w:rFonts w:ascii="Times New Roman" w:hAnsi="Times New Roman"/>
          <w:sz w:val="20"/>
          <w:szCs w:val="20"/>
        </w:rPr>
        <w:t>orgány akademickej samosprávy fakulty (dekan, vedecká rada fakulty,</w:t>
      </w:r>
      <w:r w:rsidRPr="00EF2265">
        <w:rPr>
          <w:rFonts w:ascii="Times New Roman" w:hAnsi="Times New Roman"/>
          <w:spacing w:val="29"/>
          <w:sz w:val="20"/>
          <w:szCs w:val="20"/>
        </w:rPr>
        <w:t xml:space="preserve"> </w:t>
      </w:r>
      <w:r w:rsidRPr="00EF2265">
        <w:rPr>
          <w:rFonts w:ascii="Times New Roman" w:hAnsi="Times New Roman"/>
          <w:sz w:val="20"/>
          <w:szCs w:val="20"/>
        </w:rPr>
        <w:t>akademický senát fakulty, disciplinárna komisia fakulty</w:t>
      </w:r>
      <w:r w:rsidRPr="00EF2265">
        <w:rPr>
          <w:rFonts w:ascii="Times New Roman" w:hAnsi="Times New Roman"/>
          <w:spacing w:val="-3"/>
          <w:sz w:val="20"/>
          <w:szCs w:val="20"/>
        </w:rPr>
        <w:t xml:space="preserve"> </w:t>
      </w:r>
      <w:r w:rsidRPr="00EF2265">
        <w:rPr>
          <w:rFonts w:ascii="Times New Roman" w:hAnsi="Times New Roman"/>
          <w:sz w:val="20"/>
          <w:szCs w:val="20"/>
        </w:rPr>
        <w:t>STU),</w:t>
      </w:r>
    </w:p>
    <w:p w:rsidR="007431AE" w:rsidRPr="00EF2265" w:rsidRDefault="007431AE" w:rsidP="00E86605">
      <w:pPr>
        <w:pStyle w:val="Odsekzoznamu"/>
        <w:widowControl w:val="0"/>
        <w:numPr>
          <w:ilvl w:val="1"/>
          <w:numId w:val="36"/>
        </w:numPr>
        <w:tabs>
          <w:tab w:val="left" w:pos="9356"/>
        </w:tabs>
        <w:spacing w:after="0" w:line="240" w:lineRule="auto"/>
        <w:ind w:left="567" w:right="118" w:hanging="567"/>
        <w:rPr>
          <w:rFonts w:ascii="Times New Roman" w:hAnsi="Times New Roman"/>
          <w:sz w:val="20"/>
          <w:szCs w:val="20"/>
        </w:rPr>
      </w:pPr>
      <w:r w:rsidRPr="00EF2265">
        <w:rPr>
          <w:rFonts w:ascii="Times New Roman" w:hAnsi="Times New Roman"/>
          <w:sz w:val="20"/>
          <w:szCs w:val="20"/>
        </w:rPr>
        <w:t>poradné orgány dekana (vedenie fakulty, kolégium dekana a rada pre</w:t>
      </w:r>
      <w:r w:rsidRPr="00EF2265">
        <w:rPr>
          <w:rFonts w:ascii="Times New Roman" w:hAnsi="Times New Roman"/>
          <w:spacing w:val="32"/>
          <w:sz w:val="20"/>
          <w:szCs w:val="20"/>
        </w:rPr>
        <w:t xml:space="preserve"> </w:t>
      </w:r>
      <w:r w:rsidRPr="00EF2265">
        <w:rPr>
          <w:rFonts w:ascii="Times New Roman" w:hAnsi="Times New Roman"/>
          <w:sz w:val="20"/>
          <w:szCs w:val="20"/>
        </w:rPr>
        <w:t>kvalitu fakulty),</w:t>
      </w:r>
    </w:p>
    <w:p w:rsidR="007431AE" w:rsidRPr="00EF2265" w:rsidRDefault="007431AE" w:rsidP="00E86605">
      <w:pPr>
        <w:pStyle w:val="Odsekzoznamu"/>
        <w:widowControl w:val="0"/>
        <w:numPr>
          <w:ilvl w:val="1"/>
          <w:numId w:val="36"/>
        </w:numPr>
        <w:tabs>
          <w:tab w:val="left" w:pos="9356"/>
        </w:tabs>
        <w:spacing w:before="9" w:after="0" w:line="240" w:lineRule="auto"/>
        <w:ind w:left="567" w:right="118" w:hanging="567"/>
        <w:rPr>
          <w:rFonts w:ascii="Times New Roman" w:hAnsi="Times New Roman"/>
          <w:sz w:val="20"/>
          <w:szCs w:val="20"/>
        </w:rPr>
      </w:pPr>
      <w:r w:rsidRPr="00EF2265">
        <w:rPr>
          <w:rFonts w:ascii="Times New Roman" w:hAnsi="Times New Roman"/>
          <w:sz w:val="20"/>
          <w:szCs w:val="20"/>
        </w:rPr>
        <w:t>odborové komisie študijných odborov doktorandských študijných</w:t>
      </w:r>
      <w:r w:rsidRPr="00EF2265">
        <w:rPr>
          <w:rFonts w:ascii="Times New Roman" w:hAnsi="Times New Roman"/>
          <w:spacing w:val="-10"/>
          <w:sz w:val="20"/>
          <w:szCs w:val="20"/>
        </w:rPr>
        <w:t xml:space="preserve"> </w:t>
      </w:r>
      <w:r w:rsidRPr="00EF2265">
        <w:rPr>
          <w:rFonts w:ascii="Times New Roman" w:hAnsi="Times New Roman"/>
          <w:sz w:val="20"/>
          <w:szCs w:val="20"/>
        </w:rPr>
        <w:t xml:space="preserve">programov (v rámci STU pôsobí 49 odborových komisií); </w:t>
      </w:r>
    </w:p>
    <w:p w:rsidR="007431AE" w:rsidRPr="00EF2265" w:rsidRDefault="007431AE" w:rsidP="00E86605">
      <w:pPr>
        <w:pStyle w:val="Odsekzoznamu"/>
        <w:widowControl w:val="0"/>
        <w:numPr>
          <w:ilvl w:val="1"/>
          <w:numId w:val="36"/>
        </w:numPr>
        <w:tabs>
          <w:tab w:val="left" w:pos="9356"/>
        </w:tabs>
        <w:spacing w:before="51" w:after="0" w:line="240" w:lineRule="auto"/>
        <w:ind w:left="567" w:right="118" w:hanging="567"/>
        <w:rPr>
          <w:rFonts w:ascii="Times New Roman" w:hAnsi="Times New Roman"/>
          <w:sz w:val="20"/>
          <w:szCs w:val="20"/>
        </w:rPr>
      </w:pPr>
      <w:r w:rsidRPr="00EF2265">
        <w:rPr>
          <w:rFonts w:ascii="Times New Roman" w:hAnsi="Times New Roman"/>
          <w:sz w:val="20"/>
          <w:szCs w:val="20"/>
        </w:rPr>
        <w:t>garant študijného</w:t>
      </w:r>
      <w:r w:rsidRPr="00EF2265">
        <w:rPr>
          <w:rFonts w:ascii="Times New Roman" w:hAnsi="Times New Roman"/>
          <w:spacing w:val="-3"/>
          <w:sz w:val="20"/>
          <w:szCs w:val="20"/>
        </w:rPr>
        <w:t xml:space="preserve"> </w:t>
      </w:r>
      <w:r w:rsidRPr="00EF2265">
        <w:rPr>
          <w:rFonts w:ascii="Times New Roman" w:hAnsi="Times New Roman"/>
          <w:sz w:val="20"/>
          <w:szCs w:val="20"/>
        </w:rPr>
        <w:t>programu,</w:t>
      </w:r>
    </w:p>
    <w:p w:rsidR="007431AE" w:rsidRPr="00EF2265" w:rsidRDefault="007431AE" w:rsidP="00E86605">
      <w:pPr>
        <w:pStyle w:val="Odsekzoznamu"/>
        <w:widowControl w:val="0"/>
        <w:numPr>
          <w:ilvl w:val="1"/>
          <w:numId w:val="36"/>
        </w:numPr>
        <w:tabs>
          <w:tab w:val="left" w:pos="9356"/>
        </w:tabs>
        <w:spacing w:after="0" w:line="240" w:lineRule="auto"/>
        <w:ind w:left="567" w:right="118" w:hanging="567"/>
        <w:rPr>
          <w:rFonts w:ascii="Times New Roman" w:hAnsi="Times New Roman"/>
          <w:sz w:val="20"/>
          <w:szCs w:val="20"/>
        </w:rPr>
      </w:pPr>
      <w:r w:rsidRPr="00EF2265">
        <w:rPr>
          <w:rFonts w:ascii="Times New Roman" w:hAnsi="Times New Roman"/>
          <w:sz w:val="20"/>
          <w:szCs w:val="20"/>
        </w:rPr>
        <w:t>vedúci pracoviska</w:t>
      </w:r>
      <w:r w:rsidRPr="00EF2265">
        <w:rPr>
          <w:rFonts w:ascii="Times New Roman" w:hAnsi="Times New Roman"/>
          <w:spacing w:val="-3"/>
          <w:sz w:val="20"/>
          <w:szCs w:val="20"/>
        </w:rPr>
        <w:t xml:space="preserve"> </w:t>
      </w:r>
      <w:r w:rsidRPr="00EF2265">
        <w:rPr>
          <w:rFonts w:ascii="Times New Roman" w:hAnsi="Times New Roman"/>
          <w:sz w:val="20"/>
          <w:szCs w:val="20"/>
        </w:rPr>
        <w:t>(ústavu/katedry),</w:t>
      </w:r>
    </w:p>
    <w:p w:rsidR="007431AE" w:rsidRPr="00EF2265" w:rsidRDefault="007431AE" w:rsidP="00E86605">
      <w:pPr>
        <w:pStyle w:val="Odsekzoznamu"/>
        <w:widowControl w:val="0"/>
        <w:numPr>
          <w:ilvl w:val="1"/>
          <w:numId w:val="36"/>
        </w:numPr>
        <w:tabs>
          <w:tab w:val="left" w:pos="9356"/>
        </w:tabs>
        <w:spacing w:after="0" w:line="240" w:lineRule="auto"/>
        <w:ind w:left="567" w:right="118" w:hanging="567"/>
        <w:rPr>
          <w:rFonts w:ascii="Times New Roman" w:hAnsi="Times New Roman"/>
          <w:sz w:val="20"/>
          <w:szCs w:val="20"/>
        </w:rPr>
      </w:pPr>
      <w:r w:rsidRPr="00EF2265">
        <w:rPr>
          <w:rFonts w:ascii="Times New Roman" w:hAnsi="Times New Roman"/>
          <w:sz w:val="20"/>
          <w:szCs w:val="20"/>
        </w:rPr>
        <w:t>zodpovedný učiteľ za</w:t>
      </w:r>
      <w:r w:rsidRPr="00EF2265">
        <w:rPr>
          <w:rFonts w:ascii="Times New Roman" w:hAnsi="Times New Roman"/>
          <w:spacing w:val="-3"/>
          <w:sz w:val="20"/>
          <w:szCs w:val="20"/>
        </w:rPr>
        <w:t xml:space="preserve"> </w:t>
      </w:r>
      <w:r w:rsidRPr="00EF2265">
        <w:rPr>
          <w:rFonts w:ascii="Times New Roman" w:hAnsi="Times New Roman"/>
          <w:sz w:val="20"/>
          <w:szCs w:val="20"/>
        </w:rPr>
        <w:t>predmet.</w:t>
      </w:r>
    </w:p>
    <w:p w:rsidR="007431AE" w:rsidRPr="00EF2265" w:rsidRDefault="007431AE" w:rsidP="00E86605">
      <w:pPr>
        <w:tabs>
          <w:tab w:val="left" w:pos="9356"/>
        </w:tabs>
        <w:spacing w:before="199"/>
        <w:ind w:right="118"/>
        <w:jc w:val="left"/>
        <w:rPr>
          <w:rFonts w:ascii="Times New Roman" w:hAnsi="Times New Roman"/>
          <w:sz w:val="20"/>
          <w:szCs w:val="20"/>
        </w:rPr>
      </w:pPr>
      <w:r w:rsidRPr="00EF2265">
        <w:rPr>
          <w:rFonts w:ascii="Times New Roman" w:hAnsi="Times New Roman"/>
          <w:sz w:val="20"/>
          <w:szCs w:val="20"/>
        </w:rPr>
        <w:t>Radu pre kvalitu STU tvorí prorektor pre vzdelávanie a príslušní prodekani zodpovední za vysokoškolské vzdelávanie na jednotlivých fakultách. Rady pre kvalitu fakúlt sú tvorené ako:</w:t>
      </w:r>
    </w:p>
    <w:p w:rsidR="007431AE" w:rsidRPr="00EF2265" w:rsidRDefault="007431AE" w:rsidP="00E86605">
      <w:pPr>
        <w:pStyle w:val="Odsekzoznamu"/>
        <w:widowControl w:val="0"/>
        <w:numPr>
          <w:ilvl w:val="1"/>
          <w:numId w:val="37"/>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rady garantov študijných</w:t>
      </w:r>
      <w:r w:rsidRPr="00EF2265">
        <w:rPr>
          <w:rFonts w:ascii="Times New Roman" w:hAnsi="Times New Roman"/>
          <w:spacing w:val="-5"/>
          <w:sz w:val="20"/>
          <w:szCs w:val="20"/>
        </w:rPr>
        <w:t xml:space="preserve"> </w:t>
      </w:r>
      <w:r w:rsidRPr="00EF2265">
        <w:rPr>
          <w:rFonts w:ascii="Times New Roman" w:hAnsi="Times New Roman"/>
          <w:sz w:val="20"/>
          <w:szCs w:val="20"/>
        </w:rPr>
        <w:t>programov (SvF, SjF, FA, FIIT),</w:t>
      </w:r>
    </w:p>
    <w:p w:rsidR="007431AE" w:rsidRPr="00EF2265" w:rsidRDefault="007431AE" w:rsidP="00E86605">
      <w:pPr>
        <w:pStyle w:val="Odsekzoznamu"/>
        <w:widowControl w:val="0"/>
        <w:numPr>
          <w:ilvl w:val="1"/>
          <w:numId w:val="37"/>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komisie pre hodnotenie a zabezpečovanie</w:t>
      </w:r>
      <w:r w:rsidRPr="00EF2265">
        <w:rPr>
          <w:rFonts w:ascii="Times New Roman" w:hAnsi="Times New Roman"/>
          <w:spacing w:val="-2"/>
          <w:sz w:val="20"/>
          <w:szCs w:val="20"/>
        </w:rPr>
        <w:t xml:space="preserve"> </w:t>
      </w:r>
      <w:r w:rsidRPr="00EF2265">
        <w:rPr>
          <w:rFonts w:ascii="Times New Roman" w:hAnsi="Times New Roman"/>
          <w:sz w:val="20"/>
          <w:szCs w:val="20"/>
        </w:rPr>
        <w:t>kvality (SjF),</w:t>
      </w:r>
    </w:p>
    <w:p w:rsidR="007431AE" w:rsidRPr="00EF2265" w:rsidRDefault="007431AE" w:rsidP="00E86605">
      <w:pPr>
        <w:pStyle w:val="Odsekzoznamu"/>
        <w:widowControl w:val="0"/>
        <w:numPr>
          <w:ilvl w:val="1"/>
          <w:numId w:val="37"/>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komisie pre kvalitu</w:t>
      </w:r>
      <w:r w:rsidRPr="00EF2265">
        <w:rPr>
          <w:rFonts w:ascii="Times New Roman" w:hAnsi="Times New Roman"/>
          <w:spacing w:val="-2"/>
          <w:sz w:val="20"/>
          <w:szCs w:val="20"/>
        </w:rPr>
        <w:t xml:space="preserve"> </w:t>
      </w:r>
      <w:r w:rsidRPr="00EF2265">
        <w:rPr>
          <w:rFonts w:ascii="Times New Roman" w:hAnsi="Times New Roman"/>
          <w:sz w:val="20"/>
          <w:szCs w:val="20"/>
        </w:rPr>
        <w:t>vzdelávania (MTF),</w:t>
      </w:r>
    </w:p>
    <w:p w:rsidR="007431AE" w:rsidRPr="00EF2265" w:rsidRDefault="007431AE" w:rsidP="00E86605">
      <w:pPr>
        <w:pStyle w:val="Odsekzoznamu"/>
        <w:widowControl w:val="0"/>
        <w:numPr>
          <w:ilvl w:val="1"/>
          <w:numId w:val="37"/>
        </w:numPr>
        <w:tabs>
          <w:tab w:val="left" w:pos="9356"/>
        </w:tabs>
        <w:spacing w:after="120" w:line="240" w:lineRule="auto"/>
        <w:ind w:left="567" w:right="119" w:hanging="567"/>
        <w:rPr>
          <w:rFonts w:ascii="Times New Roman" w:hAnsi="Times New Roman"/>
          <w:sz w:val="20"/>
          <w:szCs w:val="20"/>
        </w:rPr>
      </w:pPr>
      <w:r w:rsidRPr="00EF2265">
        <w:rPr>
          <w:rFonts w:ascii="Times New Roman" w:hAnsi="Times New Roman"/>
          <w:sz w:val="20"/>
          <w:szCs w:val="20"/>
        </w:rPr>
        <w:t>pedagogické rady, prípadne pedagogické</w:t>
      </w:r>
      <w:r w:rsidRPr="00EF2265">
        <w:rPr>
          <w:rFonts w:ascii="Times New Roman" w:hAnsi="Times New Roman"/>
          <w:spacing w:val="-4"/>
          <w:sz w:val="20"/>
          <w:szCs w:val="20"/>
        </w:rPr>
        <w:t xml:space="preserve"> </w:t>
      </w:r>
      <w:r w:rsidRPr="00EF2265">
        <w:rPr>
          <w:rFonts w:ascii="Times New Roman" w:hAnsi="Times New Roman"/>
          <w:sz w:val="20"/>
          <w:szCs w:val="20"/>
        </w:rPr>
        <w:t>komisie (FCHPT, UM).</w:t>
      </w:r>
    </w:p>
    <w:p w:rsidR="007431AE" w:rsidRPr="00EF2265" w:rsidRDefault="007431AE" w:rsidP="00E86605">
      <w:pPr>
        <w:tabs>
          <w:tab w:val="left" w:pos="9356"/>
        </w:tabs>
        <w:spacing w:before="120"/>
        <w:ind w:right="118"/>
        <w:jc w:val="left"/>
        <w:rPr>
          <w:rFonts w:ascii="Times New Roman" w:hAnsi="Times New Roman"/>
          <w:sz w:val="20"/>
          <w:szCs w:val="20"/>
        </w:rPr>
      </w:pPr>
      <w:r w:rsidRPr="00EF2265">
        <w:rPr>
          <w:rFonts w:ascii="Times New Roman" w:hAnsi="Times New Roman"/>
          <w:sz w:val="20"/>
          <w:szCs w:val="20"/>
        </w:rPr>
        <w:t>Na STU a jej fakultách sa na naplnenie všetkých požiadaviek v súlade s</w:t>
      </w:r>
      <w:r w:rsidRPr="00EF2265">
        <w:rPr>
          <w:rFonts w:ascii="Times New Roman" w:hAnsi="Times New Roman"/>
          <w:spacing w:val="22"/>
          <w:sz w:val="20"/>
          <w:szCs w:val="20"/>
        </w:rPr>
        <w:t xml:space="preserve"> </w:t>
      </w:r>
      <w:r w:rsidRPr="00EF2265">
        <w:rPr>
          <w:rFonts w:ascii="Times New Roman" w:hAnsi="Times New Roman"/>
          <w:sz w:val="20"/>
          <w:szCs w:val="20"/>
        </w:rPr>
        <w:t>plnením VSK používajú nasledovné</w:t>
      </w:r>
      <w:r w:rsidRPr="00EF2265">
        <w:rPr>
          <w:rFonts w:ascii="Times New Roman" w:hAnsi="Times New Roman"/>
          <w:spacing w:val="-2"/>
          <w:sz w:val="20"/>
          <w:szCs w:val="20"/>
        </w:rPr>
        <w:t xml:space="preserve"> </w:t>
      </w:r>
      <w:r w:rsidRPr="00EF2265">
        <w:rPr>
          <w:rFonts w:ascii="Times New Roman" w:hAnsi="Times New Roman"/>
          <w:sz w:val="20"/>
          <w:szCs w:val="20"/>
        </w:rPr>
        <w:t>nástroje:</w:t>
      </w:r>
    </w:p>
    <w:p w:rsidR="007431AE" w:rsidRPr="00EF2265" w:rsidRDefault="007431AE" w:rsidP="00E86605">
      <w:pPr>
        <w:pStyle w:val="Odsekzoznamu"/>
        <w:widowControl w:val="0"/>
        <w:numPr>
          <w:ilvl w:val="1"/>
          <w:numId w:val="38"/>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zapájanie</w:t>
      </w:r>
      <w:r w:rsidRPr="00EF2265">
        <w:rPr>
          <w:rFonts w:ascii="Times New Roman" w:hAnsi="Times New Roman"/>
          <w:spacing w:val="22"/>
          <w:sz w:val="20"/>
          <w:szCs w:val="20"/>
        </w:rPr>
        <w:t xml:space="preserve"> </w:t>
      </w:r>
      <w:r w:rsidRPr="00EF2265">
        <w:rPr>
          <w:rFonts w:ascii="Times New Roman" w:hAnsi="Times New Roman"/>
          <w:sz w:val="20"/>
          <w:szCs w:val="20"/>
        </w:rPr>
        <w:t>študentov</w:t>
      </w:r>
      <w:r w:rsidRPr="00EF2265">
        <w:rPr>
          <w:rFonts w:ascii="Times New Roman" w:hAnsi="Times New Roman"/>
          <w:spacing w:val="21"/>
          <w:sz w:val="20"/>
          <w:szCs w:val="20"/>
        </w:rPr>
        <w:t xml:space="preserve"> </w:t>
      </w:r>
      <w:r w:rsidRPr="00EF2265">
        <w:rPr>
          <w:rFonts w:ascii="Times New Roman" w:hAnsi="Times New Roman"/>
          <w:sz w:val="20"/>
          <w:szCs w:val="20"/>
        </w:rPr>
        <w:t>všetkých</w:t>
      </w:r>
      <w:r w:rsidRPr="00EF2265">
        <w:rPr>
          <w:rFonts w:ascii="Times New Roman" w:hAnsi="Times New Roman"/>
          <w:spacing w:val="22"/>
          <w:sz w:val="20"/>
          <w:szCs w:val="20"/>
        </w:rPr>
        <w:t xml:space="preserve"> </w:t>
      </w:r>
      <w:r w:rsidRPr="00EF2265">
        <w:rPr>
          <w:rFonts w:ascii="Times New Roman" w:hAnsi="Times New Roman"/>
          <w:sz w:val="20"/>
          <w:szCs w:val="20"/>
        </w:rPr>
        <w:t>stupňov</w:t>
      </w:r>
      <w:r w:rsidRPr="00EF2265">
        <w:rPr>
          <w:rFonts w:ascii="Times New Roman" w:hAnsi="Times New Roman"/>
          <w:spacing w:val="21"/>
          <w:sz w:val="20"/>
          <w:szCs w:val="20"/>
        </w:rPr>
        <w:t xml:space="preserve"> </w:t>
      </w:r>
      <w:r w:rsidRPr="00EF2265">
        <w:rPr>
          <w:rFonts w:ascii="Times New Roman" w:hAnsi="Times New Roman"/>
          <w:sz w:val="20"/>
          <w:szCs w:val="20"/>
        </w:rPr>
        <w:t>štúdia</w:t>
      </w:r>
      <w:r w:rsidRPr="00EF2265">
        <w:rPr>
          <w:rFonts w:ascii="Times New Roman" w:hAnsi="Times New Roman"/>
          <w:spacing w:val="19"/>
          <w:sz w:val="20"/>
          <w:szCs w:val="20"/>
        </w:rPr>
        <w:t xml:space="preserve"> </w:t>
      </w:r>
      <w:r w:rsidRPr="00EF2265">
        <w:rPr>
          <w:rFonts w:ascii="Times New Roman" w:hAnsi="Times New Roman"/>
          <w:sz w:val="20"/>
          <w:szCs w:val="20"/>
        </w:rPr>
        <w:t>do</w:t>
      </w:r>
      <w:r w:rsidRPr="00EF2265">
        <w:rPr>
          <w:rFonts w:ascii="Times New Roman" w:hAnsi="Times New Roman"/>
          <w:spacing w:val="20"/>
          <w:sz w:val="20"/>
          <w:szCs w:val="20"/>
        </w:rPr>
        <w:t xml:space="preserve"> </w:t>
      </w:r>
      <w:r w:rsidRPr="00EF2265">
        <w:rPr>
          <w:rFonts w:ascii="Times New Roman" w:hAnsi="Times New Roman"/>
          <w:sz w:val="20"/>
          <w:szCs w:val="20"/>
        </w:rPr>
        <w:t>výskumnej</w:t>
      </w:r>
      <w:r w:rsidRPr="00EF2265">
        <w:rPr>
          <w:rFonts w:ascii="Times New Roman" w:hAnsi="Times New Roman"/>
          <w:spacing w:val="22"/>
          <w:sz w:val="20"/>
          <w:szCs w:val="20"/>
        </w:rPr>
        <w:t xml:space="preserve"> </w:t>
      </w:r>
      <w:r w:rsidRPr="00EF2265">
        <w:rPr>
          <w:rFonts w:ascii="Times New Roman" w:hAnsi="Times New Roman"/>
          <w:sz w:val="20"/>
          <w:szCs w:val="20"/>
        </w:rPr>
        <w:t>a</w:t>
      </w:r>
      <w:r w:rsidRPr="00EF2265">
        <w:rPr>
          <w:rFonts w:ascii="Times New Roman" w:hAnsi="Times New Roman"/>
          <w:spacing w:val="21"/>
          <w:sz w:val="20"/>
          <w:szCs w:val="20"/>
        </w:rPr>
        <w:t xml:space="preserve"> </w:t>
      </w:r>
      <w:r w:rsidRPr="00EF2265">
        <w:rPr>
          <w:rFonts w:ascii="Times New Roman" w:hAnsi="Times New Roman"/>
          <w:sz w:val="20"/>
          <w:szCs w:val="20"/>
        </w:rPr>
        <w:t>inej</w:t>
      </w:r>
      <w:r w:rsidRPr="00EF2265">
        <w:rPr>
          <w:rFonts w:ascii="Times New Roman" w:hAnsi="Times New Roman"/>
          <w:spacing w:val="19"/>
          <w:sz w:val="20"/>
          <w:szCs w:val="20"/>
        </w:rPr>
        <w:t xml:space="preserve"> </w:t>
      </w:r>
      <w:r w:rsidRPr="00EF2265">
        <w:rPr>
          <w:rFonts w:ascii="Times New Roman" w:hAnsi="Times New Roman"/>
          <w:sz w:val="20"/>
          <w:szCs w:val="20"/>
        </w:rPr>
        <w:t>tvorivej</w:t>
      </w:r>
      <w:r w:rsidRPr="00EF2265">
        <w:rPr>
          <w:rFonts w:ascii="Times New Roman" w:hAnsi="Times New Roman"/>
          <w:spacing w:val="22"/>
          <w:sz w:val="20"/>
          <w:szCs w:val="20"/>
        </w:rPr>
        <w:t xml:space="preserve"> </w:t>
      </w:r>
      <w:r w:rsidRPr="00EF2265">
        <w:rPr>
          <w:rFonts w:ascii="Times New Roman" w:hAnsi="Times New Roman"/>
          <w:sz w:val="20"/>
          <w:szCs w:val="20"/>
        </w:rPr>
        <w:t>činnosti vrátane</w:t>
      </w:r>
      <w:r w:rsidRPr="00EF2265">
        <w:rPr>
          <w:rFonts w:ascii="Times New Roman" w:hAnsi="Times New Roman"/>
          <w:spacing w:val="-3"/>
          <w:sz w:val="20"/>
          <w:szCs w:val="20"/>
        </w:rPr>
        <w:t xml:space="preserve"> </w:t>
      </w:r>
      <w:r w:rsidRPr="00EF2265">
        <w:rPr>
          <w:rFonts w:ascii="Times New Roman" w:hAnsi="Times New Roman"/>
          <w:sz w:val="20"/>
          <w:szCs w:val="20"/>
        </w:rPr>
        <w:t>inžinierskej,</w:t>
      </w:r>
    </w:p>
    <w:p w:rsidR="007431AE" w:rsidRPr="00EF2265" w:rsidRDefault="007431AE" w:rsidP="00E86605">
      <w:pPr>
        <w:pStyle w:val="Odsekzoznamu"/>
        <w:widowControl w:val="0"/>
        <w:numPr>
          <w:ilvl w:val="1"/>
          <w:numId w:val="38"/>
        </w:numPr>
        <w:tabs>
          <w:tab w:val="left" w:pos="9356"/>
        </w:tabs>
        <w:spacing w:after="0" w:line="240" w:lineRule="auto"/>
        <w:ind w:left="567" w:right="107"/>
        <w:rPr>
          <w:rFonts w:ascii="Times New Roman" w:hAnsi="Times New Roman"/>
          <w:sz w:val="20"/>
          <w:szCs w:val="20"/>
        </w:rPr>
      </w:pPr>
      <w:r w:rsidRPr="00EF2265">
        <w:rPr>
          <w:rFonts w:ascii="Times New Roman" w:hAnsi="Times New Roman"/>
          <w:sz w:val="20"/>
          <w:szCs w:val="20"/>
        </w:rPr>
        <w:t>vykonávanie revízií všetkých študijných programov s cieľom optimalizácie a</w:t>
      </w:r>
      <w:r w:rsidRPr="00EF2265">
        <w:rPr>
          <w:rFonts w:ascii="Times New Roman" w:hAnsi="Times New Roman"/>
          <w:spacing w:val="-6"/>
          <w:sz w:val="20"/>
          <w:szCs w:val="20"/>
        </w:rPr>
        <w:t xml:space="preserve"> </w:t>
      </w:r>
      <w:r w:rsidRPr="00EF2265">
        <w:rPr>
          <w:rFonts w:ascii="Times New Roman" w:hAnsi="Times New Roman"/>
          <w:sz w:val="20"/>
          <w:szCs w:val="20"/>
        </w:rPr>
        <w:t xml:space="preserve">zvýšenia efektívnosti aj v </w:t>
      </w:r>
      <w:r w:rsidRPr="00EF2265">
        <w:rPr>
          <w:rFonts w:ascii="Times New Roman" w:hAnsi="Times New Roman"/>
          <w:sz w:val="20"/>
          <w:szCs w:val="20"/>
        </w:rPr>
        <w:lastRenderedPageBreak/>
        <w:t>nadväznosti na dostupné ľudské zdroje, požiadavky</w:t>
      </w:r>
      <w:r w:rsidRPr="00EF2265">
        <w:rPr>
          <w:rFonts w:ascii="Times New Roman" w:hAnsi="Times New Roman"/>
          <w:spacing w:val="-18"/>
          <w:sz w:val="20"/>
          <w:szCs w:val="20"/>
        </w:rPr>
        <w:t xml:space="preserve"> </w:t>
      </w:r>
      <w:r w:rsidRPr="00EF2265">
        <w:rPr>
          <w:rFonts w:ascii="Times New Roman" w:hAnsi="Times New Roman"/>
          <w:sz w:val="20"/>
          <w:szCs w:val="20"/>
        </w:rPr>
        <w:t>spoločného univerzitného profilu absolventa, požiadavky praxe a možnosť</w:t>
      </w:r>
      <w:r w:rsidRPr="00EF2265">
        <w:rPr>
          <w:rFonts w:ascii="Times New Roman" w:hAnsi="Times New Roman"/>
          <w:spacing w:val="38"/>
          <w:sz w:val="20"/>
          <w:szCs w:val="20"/>
        </w:rPr>
        <w:t xml:space="preserve"> </w:t>
      </w:r>
      <w:r w:rsidRPr="00EF2265">
        <w:rPr>
          <w:rFonts w:ascii="Times New Roman" w:hAnsi="Times New Roman"/>
          <w:sz w:val="20"/>
          <w:szCs w:val="20"/>
        </w:rPr>
        <w:t>individuálnej profilácie,</w:t>
      </w:r>
    </w:p>
    <w:p w:rsidR="007431AE" w:rsidRPr="00EF2265" w:rsidRDefault="007431AE" w:rsidP="00E86605">
      <w:pPr>
        <w:pStyle w:val="Odsekzoznamu"/>
        <w:widowControl w:val="0"/>
        <w:numPr>
          <w:ilvl w:val="1"/>
          <w:numId w:val="38"/>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modernizovanie vzdelávania s ohľadom na najnovšie poznatky v didaktike a na meniace sa potreby nastupujúcich</w:t>
      </w:r>
      <w:r w:rsidRPr="00EF2265">
        <w:rPr>
          <w:rFonts w:ascii="Times New Roman" w:hAnsi="Times New Roman"/>
          <w:spacing w:val="-9"/>
          <w:sz w:val="20"/>
          <w:szCs w:val="20"/>
        </w:rPr>
        <w:t xml:space="preserve"> </w:t>
      </w:r>
      <w:r w:rsidRPr="00EF2265">
        <w:rPr>
          <w:rFonts w:ascii="Times New Roman" w:hAnsi="Times New Roman"/>
          <w:sz w:val="20"/>
          <w:szCs w:val="20"/>
        </w:rPr>
        <w:t>študentov,</w:t>
      </w:r>
    </w:p>
    <w:p w:rsidR="007431AE" w:rsidRPr="00EF2265" w:rsidRDefault="007431AE" w:rsidP="00E86605">
      <w:pPr>
        <w:pStyle w:val="Odsekzoznamu"/>
        <w:widowControl w:val="0"/>
        <w:numPr>
          <w:ilvl w:val="1"/>
          <w:numId w:val="38"/>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systematické zabezpečovanie kvality študijných</w:t>
      </w:r>
      <w:r w:rsidRPr="00EF2265">
        <w:rPr>
          <w:rFonts w:ascii="Times New Roman" w:hAnsi="Times New Roman"/>
          <w:spacing w:val="-3"/>
          <w:sz w:val="20"/>
          <w:szCs w:val="20"/>
        </w:rPr>
        <w:t xml:space="preserve"> </w:t>
      </w:r>
      <w:r w:rsidRPr="00EF2265">
        <w:rPr>
          <w:rFonts w:ascii="Times New Roman" w:hAnsi="Times New Roman"/>
          <w:sz w:val="20"/>
          <w:szCs w:val="20"/>
        </w:rPr>
        <w:t>programov,</w:t>
      </w:r>
    </w:p>
    <w:p w:rsidR="007431AE" w:rsidRPr="00EF2265" w:rsidRDefault="007431AE" w:rsidP="00E86605">
      <w:pPr>
        <w:pStyle w:val="Odsekzoznamu"/>
        <w:widowControl w:val="0"/>
        <w:numPr>
          <w:ilvl w:val="1"/>
          <w:numId w:val="38"/>
        </w:numPr>
        <w:tabs>
          <w:tab w:val="left" w:pos="9356"/>
        </w:tabs>
        <w:spacing w:before="2" w:after="0" w:line="240" w:lineRule="auto"/>
        <w:ind w:left="567" w:right="118"/>
        <w:rPr>
          <w:rFonts w:ascii="Times New Roman" w:hAnsi="Times New Roman"/>
          <w:sz w:val="20"/>
          <w:szCs w:val="20"/>
        </w:rPr>
      </w:pPr>
      <w:r w:rsidRPr="00EF2265">
        <w:rPr>
          <w:rFonts w:ascii="Times New Roman" w:hAnsi="Times New Roman"/>
          <w:sz w:val="20"/>
          <w:szCs w:val="20"/>
        </w:rPr>
        <w:t>zvyšovanie efektívnosti systému interného hodnotenia a zabezpečenia</w:t>
      </w:r>
      <w:r w:rsidRPr="00EF2265">
        <w:rPr>
          <w:rFonts w:ascii="Times New Roman" w:hAnsi="Times New Roman"/>
          <w:spacing w:val="-12"/>
          <w:sz w:val="20"/>
          <w:szCs w:val="20"/>
        </w:rPr>
        <w:t xml:space="preserve"> </w:t>
      </w:r>
      <w:r w:rsidRPr="00EF2265">
        <w:rPr>
          <w:rFonts w:ascii="Times New Roman" w:hAnsi="Times New Roman"/>
          <w:sz w:val="20"/>
          <w:szCs w:val="20"/>
        </w:rPr>
        <w:t>kvality,</w:t>
      </w:r>
    </w:p>
    <w:p w:rsidR="007431AE" w:rsidRPr="00EF2265" w:rsidRDefault="007431AE" w:rsidP="00E86605">
      <w:pPr>
        <w:pStyle w:val="Odsekzoznamu"/>
        <w:widowControl w:val="0"/>
        <w:numPr>
          <w:ilvl w:val="1"/>
          <w:numId w:val="38"/>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zavádzanie systému poradenských a konzultačných služieb, ktorý pomôže</w:t>
      </w:r>
      <w:r w:rsidRPr="00EF2265">
        <w:rPr>
          <w:rFonts w:ascii="Times New Roman" w:hAnsi="Times New Roman"/>
          <w:spacing w:val="5"/>
          <w:sz w:val="20"/>
          <w:szCs w:val="20"/>
        </w:rPr>
        <w:t xml:space="preserve"> </w:t>
      </w:r>
      <w:r w:rsidRPr="00EF2265">
        <w:rPr>
          <w:rFonts w:ascii="Times New Roman" w:hAnsi="Times New Roman"/>
          <w:sz w:val="20"/>
          <w:szCs w:val="20"/>
        </w:rPr>
        <w:t>zlepšiť úspešnosť, najmä v prvom stupni štúdia s využitím aktivity a kolegiality</w:t>
      </w:r>
      <w:r w:rsidRPr="00EF2265">
        <w:rPr>
          <w:rFonts w:ascii="Times New Roman" w:hAnsi="Times New Roman"/>
          <w:spacing w:val="-25"/>
          <w:sz w:val="20"/>
          <w:szCs w:val="20"/>
        </w:rPr>
        <w:t xml:space="preserve"> </w:t>
      </w:r>
      <w:r w:rsidRPr="00EF2265">
        <w:rPr>
          <w:rFonts w:ascii="Times New Roman" w:hAnsi="Times New Roman"/>
          <w:sz w:val="20"/>
          <w:szCs w:val="20"/>
        </w:rPr>
        <w:t>študentov, podporovanie rovnosti príležitostí pri prijímaní na štúdium pre sociálne</w:t>
      </w:r>
      <w:r w:rsidRPr="00EF2265">
        <w:rPr>
          <w:rFonts w:ascii="Times New Roman" w:hAnsi="Times New Roman"/>
          <w:spacing w:val="16"/>
          <w:sz w:val="20"/>
          <w:szCs w:val="20"/>
        </w:rPr>
        <w:t xml:space="preserve"> </w:t>
      </w:r>
      <w:r w:rsidRPr="00EF2265">
        <w:rPr>
          <w:rFonts w:ascii="Times New Roman" w:hAnsi="Times New Roman"/>
          <w:sz w:val="20"/>
          <w:szCs w:val="20"/>
        </w:rPr>
        <w:t>slabšie skupiny systémom</w:t>
      </w:r>
      <w:r w:rsidRPr="00EF2265">
        <w:rPr>
          <w:rFonts w:ascii="Times New Roman" w:hAnsi="Times New Roman"/>
          <w:spacing w:val="-1"/>
          <w:sz w:val="20"/>
          <w:szCs w:val="20"/>
        </w:rPr>
        <w:t xml:space="preserve"> </w:t>
      </w:r>
      <w:r w:rsidRPr="00EF2265">
        <w:rPr>
          <w:rFonts w:ascii="Times New Roman" w:hAnsi="Times New Roman"/>
          <w:sz w:val="20"/>
          <w:szCs w:val="20"/>
        </w:rPr>
        <w:t>štipendií,</w:t>
      </w:r>
    </w:p>
    <w:p w:rsidR="007431AE" w:rsidRPr="00EF2265" w:rsidRDefault="007431AE" w:rsidP="00E86605">
      <w:pPr>
        <w:pStyle w:val="Odsekzoznamu"/>
        <w:widowControl w:val="0"/>
        <w:numPr>
          <w:ilvl w:val="1"/>
          <w:numId w:val="38"/>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zefektívňovanie procesu prijímacieho konania na druhý a tretí stupeň</w:t>
      </w:r>
      <w:r w:rsidRPr="00EF2265">
        <w:rPr>
          <w:rFonts w:ascii="Times New Roman" w:hAnsi="Times New Roman"/>
          <w:spacing w:val="16"/>
          <w:sz w:val="20"/>
          <w:szCs w:val="20"/>
        </w:rPr>
        <w:t xml:space="preserve"> </w:t>
      </w:r>
      <w:r w:rsidRPr="00EF2265">
        <w:rPr>
          <w:rFonts w:ascii="Times New Roman" w:hAnsi="Times New Roman"/>
          <w:sz w:val="20"/>
          <w:szCs w:val="20"/>
        </w:rPr>
        <w:t>štúdia a zlepšovanie marketingu pre nábor študentov v</w:t>
      </w:r>
      <w:r w:rsidRPr="00EF2265">
        <w:rPr>
          <w:rFonts w:ascii="Times New Roman" w:hAnsi="Times New Roman"/>
          <w:spacing w:val="-5"/>
          <w:sz w:val="20"/>
          <w:szCs w:val="20"/>
        </w:rPr>
        <w:t> </w:t>
      </w:r>
      <w:r w:rsidRPr="00EF2265">
        <w:rPr>
          <w:rFonts w:ascii="Times New Roman" w:hAnsi="Times New Roman"/>
          <w:sz w:val="20"/>
          <w:szCs w:val="20"/>
        </w:rPr>
        <w:t>zahraničí,</w:t>
      </w:r>
    </w:p>
    <w:p w:rsidR="007431AE" w:rsidRPr="00EF2265" w:rsidRDefault="007431AE" w:rsidP="00E86605">
      <w:pPr>
        <w:pStyle w:val="Odsekzoznamu"/>
        <w:widowControl w:val="0"/>
        <w:numPr>
          <w:ilvl w:val="1"/>
          <w:numId w:val="38"/>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posilňovanie výučby jazykov, vrátane slovenského jazyka pre</w:t>
      </w:r>
      <w:r w:rsidRPr="00EF2265">
        <w:rPr>
          <w:rFonts w:ascii="Times New Roman" w:hAnsi="Times New Roman"/>
          <w:spacing w:val="39"/>
          <w:sz w:val="20"/>
          <w:szCs w:val="20"/>
        </w:rPr>
        <w:t xml:space="preserve"> </w:t>
      </w:r>
      <w:r w:rsidRPr="00EF2265">
        <w:rPr>
          <w:rFonts w:ascii="Times New Roman" w:hAnsi="Times New Roman"/>
          <w:sz w:val="20"/>
          <w:szCs w:val="20"/>
        </w:rPr>
        <w:t>zahraničných študentov v rámci prípravy na štúdium v</w:t>
      </w:r>
      <w:r w:rsidRPr="00EF2265">
        <w:rPr>
          <w:rFonts w:ascii="Times New Roman" w:hAnsi="Times New Roman"/>
          <w:spacing w:val="-3"/>
          <w:sz w:val="20"/>
          <w:szCs w:val="20"/>
        </w:rPr>
        <w:t> </w:t>
      </w:r>
      <w:r w:rsidRPr="00EF2265">
        <w:rPr>
          <w:rFonts w:ascii="Times New Roman" w:hAnsi="Times New Roman"/>
          <w:sz w:val="20"/>
          <w:szCs w:val="20"/>
        </w:rPr>
        <w:t>slovenčine,</w:t>
      </w:r>
    </w:p>
    <w:p w:rsidR="007431AE" w:rsidRPr="00EF2265" w:rsidRDefault="007431AE" w:rsidP="00E86605">
      <w:pPr>
        <w:pStyle w:val="Odsekzoznamu"/>
        <w:widowControl w:val="0"/>
        <w:numPr>
          <w:ilvl w:val="1"/>
          <w:numId w:val="38"/>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zvyšovanie počtu študijných programov poskytovaných vo svetovom</w:t>
      </w:r>
      <w:r w:rsidRPr="00EF2265">
        <w:rPr>
          <w:rFonts w:ascii="Times New Roman" w:hAnsi="Times New Roman"/>
          <w:spacing w:val="-7"/>
          <w:sz w:val="20"/>
          <w:szCs w:val="20"/>
        </w:rPr>
        <w:t xml:space="preserve"> </w:t>
      </w:r>
      <w:r w:rsidRPr="00EF2265">
        <w:rPr>
          <w:rFonts w:ascii="Times New Roman" w:hAnsi="Times New Roman"/>
          <w:sz w:val="20"/>
          <w:szCs w:val="20"/>
        </w:rPr>
        <w:t>jazyku,</w:t>
      </w:r>
    </w:p>
    <w:p w:rsidR="007431AE" w:rsidRPr="00EF2265" w:rsidRDefault="007431AE" w:rsidP="00E86605">
      <w:pPr>
        <w:pStyle w:val="Odsekzoznamu"/>
        <w:widowControl w:val="0"/>
        <w:numPr>
          <w:ilvl w:val="1"/>
          <w:numId w:val="38"/>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posilňovanie mechanizmov umožňujúcich študentom absolvovať časť štúdia v zahraničí,</w:t>
      </w:r>
    </w:p>
    <w:p w:rsidR="007431AE" w:rsidRPr="00EF2265" w:rsidRDefault="007431AE" w:rsidP="00E86605">
      <w:pPr>
        <w:pStyle w:val="Odsekzoznamu"/>
        <w:widowControl w:val="0"/>
        <w:numPr>
          <w:ilvl w:val="1"/>
          <w:numId w:val="38"/>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podporovanie</w:t>
      </w:r>
      <w:r w:rsidRPr="00EF2265">
        <w:rPr>
          <w:rFonts w:ascii="Times New Roman" w:hAnsi="Times New Roman"/>
          <w:spacing w:val="20"/>
          <w:sz w:val="20"/>
          <w:szCs w:val="20"/>
        </w:rPr>
        <w:t xml:space="preserve"> </w:t>
      </w:r>
      <w:r w:rsidRPr="00EF2265">
        <w:rPr>
          <w:rFonts w:ascii="Times New Roman" w:hAnsi="Times New Roman"/>
          <w:sz w:val="20"/>
          <w:szCs w:val="20"/>
        </w:rPr>
        <w:t>zdravého</w:t>
      </w:r>
      <w:r w:rsidRPr="00EF2265">
        <w:rPr>
          <w:rFonts w:ascii="Times New Roman" w:hAnsi="Times New Roman"/>
          <w:spacing w:val="17"/>
          <w:sz w:val="20"/>
          <w:szCs w:val="20"/>
        </w:rPr>
        <w:t xml:space="preserve"> </w:t>
      </w:r>
      <w:r w:rsidRPr="00EF2265">
        <w:rPr>
          <w:rFonts w:ascii="Times New Roman" w:hAnsi="Times New Roman"/>
          <w:sz w:val="20"/>
          <w:szCs w:val="20"/>
        </w:rPr>
        <w:t>životného</w:t>
      </w:r>
      <w:r w:rsidRPr="00EF2265">
        <w:rPr>
          <w:rFonts w:ascii="Times New Roman" w:hAnsi="Times New Roman"/>
          <w:spacing w:val="22"/>
          <w:sz w:val="20"/>
          <w:szCs w:val="20"/>
        </w:rPr>
        <w:t xml:space="preserve"> </w:t>
      </w:r>
      <w:r w:rsidRPr="00EF2265">
        <w:rPr>
          <w:rFonts w:ascii="Times New Roman" w:hAnsi="Times New Roman"/>
          <w:sz w:val="20"/>
          <w:szCs w:val="20"/>
        </w:rPr>
        <w:t>štýlu</w:t>
      </w:r>
      <w:r w:rsidRPr="00EF2265">
        <w:rPr>
          <w:rFonts w:ascii="Times New Roman" w:hAnsi="Times New Roman"/>
          <w:spacing w:val="20"/>
          <w:sz w:val="20"/>
          <w:szCs w:val="20"/>
        </w:rPr>
        <w:t xml:space="preserve"> </w:t>
      </w:r>
      <w:r w:rsidRPr="00EF2265">
        <w:rPr>
          <w:rFonts w:ascii="Times New Roman" w:hAnsi="Times New Roman"/>
          <w:sz w:val="20"/>
          <w:szCs w:val="20"/>
        </w:rPr>
        <w:t>a</w:t>
      </w:r>
      <w:r w:rsidRPr="00EF2265">
        <w:rPr>
          <w:rFonts w:ascii="Times New Roman" w:hAnsi="Times New Roman"/>
          <w:spacing w:val="20"/>
          <w:sz w:val="20"/>
          <w:szCs w:val="20"/>
        </w:rPr>
        <w:t xml:space="preserve"> </w:t>
      </w:r>
      <w:r w:rsidRPr="00EF2265">
        <w:rPr>
          <w:rFonts w:ascii="Times New Roman" w:hAnsi="Times New Roman"/>
          <w:sz w:val="20"/>
          <w:szCs w:val="20"/>
        </w:rPr>
        <w:t>športových</w:t>
      </w:r>
      <w:r w:rsidRPr="00EF2265">
        <w:rPr>
          <w:rFonts w:ascii="Times New Roman" w:hAnsi="Times New Roman"/>
          <w:spacing w:val="22"/>
          <w:sz w:val="20"/>
          <w:szCs w:val="20"/>
        </w:rPr>
        <w:t xml:space="preserve"> </w:t>
      </w:r>
      <w:r w:rsidRPr="00EF2265">
        <w:rPr>
          <w:rFonts w:ascii="Times New Roman" w:hAnsi="Times New Roman"/>
          <w:sz w:val="20"/>
          <w:szCs w:val="20"/>
        </w:rPr>
        <w:t>aktivít</w:t>
      </w:r>
      <w:r w:rsidRPr="00EF2265">
        <w:rPr>
          <w:rFonts w:ascii="Times New Roman" w:hAnsi="Times New Roman"/>
          <w:spacing w:val="20"/>
          <w:sz w:val="20"/>
          <w:szCs w:val="20"/>
        </w:rPr>
        <w:t xml:space="preserve"> </w:t>
      </w:r>
      <w:r w:rsidRPr="00EF2265">
        <w:rPr>
          <w:rFonts w:ascii="Times New Roman" w:hAnsi="Times New Roman"/>
          <w:sz w:val="20"/>
          <w:szCs w:val="20"/>
        </w:rPr>
        <w:t>v</w:t>
      </w:r>
      <w:r w:rsidRPr="00EF2265">
        <w:rPr>
          <w:rFonts w:ascii="Times New Roman" w:hAnsi="Times New Roman"/>
          <w:spacing w:val="19"/>
          <w:sz w:val="20"/>
          <w:szCs w:val="20"/>
        </w:rPr>
        <w:t xml:space="preserve"> </w:t>
      </w:r>
      <w:r w:rsidRPr="00EF2265">
        <w:rPr>
          <w:rFonts w:ascii="Times New Roman" w:hAnsi="Times New Roman"/>
          <w:sz w:val="20"/>
          <w:szCs w:val="20"/>
        </w:rPr>
        <w:t>rámci</w:t>
      </w:r>
      <w:r w:rsidRPr="00EF2265">
        <w:rPr>
          <w:rFonts w:ascii="Times New Roman" w:hAnsi="Times New Roman"/>
          <w:spacing w:val="20"/>
          <w:sz w:val="20"/>
          <w:szCs w:val="20"/>
        </w:rPr>
        <w:t xml:space="preserve"> </w:t>
      </w:r>
      <w:r w:rsidRPr="00EF2265">
        <w:rPr>
          <w:rFonts w:ascii="Times New Roman" w:hAnsi="Times New Roman"/>
          <w:sz w:val="20"/>
          <w:szCs w:val="20"/>
        </w:rPr>
        <w:t>i</w:t>
      </w:r>
      <w:r w:rsidRPr="00EF2265">
        <w:rPr>
          <w:rFonts w:ascii="Times New Roman" w:hAnsi="Times New Roman"/>
          <w:spacing w:val="20"/>
          <w:sz w:val="20"/>
          <w:szCs w:val="20"/>
        </w:rPr>
        <w:t xml:space="preserve"> </w:t>
      </w:r>
      <w:r w:rsidRPr="00EF2265">
        <w:rPr>
          <w:rFonts w:ascii="Times New Roman" w:hAnsi="Times New Roman"/>
          <w:sz w:val="20"/>
          <w:szCs w:val="20"/>
        </w:rPr>
        <w:t>mimo</w:t>
      </w:r>
      <w:r w:rsidRPr="00EF2265">
        <w:rPr>
          <w:rFonts w:ascii="Times New Roman" w:hAnsi="Times New Roman"/>
          <w:spacing w:val="22"/>
          <w:sz w:val="20"/>
          <w:szCs w:val="20"/>
        </w:rPr>
        <w:t xml:space="preserve"> </w:t>
      </w:r>
      <w:r w:rsidRPr="00EF2265">
        <w:rPr>
          <w:rFonts w:ascii="Times New Roman" w:hAnsi="Times New Roman"/>
          <w:sz w:val="20"/>
          <w:szCs w:val="20"/>
        </w:rPr>
        <w:t>rámca študijných</w:t>
      </w:r>
      <w:r w:rsidRPr="00EF2265">
        <w:rPr>
          <w:rFonts w:ascii="Times New Roman" w:hAnsi="Times New Roman"/>
          <w:spacing w:val="-2"/>
          <w:sz w:val="20"/>
          <w:szCs w:val="20"/>
        </w:rPr>
        <w:t xml:space="preserve"> </w:t>
      </w:r>
      <w:r w:rsidRPr="00EF2265">
        <w:rPr>
          <w:rFonts w:ascii="Times New Roman" w:hAnsi="Times New Roman"/>
          <w:sz w:val="20"/>
          <w:szCs w:val="20"/>
        </w:rPr>
        <w:t>povinností,</w:t>
      </w:r>
    </w:p>
    <w:p w:rsidR="007431AE" w:rsidRPr="00EF2265" w:rsidRDefault="007431AE" w:rsidP="00E86605">
      <w:pPr>
        <w:pStyle w:val="Odsekzoznamu"/>
        <w:widowControl w:val="0"/>
        <w:numPr>
          <w:ilvl w:val="1"/>
          <w:numId w:val="38"/>
        </w:numPr>
        <w:tabs>
          <w:tab w:val="left" w:pos="9356"/>
        </w:tabs>
        <w:spacing w:before="2" w:after="0" w:line="240" w:lineRule="auto"/>
        <w:ind w:left="567" w:right="118"/>
        <w:rPr>
          <w:rFonts w:ascii="Times New Roman" w:hAnsi="Times New Roman"/>
          <w:sz w:val="20"/>
          <w:szCs w:val="20"/>
        </w:rPr>
      </w:pPr>
      <w:r w:rsidRPr="00EF2265">
        <w:rPr>
          <w:rFonts w:ascii="Times New Roman" w:hAnsi="Times New Roman"/>
          <w:sz w:val="20"/>
          <w:szCs w:val="20"/>
        </w:rPr>
        <w:t>vyhodnocovanie kvality vzdelávacieho procesu a učiteľov študentmi</w:t>
      </w:r>
      <w:r w:rsidRPr="00EF2265">
        <w:rPr>
          <w:rFonts w:ascii="Times New Roman" w:hAnsi="Times New Roman"/>
          <w:spacing w:val="34"/>
          <w:sz w:val="20"/>
          <w:szCs w:val="20"/>
        </w:rPr>
        <w:t xml:space="preserve"> </w:t>
      </w:r>
      <w:r w:rsidRPr="00EF2265">
        <w:rPr>
          <w:rFonts w:ascii="Times New Roman" w:hAnsi="Times New Roman"/>
          <w:sz w:val="20"/>
          <w:szCs w:val="20"/>
        </w:rPr>
        <w:t>(monitoring spokojnosti študentov) dotazníkovým</w:t>
      </w:r>
      <w:r w:rsidRPr="00EF2265">
        <w:rPr>
          <w:rFonts w:ascii="Times New Roman" w:hAnsi="Times New Roman"/>
          <w:spacing w:val="-2"/>
          <w:sz w:val="20"/>
          <w:szCs w:val="20"/>
        </w:rPr>
        <w:t xml:space="preserve"> </w:t>
      </w:r>
      <w:r w:rsidRPr="00EF2265">
        <w:rPr>
          <w:rFonts w:ascii="Times New Roman" w:hAnsi="Times New Roman"/>
          <w:sz w:val="20"/>
          <w:szCs w:val="20"/>
        </w:rPr>
        <w:t>prieskumom,</w:t>
      </w:r>
    </w:p>
    <w:p w:rsidR="007431AE" w:rsidRPr="00EF2265" w:rsidRDefault="007431AE" w:rsidP="00E86605">
      <w:pPr>
        <w:pStyle w:val="Odsekzoznamu"/>
        <w:widowControl w:val="0"/>
        <w:numPr>
          <w:ilvl w:val="1"/>
          <w:numId w:val="38"/>
        </w:numPr>
        <w:tabs>
          <w:tab w:val="left" w:pos="9356"/>
        </w:tabs>
        <w:spacing w:after="0" w:line="240" w:lineRule="auto"/>
        <w:ind w:left="567" w:right="118"/>
        <w:rPr>
          <w:rFonts w:ascii="Times New Roman" w:hAnsi="Times New Roman"/>
          <w:sz w:val="20"/>
          <w:szCs w:val="20"/>
        </w:rPr>
      </w:pPr>
      <w:r w:rsidRPr="00EF2265">
        <w:rPr>
          <w:rFonts w:ascii="Times New Roman" w:hAnsi="Times New Roman"/>
          <w:sz w:val="20"/>
          <w:szCs w:val="20"/>
        </w:rPr>
        <w:t>monitorovanie úspešnosti študentov a zamestnanosti</w:t>
      </w:r>
      <w:r w:rsidRPr="00EF2265">
        <w:rPr>
          <w:rFonts w:ascii="Times New Roman" w:hAnsi="Times New Roman"/>
          <w:spacing w:val="-7"/>
          <w:sz w:val="20"/>
          <w:szCs w:val="20"/>
        </w:rPr>
        <w:t xml:space="preserve"> </w:t>
      </w:r>
      <w:r w:rsidRPr="00EF2265">
        <w:rPr>
          <w:rFonts w:ascii="Times New Roman" w:hAnsi="Times New Roman"/>
          <w:sz w:val="20"/>
          <w:szCs w:val="20"/>
        </w:rPr>
        <w:t>absolventov,</w:t>
      </w:r>
    </w:p>
    <w:p w:rsidR="007431AE" w:rsidRPr="00EF2265" w:rsidRDefault="007431AE" w:rsidP="00E86605">
      <w:pPr>
        <w:pStyle w:val="Odsekzoznamu"/>
        <w:widowControl w:val="0"/>
        <w:numPr>
          <w:ilvl w:val="1"/>
          <w:numId w:val="38"/>
        </w:numPr>
        <w:tabs>
          <w:tab w:val="left" w:pos="9356"/>
        </w:tabs>
        <w:spacing w:after="120" w:line="240" w:lineRule="auto"/>
        <w:ind w:left="567" w:right="119" w:hanging="567"/>
        <w:contextualSpacing w:val="0"/>
        <w:rPr>
          <w:rFonts w:ascii="Times New Roman" w:hAnsi="Times New Roman"/>
          <w:sz w:val="20"/>
          <w:szCs w:val="20"/>
        </w:rPr>
      </w:pPr>
      <w:r w:rsidRPr="00EF2265">
        <w:rPr>
          <w:rFonts w:ascii="Times New Roman" w:hAnsi="Times New Roman"/>
          <w:sz w:val="20"/>
          <w:szCs w:val="20"/>
        </w:rPr>
        <w:t>monitorovanie spätnej väzby od absolventov, zamestnávateľov a ďalších</w:t>
      </w:r>
      <w:r w:rsidRPr="00EF2265">
        <w:rPr>
          <w:rFonts w:ascii="Times New Roman" w:hAnsi="Times New Roman"/>
          <w:spacing w:val="49"/>
          <w:sz w:val="20"/>
          <w:szCs w:val="20"/>
        </w:rPr>
        <w:t xml:space="preserve"> </w:t>
      </w:r>
      <w:r w:rsidRPr="00EF2265">
        <w:rPr>
          <w:rFonts w:ascii="Times New Roman" w:hAnsi="Times New Roman"/>
          <w:sz w:val="20"/>
          <w:szCs w:val="20"/>
        </w:rPr>
        <w:t>interných a externých</w:t>
      </w:r>
      <w:r w:rsidRPr="00EF2265">
        <w:rPr>
          <w:rFonts w:ascii="Times New Roman" w:hAnsi="Times New Roman"/>
          <w:spacing w:val="1"/>
          <w:sz w:val="20"/>
          <w:szCs w:val="20"/>
        </w:rPr>
        <w:t xml:space="preserve"> </w:t>
      </w:r>
      <w:r w:rsidRPr="00EF2265">
        <w:rPr>
          <w:rFonts w:ascii="Times New Roman" w:hAnsi="Times New Roman"/>
          <w:sz w:val="20"/>
          <w:szCs w:val="20"/>
        </w:rPr>
        <w:t>hodnotiteľov.</w:t>
      </w:r>
    </w:p>
    <w:p w:rsidR="007431AE" w:rsidRPr="00EF2265" w:rsidRDefault="007431AE" w:rsidP="00E86605">
      <w:pPr>
        <w:tabs>
          <w:tab w:val="left" w:pos="9356"/>
        </w:tabs>
        <w:ind w:right="118"/>
        <w:jc w:val="left"/>
        <w:rPr>
          <w:rFonts w:ascii="Times New Roman" w:hAnsi="Times New Roman"/>
          <w:sz w:val="20"/>
          <w:szCs w:val="20"/>
        </w:rPr>
      </w:pPr>
      <w:r w:rsidRPr="00EF2265">
        <w:rPr>
          <w:rFonts w:ascii="Times New Roman" w:hAnsi="Times New Roman"/>
          <w:sz w:val="20"/>
          <w:szCs w:val="20"/>
        </w:rPr>
        <w:t>Zapojenie študentov do zabezpečovania a zlepšovania vnútorného systému kvality</w:t>
      </w:r>
      <w:r w:rsidRPr="00EF2265">
        <w:rPr>
          <w:rFonts w:ascii="Times New Roman" w:hAnsi="Times New Roman"/>
          <w:spacing w:val="8"/>
          <w:sz w:val="20"/>
          <w:szCs w:val="20"/>
        </w:rPr>
        <w:t xml:space="preserve"> </w:t>
      </w:r>
      <w:r w:rsidRPr="00EF2265">
        <w:rPr>
          <w:rFonts w:ascii="Times New Roman" w:hAnsi="Times New Roman"/>
          <w:sz w:val="20"/>
          <w:szCs w:val="20"/>
        </w:rPr>
        <w:t>je realizované viacerými</w:t>
      </w:r>
      <w:r w:rsidRPr="00EF2265">
        <w:rPr>
          <w:rFonts w:ascii="Times New Roman" w:hAnsi="Times New Roman"/>
          <w:spacing w:val="-2"/>
          <w:sz w:val="20"/>
          <w:szCs w:val="20"/>
        </w:rPr>
        <w:t xml:space="preserve"> </w:t>
      </w:r>
      <w:r w:rsidRPr="00EF2265">
        <w:rPr>
          <w:rFonts w:ascii="Times New Roman" w:hAnsi="Times New Roman"/>
          <w:sz w:val="20"/>
          <w:szCs w:val="20"/>
        </w:rPr>
        <w:t>spôsobmi:</w:t>
      </w:r>
    </w:p>
    <w:p w:rsidR="007431AE" w:rsidRPr="00EF2265" w:rsidRDefault="007431AE" w:rsidP="00E86605">
      <w:pPr>
        <w:pStyle w:val="Odsekzoznamu"/>
        <w:widowControl w:val="0"/>
        <w:numPr>
          <w:ilvl w:val="1"/>
          <w:numId w:val="39"/>
        </w:numPr>
        <w:tabs>
          <w:tab w:val="left" w:pos="9356"/>
        </w:tabs>
        <w:spacing w:after="0" w:line="240" w:lineRule="auto"/>
        <w:ind w:left="567" w:right="109"/>
        <w:rPr>
          <w:rFonts w:ascii="Times New Roman" w:hAnsi="Times New Roman"/>
          <w:sz w:val="20"/>
          <w:szCs w:val="20"/>
        </w:rPr>
      </w:pPr>
      <w:r w:rsidRPr="00EF2265">
        <w:rPr>
          <w:rFonts w:ascii="Times New Roman" w:hAnsi="Times New Roman"/>
          <w:sz w:val="20"/>
          <w:szCs w:val="20"/>
        </w:rPr>
        <w:t>vyjadrovaním</w:t>
      </w:r>
      <w:r w:rsidRPr="00EF2265">
        <w:rPr>
          <w:rFonts w:ascii="Times New Roman" w:hAnsi="Times New Roman"/>
          <w:spacing w:val="39"/>
          <w:sz w:val="20"/>
          <w:szCs w:val="20"/>
        </w:rPr>
        <w:t xml:space="preserve"> </w:t>
      </w:r>
      <w:r w:rsidRPr="00EF2265">
        <w:rPr>
          <w:rFonts w:ascii="Times New Roman" w:hAnsi="Times New Roman"/>
          <w:sz w:val="20"/>
          <w:szCs w:val="20"/>
        </w:rPr>
        <w:t>sa</w:t>
      </w:r>
      <w:r w:rsidRPr="00EF2265">
        <w:rPr>
          <w:rFonts w:ascii="Times New Roman" w:hAnsi="Times New Roman"/>
          <w:spacing w:val="41"/>
          <w:sz w:val="20"/>
          <w:szCs w:val="20"/>
        </w:rPr>
        <w:t xml:space="preserve"> </w:t>
      </w:r>
      <w:r w:rsidRPr="00EF2265">
        <w:rPr>
          <w:rFonts w:ascii="Times New Roman" w:hAnsi="Times New Roman"/>
          <w:sz w:val="20"/>
          <w:szCs w:val="20"/>
        </w:rPr>
        <w:t>ku</w:t>
      </w:r>
      <w:r w:rsidRPr="00EF2265">
        <w:rPr>
          <w:rFonts w:ascii="Times New Roman" w:hAnsi="Times New Roman"/>
          <w:spacing w:val="40"/>
          <w:sz w:val="20"/>
          <w:szCs w:val="20"/>
        </w:rPr>
        <w:t xml:space="preserve"> </w:t>
      </w:r>
      <w:r w:rsidRPr="00EF2265">
        <w:rPr>
          <w:rFonts w:ascii="Times New Roman" w:hAnsi="Times New Roman"/>
          <w:sz w:val="20"/>
          <w:szCs w:val="20"/>
        </w:rPr>
        <w:t>kvalite</w:t>
      </w:r>
      <w:r w:rsidRPr="00EF2265">
        <w:rPr>
          <w:rFonts w:ascii="Times New Roman" w:hAnsi="Times New Roman"/>
          <w:spacing w:val="42"/>
          <w:sz w:val="20"/>
          <w:szCs w:val="20"/>
        </w:rPr>
        <w:t xml:space="preserve"> </w:t>
      </w:r>
      <w:r w:rsidRPr="00EF2265">
        <w:rPr>
          <w:rFonts w:ascii="Times New Roman" w:hAnsi="Times New Roman"/>
          <w:sz w:val="20"/>
          <w:szCs w:val="20"/>
        </w:rPr>
        <w:t>vzdelávania</w:t>
      </w:r>
      <w:r w:rsidRPr="00EF2265">
        <w:rPr>
          <w:rFonts w:ascii="Times New Roman" w:hAnsi="Times New Roman"/>
          <w:spacing w:val="39"/>
          <w:sz w:val="20"/>
          <w:szCs w:val="20"/>
        </w:rPr>
        <w:t xml:space="preserve"> </w:t>
      </w:r>
      <w:r w:rsidRPr="00EF2265">
        <w:rPr>
          <w:rFonts w:ascii="Times New Roman" w:hAnsi="Times New Roman"/>
          <w:sz w:val="20"/>
          <w:szCs w:val="20"/>
        </w:rPr>
        <w:t>a učiteľov,</w:t>
      </w:r>
      <w:r w:rsidRPr="00EF2265">
        <w:rPr>
          <w:rFonts w:ascii="Times New Roman" w:hAnsi="Times New Roman"/>
          <w:spacing w:val="41"/>
          <w:sz w:val="20"/>
          <w:szCs w:val="20"/>
        </w:rPr>
        <w:t xml:space="preserve"> </w:t>
      </w:r>
      <w:r w:rsidRPr="00EF2265">
        <w:rPr>
          <w:rFonts w:ascii="Times New Roman" w:hAnsi="Times New Roman"/>
          <w:sz w:val="20"/>
          <w:szCs w:val="20"/>
        </w:rPr>
        <w:t>resp.</w:t>
      </w:r>
      <w:r w:rsidRPr="00EF2265">
        <w:rPr>
          <w:rFonts w:ascii="Times New Roman" w:hAnsi="Times New Roman"/>
          <w:spacing w:val="40"/>
          <w:sz w:val="20"/>
          <w:szCs w:val="20"/>
        </w:rPr>
        <w:t xml:space="preserve"> </w:t>
      </w:r>
      <w:r w:rsidRPr="00EF2265">
        <w:rPr>
          <w:rFonts w:ascii="Times New Roman" w:hAnsi="Times New Roman"/>
          <w:sz w:val="20"/>
          <w:szCs w:val="20"/>
        </w:rPr>
        <w:t>k</w:t>
      </w:r>
      <w:r w:rsidRPr="00EF2265">
        <w:rPr>
          <w:rFonts w:ascii="Times New Roman" w:hAnsi="Times New Roman"/>
          <w:spacing w:val="40"/>
          <w:sz w:val="20"/>
          <w:szCs w:val="20"/>
        </w:rPr>
        <w:t xml:space="preserve"> </w:t>
      </w:r>
      <w:r w:rsidRPr="00EF2265">
        <w:rPr>
          <w:rFonts w:ascii="Times New Roman" w:hAnsi="Times New Roman"/>
          <w:sz w:val="20"/>
          <w:szCs w:val="20"/>
        </w:rPr>
        <w:t>ostatným</w:t>
      </w:r>
      <w:r w:rsidRPr="00EF2265">
        <w:rPr>
          <w:rFonts w:ascii="Times New Roman" w:hAnsi="Times New Roman"/>
          <w:spacing w:val="38"/>
          <w:sz w:val="20"/>
          <w:szCs w:val="20"/>
        </w:rPr>
        <w:t xml:space="preserve"> </w:t>
      </w:r>
      <w:r w:rsidRPr="00EF2265">
        <w:rPr>
          <w:rFonts w:ascii="Times New Roman" w:hAnsi="Times New Roman"/>
          <w:sz w:val="20"/>
          <w:szCs w:val="20"/>
        </w:rPr>
        <w:t>záležitostiam štúdia na fakultách prostredníctvom anonymného hodnotenia;</w:t>
      </w:r>
      <w:r w:rsidRPr="00EF2265">
        <w:rPr>
          <w:rFonts w:ascii="Times New Roman" w:hAnsi="Times New Roman"/>
          <w:spacing w:val="42"/>
          <w:sz w:val="20"/>
          <w:szCs w:val="20"/>
        </w:rPr>
        <w:t xml:space="preserve"> </w:t>
      </w:r>
      <w:r w:rsidRPr="00EF2265">
        <w:rPr>
          <w:rFonts w:ascii="Times New Roman" w:hAnsi="Times New Roman"/>
          <w:sz w:val="20"/>
          <w:szCs w:val="20"/>
        </w:rPr>
        <w:t>výsledky anonymných  hodnotení sa na jednotlivých fakultách štatisticky spracovávajú a predkladajú na vedenie</w:t>
      </w:r>
      <w:r w:rsidRPr="00EF2265">
        <w:rPr>
          <w:rFonts w:ascii="Times New Roman" w:hAnsi="Times New Roman"/>
          <w:spacing w:val="-1"/>
          <w:sz w:val="20"/>
          <w:szCs w:val="20"/>
        </w:rPr>
        <w:t xml:space="preserve"> </w:t>
      </w:r>
      <w:r w:rsidRPr="00EF2265">
        <w:rPr>
          <w:rFonts w:ascii="Times New Roman" w:hAnsi="Times New Roman"/>
          <w:sz w:val="20"/>
          <w:szCs w:val="20"/>
        </w:rPr>
        <w:t>fakulty,</w:t>
      </w:r>
    </w:p>
    <w:p w:rsidR="007431AE" w:rsidRPr="00EF2265" w:rsidRDefault="007431AE" w:rsidP="00E86605">
      <w:pPr>
        <w:pStyle w:val="Odsekzoznamu"/>
        <w:widowControl w:val="0"/>
        <w:numPr>
          <w:ilvl w:val="1"/>
          <w:numId w:val="39"/>
        </w:numPr>
        <w:tabs>
          <w:tab w:val="left" w:pos="9356"/>
        </w:tabs>
        <w:spacing w:after="0" w:line="240" w:lineRule="auto"/>
        <w:ind w:left="567" w:right="108"/>
        <w:rPr>
          <w:rFonts w:ascii="Times New Roman" w:hAnsi="Times New Roman"/>
          <w:sz w:val="20"/>
          <w:szCs w:val="20"/>
        </w:rPr>
      </w:pPr>
      <w:r w:rsidRPr="00EF2265">
        <w:rPr>
          <w:rFonts w:ascii="Times New Roman" w:hAnsi="Times New Roman"/>
          <w:sz w:val="20"/>
          <w:szCs w:val="20"/>
        </w:rPr>
        <w:t>vyjadrením svojich názorov, podnetov, prostredníctvom Black Boxu a</w:t>
      </w:r>
      <w:r w:rsidRPr="00EF2265">
        <w:rPr>
          <w:rFonts w:ascii="Times New Roman" w:hAnsi="Times New Roman"/>
          <w:spacing w:val="-17"/>
          <w:sz w:val="20"/>
          <w:szCs w:val="20"/>
        </w:rPr>
        <w:t xml:space="preserve"> </w:t>
      </w:r>
      <w:r w:rsidRPr="00EF2265">
        <w:rPr>
          <w:rFonts w:ascii="Times New Roman" w:hAnsi="Times New Roman"/>
          <w:sz w:val="20"/>
          <w:szCs w:val="20"/>
        </w:rPr>
        <w:t>Facebooku (elektronicky cez web stránky); tieto námety sa zbierajú a analyzujú priebežne</w:t>
      </w:r>
      <w:r w:rsidRPr="00EF2265">
        <w:rPr>
          <w:rFonts w:ascii="Times New Roman" w:hAnsi="Times New Roman"/>
          <w:spacing w:val="-16"/>
          <w:sz w:val="20"/>
          <w:szCs w:val="20"/>
        </w:rPr>
        <w:t xml:space="preserve"> </w:t>
      </w:r>
      <w:r w:rsidRPr="00EF2265">
        <w:rPr>
          <w:rFonts w:ascii="Times New Roman" w:hAnsi="Times New Roman"/>
          <w:sz w:val="20"/>
          <w:szCs w:val="20"/>
        </w:rPr>
        <w:t>počas celého akademického roka a podľa závažnosti sa operatívne</w:t>
      </w:r>
      <w:r w:rsidRPr="00EF2265">
        <w:rPr>
          <w:rFonts w:ascii="Times New Roman" w:hAnsi="Times New Roman"/>
          <w:spacing w:val="-7"/>
          <w:sz w:val="20"/>
          <w:szCs w:val="20"/>
        </w:rPr>
        <w:t xml:space="preserve"> </w:t>
      </w:r>
      <w:r w:rsidRPr="00EF2265">
        <w:rPr>
          <w:rFonts w:ascii="Times New Roman" w:hAnsi="Times New Roman"/>
          <w:sz w:val="20"/>
          <w:szCs w:val="20"/>
        </w:rPr>
        <w:t>riešia,</w:t>
      </w:r>
    </w:p>
    <w:p w:rsidR="007431AE" w:rsidRPr="00EF2265" w:rsidRDefault="007431AE" w:rsidP="00E86605">
      <w:pPr>
        <w:pStyle w:val="Odsekzoznamu"/>
        <w:widowControl w:val="0"/>
        <w:numPr>
          <w:ilvl w:val="1"/>
          <w:numId w:val="39"/>
        </w:numPr>
        <w:tabs>
          <w:tab w:val="left" w:pos="9356"/>
        </w:tabs>
        <w:spacing w:before="27" w:after="0" w:line="240" w:lineRule="auto"/>
        <w:ind w:left="567" w:right="112"/>
        <w:rPr>
          <w:rFonts w:ascii="Times New Roman" w:hAnsi="Times New Roman"/>
          <w:sz w:val="20"/>
          <w:szCs w:val="20"/>
        </w:rPr>
      </w:pPr>
      <w:r w:rsidRPr="00EF2265">
        <w:rPr>
          <w:rFonts w:ascii="Times New Roman" w:hAnsi="Times New Roman"/>
          <w:sz w:val="20"/>
          <w:szCs w:val="20"/>
        </w:rPr>
        <w:t>podávaním</w:t>
      </w:r>
      <w:r w:rsidRPr="00EF2265">
        <w:rPr>
          <w:rFonts w:ascii="Times New Roman" w:hAnsi="Times New Roman"/>
          <w:spacing w:val="44"/>
          <w:sz w:val="20"/>
          <w:szCs w:val="20"/>
        </w:rPr>
        <w:t xml:space="preserve"> </w:t>
      </w:r>
      <w:r w:rsidRPr="00EF2265">
        <w:rPr>
          <w:rFonts w:ascii="Times New Roman" w:hAnsi="Times New Roman"/>
          <w:sz w:val="20"/>
          <w:szCs w:val="20"/>
        </w:rPr>
        <w:t>sťažností;</w:t>
      </w:r>
      <w:r w:rsidRPr="00EF2265">
        <w:rPr>
          <w:rFonts w:ascii="Times New Roman" w:hAnsi="Times New Roman"/>
          <w:spacing w:val="44"/>
          <w:sz w:val="20"/>
          <w:szCs w:val="20"/>
        </w:rPr>
        <w:t xml:space="preserve"> </w:t>
      </w:r>
      <w:r w:rsidRPr="00EF2265">
        <w:rPr>
          <w:rFonts w:ascii="Times New Roman" w:hAnsi="Times New Roman"/>
          <w:sz w:val="20"/>
          <w:szCs w:val="20"/>
        </w:rPr>
        <w:t>pravidlá</w:t>
      </w:r>
      <w:r w:rsidRPr="00EF2265">
        <w:rPr>
          <w:rFonts w:ascii="Times New Roman" w:hAnsi="Times New Roman"/>
          <w:spacing w:val="44"/>
          <w:sz w:val="20"/>
          <w:szCs w:val="20"/>
        </w:rPr>
        <w:t xml:space="preserve"> </w:t>
      </w:r>
      <w:r w:rsidRPr="00EF2265">
        <w:rPr>
          <w:rFonts w:ascii="Times New Roman" w:hAnsi="Times New Roman"/>
          <w:sz w:val="20"/>
          <w:szCs w:val="20"/>
        </w:rPr>
        <w:t>pre</w:t>
      </w:r>
      <w:r w:rsidRPr="00EF2265">
        <w:rPr>
          <w:rFonts w:ascii="Times New Roman" w:hAnsi="Times New Roman"/>
          <w:spacing w:val="44"/>
          <w:sz w:val="20"/>
          <w:szCs w:val="20"/>
        </w:rPr>
        <w:t xml:space="preserve"> </w:t>
      </w:r>
      <w:r w:rsidRPr="00EF2265">
        <w:rPr>
          <w:rFonts w:ascii="Times New Roman" w:hAnsi="Times New Roman"/>
          <w:sz w:val="20"/>
          <w:szCs w:val="20"/>
        </w:rPr>
        <w:t>vybavovanie</w:t>
      </w:r>
      <w:r w:rsidRPr="00EF2265">
        <w:rPr>
          <w:rFonts w:ascii="Times New Roman" w:hAnsi="Times New Roman"/>
          <w:spacing w:val="44"/>
          <w:sz w:val="20"/>
          <w:szCs w:val="20"/>
        </w:rPr>
        <w:t xml:space="preserve"> </w:t>
      </w:r>
      <w:r w:rsidRPr="00EF2265">
        <w:rPr>
          <w:rFonts w:ascii="Times New Roman" w:hAnsi="Times New Roman"/>
          <w:sz w:val="20"/>
          <w:szCs w:val="20"/>
        </w:rPr>
        <w:t>sťažností</w:t>
      </w:r>
      <w:r w:rsidRPr="00EF2265">
        <w:rPr>
          <w:rFonts w:ascii="Times New Roman" w:hAnsi="Times New Roman"/>
          <w:spacing w:val="44"/>
          <w:sz w:val="20"/>
          <w:szCs w:val="20"/>
        </w:rPr>
        <w:t xml:space="preserve"> </w:t>
      </w:r>
      <w:r w:rsidRPr="00EF2265">
        <w:rPr>
          <w:rFonts w:ascii="Times New Roman" w:hAnsi="Times New Roman"/>
          <w:sz w:val="20"/>
          <w:szCs w:val="20"/>
        </w:rPr>
        <w:t>sú</w:t>
      </w:r>
      <w:r w:rsidRPr="00EF2265">
        <w:rPr>
          <w:rFonts w:ascii="Times New Roman" w:hAnsi="Times New Roman"/>
          <w:spacing w:val="45"/>
          <w:sz w:val="20"/>
          <w:szCs w:val="20"/>
        </w:rPr>
        <w:t xml:space="preserve"> </w:t>
      </w:r>
      <w:r w:rsidRPr="00EF2265">
        <w:rPr>
          <w:rFonts w:ascii="Times New Roman" w:hAnsi="Times New Roman"/>
          <w:sz w:val="20"/>
          <w:szCs w:val="20"/>
        </w:rPr>
        <w:t>určené</w:t>
      </w:r>
      <w:r w:rsidRPr="00EF2265">
        <w:rPr>
          <w:rFonts w:ascii="Times New Roman" w:hAnsi="Times New Roman"/>
          <w:spacing w:val="44"/>
          <w:sz w:val="20"/>
          <w:szCs w:val="20"/>
        </w:rPr>
        <w:t xml:space="preserve"> </w:t>
      </w:r>
      <w:r w:rsidRPr="00EF2265">
        <w:rPr>
          <w:rFonts w:ascii="Times New Roman" w:hAnsi="Times New Roman"/>
          <w:sz w:val="20"/>
          <w:szCs w:val="20"/>
        </w:rPr>
        <w:t>vo</w:t>
      </w:r>
      <w:r w:rsidRPr="00EF2265">
        <w:rPr>
          <w:rFonts w:ascii="Times New Roman" w:hAnsi="Times New Roman"/>
          <w:spacing w:val="44"/>
          <w:sz w:val="20"/>
          <w:szCs w:val="20"/>
        </w:rPr>
        <w:t xml:space="preserve"> </w:t>
      </w:r>
      <w:r w:rsidRPr="00EF2265">
        <w:rPr>
          <w:rFonts w:ascii="Times New Roman" w:hAnsi="Times New Roman"/>
          <w:sz w:val="20"/>
          <w:szCs w:val="20"/>
        </w:rPr>
        <w:t>vnútornej organizačnej a riadiacej norme vydanej</w:t>
      </w:r>
      <w:r w:rsidRPr="00EF2265">
        <w:rPr>
          <w:rFonts w:ascii="Times New Roman" w:hAnsi="Times New Roman"/>
          <w:spacing w:val="-5"/>
          <w:sz w:val="20"/>
          <w:szCs w:val="20"/>
        </w:rPr>
        <w:t xml:space="preserve"> </w:t>
      </w:r>
      <w:r w:rsidRPr="00EF2265">
        <w:rPr>
          <w:rFonts w:ascii="Times New Roman" w:hAnsi="Times New Roman"/>
          <w:sz w:val="20"/>
          <w:szCs w:val="20"/>
        </w:rPr>
        <w:t>rektorom,</w:t>
      </w:r>
    </w:p>
    <w:p w:rsidR="007431AE" w:rsidRPr="00EF2265" w:rsidRDefault="007431AE" w:rsidP="00E86605">
      <w:pPr>
        <w:pStyle w:val="Odsekzoznamu"/>
        <w:widowControl w:val="0"/>
        <w:numPr>
          <w:ilvl w:val="1"/>
          <w:numId w:val="39"/>
        </w:numPr>
        <w:tabs>
          <w:tab w:val="left" w:pos="9356"/>
        </w:tabs>
        <w:spacing w:before="7" w:after="0" w:line="240" w:lineRule="auto"/>
        <w:ind w:left="567" w:right="115"/>
        <w:rPr>
          <w:rFonts w:ascii="Times New Roman" w:hAnsi="Times New Roman"/>
          <w:sz w:val="20"/>
          <w:szCs w:val="20"/>
        </w:rPr>
      </w:pPr>
      <w:r w:rsidRPr="00EF2265">
        <w:rPr>
          <w:rFonts w:ascii="Times New Roman" w:hAnsi="Times New Roman"/>
          <w:sz w:val="20"/>
          <w:szCs w:val="20"/>
        </w:rPr>
        <w:t>zapájaním študentov STU do prieskumov organizovaných externými,</w:t>
      </w:r>
      <w:r w:rsidRPr="00EF2265">
        <w:rPr>
          <w:rFonts w:ascii="Times New Roman" w:hAnsi="Times New Roman"/>
          <w:spacing w:val="22"/>
          <w:sz w:val="20"/>
          <w:szCs w:val="20"/>
        </w:rPr>
        <w:t xml:space="preserve"> </w:t>
      </w:r>
      <w:r w:rsidRPr="00EF2265">
        <w:rPr>
          <w:rFonts w:ascii="Times New Roman" w:hAnsi="Times New Roman"/>
          <w:sz w:val="20"/>
          <w:szCs w:val="20"/>
        </w:rPr>
        <w:t>resp. medzinárodnými</w:t>
      </w:r>
      <w:r w:rsidRPr="00EF2265">
        <w:rPr>
          <w:rFonts w:ascii="Times New Roman" w:hAnsi="Times New Roman"/>
          <w:spacing w:val="-3"/>
          <w:sz w:val="20"/>
          <w:szCs w:val="20"/>
        </w:rPr>
        <w:t xml:space="preserve"> </w:t>
      </w:r>
      <w:r w:rsidRPr="00EF2265">
        <w:rPr>
          <w:rFonts w:ascii="Times New Roman" w:hAnsi="Times New Roman"/>
          <w:sz w:val="20"/>
          <w:szCs w:val="20"/>
        </w:rPr>
        <w:t>organizáciami,</w:t>
      </w:r>
    </w:p>
    <w:p w:rsidR="007431AE" w:rsidRPr="00EF2265" w:rsidRDefault="007431AE" w:rsidP="00E86605">
      <w:pPr>
        <w:pStyle w:val="Odsekzoznamu"/>
        <w:widowControl w:val="0"/>
        <w:numPr>
          <w:ilvl w:val="1"/>
          <w:numId w:val="39"/>
        </w:numPr>
        <w:tabs>
          <w:tab w:val="left" w:pos="9356"/>
        </w:tabs>
        <w:spacing w:after="0" w:line="240" w:lineRule="auto"/>
        <w:ind w:left="567" w:right="108"/>
        <w:rPr>
          <w:rFonts w:ascii="Times New Roman" w:hAnsi="Times New Roman"/>
          <w:sz w:val="20"/>
          <w:szCs w:val="20"/>
        </w:rPr>
      </w:pPr>
      <w:r w:rsidRPr="00EF2265">
        <w:rPr>
          <w:rFonts w:ascii="Times New Roman" w:hAnsi="Times New Roman"/>
          <w:sz w:val="20"/>
          <w:szCs w:val="20"/>
        </w:rPr>
        <w:t>formálnymi aj neformálnymi stretnutiami študentov s riadiacimi</w:t>
      </w:r>
      <w:r w:rsidRPr="00EF2265">
        <w:rPr>
          <w:rFonts w:ascii="Times New Roman" w:hAnsi="Times New Roman"/>
          <w:spacing w:val="2"/>
          <w:sz w:val="20"/>
          <w:szCs w:val="20"/>
        </w:rPr>
        <w:t xml:space="preserve"> </w:t>
      </w:r>
      <w:r w:rsidRPr="00EF2265">
        <w:rPr>
          <w:rFonts w:ascii="Times New Roman" w:hAnsi="Times New Roman"/>
          <w:sz w:val="20"/>
          <w:szCs w:val="20"/>
        </w:rPr>
        <w:t>štruktúrami vzdelávacieho procesu od garantov študijných programov až po vedenia fakúlt a univerzity,</w:t>
      </w:r>
    </w:p>
    <w:p w:rsidR="007431AE" w:rsidRPr="00EF2265" w:rsidRDefault="007431AE" w:rsidP="00E86605">
      <w:pPr>
        <w:pStyle w:val="Odsekzoznamu"/>
        <w:widowControl w:val="0"/>
        <w:numPr>
          <w:ilvl w:val="1"/>
          <w:numId w:val="39"/>
        </w:numPr>
        <w:tabs>
          <w:tab w:val="left" w:pos="9356"/>
        </w:tabs>
        <w:spacing w:after="0" w:line="240" w:lineRule="auto"/>
        <w:ind w:left="567" w:right="107"/>
        <w:rPr>
          <w:rFonts w:ascii="Times New Roman" w:hAnsi="Times New Roman"/>
          <w:sz w:val="20"/>
          <w:szCs w:val="20"/>
        </w:rPr>
      </w:pPr>
      <w:r w:rsidRPr="00EF2265">
        <w:rPr>
          <w:rFonts w:ascii="Times New Roman" w:hAnsi="Times New Roman"/>
          <w:sz w:val="20"/>
          <w:szCs w:val="20"/>
        </w:rPr>
        <w:t>zastúpením študentov v orgánoch akademickej samosprávy, a to v</w:t>
      </w:r>
      <w:r w:rsidRPr="00EF2265">
        <w:rPr>
          <w:rFonts w:ascii="Times New Roman" w:hAnsi="Times New Roman"/>
          <w:spacing w:val="-8"/>
          <w:sz w:val="20"/>
          <w:szCs w:val="20"/>
        </w:rPr>
        <w:t xml:space="preserve"> </w:t>
      </w:r>
      <w:r w:rsidRPr="00EF2265">
        <w:rPr>
          <w:rFonts w:ascii="Times New Roman" w:hAnsi="Times New Roman"/>
          <w:sz w:val="20"/>
          <w:szCs w:val="20"/>
        </w:rPr>
        <w:t>akademických senátoch</w:t>
      </w:r>
      <w:r w:rsidRPr="00EF2265">
        <w:rPr>
          <w:rFonts w:ascii="Times New Roman" w:hAnsi="Times New Roman"/>
          <w:spacing w:val="24"/>
          <w:sz w:val="20"/>
          <w:szCs w:val="20"/>
        </w:rPr>
        <w:t xml:space="preserve"> </w:t>
      </w:r>
      <w:r w:rsidRPr="00EF2265">
        <w:rPr>
          <w:rFonts w:ascii="Times New Roman" w:hAnsi="Times New Roman"/>
          <w:sz w:val="20"/>
          <w:szCs w:val="20"/>
        </w:rPr>
        <w:t>fakúlt</w:t>
      </w:r>
      <w:r w:rsidRPr="00EF2265">
        <w:rPr>
          <w:rFonts w:ascii="Times New Roman" w:hAnsi="Times New Roman"/>
          <w:spacing w:val="22"/>
          <w:sz w:val="20"/>
          <w:szCs w:val="20"/>
        </w:rPr>
        <w:t xml:space="preserve"> </w:t>
      </w:r>
      <w:r w:rsidRPr="00EF2265">
        <w:rPr>
          <w:rFonts w:ascii="Times New Roman" w:hAnsi="Times New Roman"/>
          <w:sz w:val="20"/>
          <w:szCs w:val="20"/>
        </w:rPr>
        <w:t>a</w:t>
      </w:r>
      <w:r w:rsidRPr="00EF2265">
        <w:rPr>
          <w:rFonts w:ascii="Times New Roman" w:hAnsi="Times New Roman"/>
          <w:spacing w:val="1"/>
          <w:sz w:val="20"/>
          <w:szCs w:val="20"/>
        </w:rPr>
        <w:t xml:space="preserve"> </w:t>
      </w:r>
      <w:r w:rsidRPr="00EF2265">
        <w:rPr>
          <w:rFonts w:ascii="Times New Roman" w:hAnsi="Times New Roman"/>
          <w:sz w:val="20"/>
          <w:szCs w:val="20"/>
        </w:rPr>
        <w:t>v</w:t>
      </w:r>
      <w:r w:rsidRPr="00EF2265">
        <w:rPr>
          <w:rFonts w:ascii="Times New Roman" w:hAnsi="Times New Roman"/>
          <w:spacing w:val="-2"/>
          <w:sz w:val="20"/>
          <w:szCs w:val="20"/>
        </w:rPr>
        <w:t xml:space="preserve"> </w:t>
      </w:r>
      <w:r w:rsidRPr="00EF2265">
        <w:rPr>
          <w:rFonts w:ascii="Times New Roman" w:hAnsi="Times New Roman"/>
          <w:sz w:val="20"/>
          <w:szCs w:val="20"/>
        </w:rPr>
        <w:t>AS</w:t>
      </w:r>
      <w:r w:rsidRPr="00EF2265">
        <w:rPr>
          <w:rFonts w:ascii="Times New Roman" w:hAnsi="Times New Roman"/>
          <w:spacing w:val="22"/>
          <w:sz w:val="20"/>
          <w:szCs w:val="20"/>
        </w:rPr>
        <w:t xml:space="preserve"> </w:t>
      </w:r>
      <w:r w:rsidRPr="00EF2265">
        <w:rPr>
          <w:rFonts w:ascii="Times New Roman" w:hAnsi="Times New Roman"/>
          <w:sz w:val="20"/>
          <w:szCs w:val="20"/>
        </w:rPr>
        <w:t>STU</w:t>
      </w:r>
      <w:r w:rsidRPr="00EF2265">
        <w:rPr>
          <w:rFonts w:ascii="Times New Roman" w:hAnsi="Times New Roman"/>
          <w:spacing w:val="24"/>
          <w:sz w:val="20"/>
          <w:szCs w:val="20"/>
        </w:rPr>
        <w:t xml:space="preserve"> </w:t>
      </w:r>
      <w:r w:rsidRPr="00EF2265">
        <w:rPr>
          <w:rFonts w:ascii="Times New Roman" w:hAnsi="Times New Roman"/>
          <w:sz w:val="20"/>
          <w:szCs w:val="20"/>
        </w:rPr>
        <w:t>a</w:t>
      </w:r>
      <w:r w:rsidRPr="00EF2265">
        <w:rPr>
          <w:rFonts w:ascii="Times New Roman" w:hAnsi="Times New Roman"/>
          <w:spacing w:val="-1"/>
          <w:sz w:val="20"/>
          <w:szCs w:val="20"/>
        </w:rPr>
        <w:t xml:space="preserve"> </w:t>
      </w:r>
      <w:r w:rsidRPr="00EF2265">
        <w:rPr>
          <w:rFonts w:ascii="Times New Roman" w:hAnsi="Times New Roman"/>
          <w:sz w:val="20"/>
          <w:szCs w:val="20"/>
        </w:rPr>
        <w:t>disciplinárnych</w:t>
      </w:r>
      <w:r w:rsidRPr="00EF2265">
        <w:rPr>
          <w:rFonts w:ascii="Times New Roman" w:hAnsi="Times New Roman"/>
          <w:spacing w:val="24"/>
          <w:sz w:val="20"/>
          <w:szCs w:val="20"/>
        </w:rPr>
        <w:t xml:space="preserve"> </w:t>
      </w:r>
      <w:r w:rsidRPr="00EF2265">
        <w:rPr>
          <w:rFonts w:ascii="Times New Roman" w:hAnsi="Times New Roman"/>
          <w:sz w:val="20"/>
          <w:szCs w:val="20"/>
        </w:rPr>
        <w:t>komisiách</w:t>
      </w:r>
      <w:r w:rsidRPr="00EF2265">
        <w:rPr>
          <w:rFonts w:ascii="Times New Roman" w:hAnsi="Times New Roman"/>
          <w:spacing w:val="24"/>
          <w:sz w:val="20"/>
          <w:szCs w:val="20"/>
        </w:rPr>
        <w:t xml:space="preserve"> </w:t>
      </w:r>
      <w:r w:rsidRPr="00EF2265">
        <w:rPr>
          <w:rFonts w:ascii="Times New Roman" w:hAnsi="Times New Roman"/>
          <w:sz w:val="20"/>
          <w:szCs w:val="20"/>
        </w:rPr>
        <w:t>fakúlt</w:t>
      </w:r>
      <w:r w:rsidRPr="00EF2265">
        <w:rPr>
          <w:rFonts w:ascii="Times New Roman" w:hAnsi="Times New Roman"/>
          <w:spacing w:val="28"/>
          <w:sz w:val="20"/>
          <w:szCs w:val="20"/>
        </w:rPr>
        <w:t xml:space="preserve"> </w:t>
      </w:r>
      <w:r w:rsidRPr="00EF2265">
        <w:rPr>
          <w:rFonts w:ascii="Times New Roman" w:hAnsi="Times New Roman"/>
          <w:sz w:val="20"/>
          <w:szCs w:val="20"/>
        </w:rPr>
        <w:t>STU</w:t>
      </w:r>
      <w:r w:rsidRPr="00EF2265">
        <w:rPr>
          <w:rFonts w:ascii="Times New Roman" w:hAnsi="Times New Roman"/>
          <w:spacing w:val="24"/>
          <w:sz w:val="20"/>
          <w:szCs w:val="20"/>
        </w:rPr>
        <w:t xml:space="preserve"> </w:t>
      </w:r>
      <w:r w:rsidRPr="00EF2265">
        <w:rPr>
          <w:rFonts w:ascii="Times New Roman" w:hAnsi="Times New Roman"/>
          <w:sz w:val="20"/>
          <w:szCs w:val="20"/>
        </w:rPr>
        <w:t>a</w:t>
      </w:r>
      <w:r w:rsidRPr="00EF2265">
        <w:rPr>
          <w:rFonts w:ascii="Times New Roman" w:hAnsi="Times New Roman"/>
          <w:spacing w:val="-1"/>
          <w:sz w:val="20"/>
          <w:szCs w:val="20"/>
        </w:rPr>
        <w:t xml:space="preserve"> </w:t>
      </w:r>
      <w:r w:rsidRPr="00EF2265">
        <w:rPr>
          <w:rFonts w:ascii="Times New Roman" w:hAnsi="Times New Roman"/>
          <w:sz w:val="20"/>
          <w:szCs w:val="20"/>
        </w:rPr>
        <w:t>v</w:t>
      </w:r>
      <w:r w:rsidRPr="00EF2265">
        <w:rPr>
          <w:rFonts w:ascii="Times New Roman" w:hAnsi="Times New Roman"/>
          <w:spacing w:val="-4"/>
          <w:sz w:val="20"/>
          <w:szCs w:val="20"/>
        </w:rPr>
        <w:t xml:space="preserve"> </w:t>
      </w:r>
      <w:r w:rsidRPr="00EF2265">
        <w:rPr>
          <w:rFonts w:ascii="Times New Roman" w:hAnsi="Times New Roman"/>
          <w:sz w:val="20"/>
          <w:szCs w:val="20"/>
        </w:rPr>
        <w:t>disciplinárnej komisii STU a účasťou na rokovaniach kolégií dekana a kolégiu rektora, vedení</w:t>
      </w:r>
      <w:r w:rsidRPr="00EF2265">
        <w:rPr>
          <w:rFonts w:ascii="Times New Roman" w:hAnsi="Times New Roman"/>
          <w:spacing w:val="1"/>
          <w:sz w:val="20"/>
          <w:szCs w:val="20"/>
        </w:rPr>
        <w:t xml:space="preserve"> </w:t>
      </w:r>
      <w:r w:rsidRPr="00EF2265">
        <w:rPr>
          <w:rFonts w:ascii="Times New Roman" w:hAnsi="Times New Roman"/>
          <w:sz w:val="20"/>
          <w:szCs w:val="20"/>
        </w:rPr>
        <w:t>fakúlt a vedení STU a vedeckých rád fakúlt a Vedeckej rade</w:t>
      </w:r>
      <w:r w:rsidRPr="00EF2265">
        <w:rPr>
          <w:rFonts w:ascii="Times New Roman" w:hAnsi="Times New Roman"/>
          <w:spacing w:val="2"/>
          <w:sz w:val="20"/>
          <w:szCs w:val="20"/>
        </w:rPr>
        <w:t xml:space="preserve"> </w:t>
      </w:r>
      <w:r w:rsidRPr="00EF2265">
        <w:rPr>
          <w:rFonts w:ascii="Times New Roman" w:hAnsi="Times New Roman"/>
          <w:sz w:val="20"/>
          <w:szCs w:val="20"/>
        </w:rPr>
        <w:t>STU,</w:t>
      </w:r>
    </w:p>
    <w:p w:rsidR="007431AE" w:rsidRPr="00EF2265" w:rsidRDefault="007431AE" w:rsidP="00E86605">
      <w:pPr>
        <w:pStyle w:val="Odsekzoznamu"/>
        <w:widowControl w:val="0"/>
        <w:numPr>
          <w:ilvl w:val="1"/>
          <w:numId w:val="39"/>
        </w:numPr>
        <w:tabs>
          <w:tab w:val="left" w:pos="9356"/>
        </w:tabs>
        <w:spacing w:after="0" w:line="240" w:lineRule="auto"/>
        <w:ind w:left="567" w:right="108"/>
        <w:rPr>
          <w:rFonts w:ascii="Times New Roman" w:hAnsi="Times New Roman"/>
          <w:sz w:val="20"/>
          <w:szCs w:val="20"/>
        </w:rPr>
      </w:pPr>
      <w:r w:rsidRPr="00EF2265">
        <w:rPr>
          <w:rFonts w:ascii="Times New Roman" w:hAnsi="Times New Roman"/>
          <w:sz w:val="20"/>
          <w:szCs w:val="20"/>
        </w:rPr>
        <w:t>podieľaním sa na príprave, prerokúvaní a schvaľovaní materiálov a</w:t>
      </w:r>
      <w:r w:rsidRPr="00EF2265">
        <w:rPr>
          <w:rFonts w:ascii="Times New Roman" w:hAnsi="Times New Roman"/>
          <w:spacing w:val="-29"/>
          <w:sz w:val="20"/>
          <w:szCs w:val="20"/>
        </w:rPr>
        <w:t xml:space="preserve"> </w:t>
      </w:r>
      <w:r w:rsidRPr="00EF2265">
        <w:rPr>
          <w:rFonts w:ascii="Times New Roman" w:hAnsi="Times New Roman"/>
          <w:sz w:val="20"/>
          <w:szCs w:val="20"/>
        </w:rPr>
        <w:t>vnútorných predpisov v oblasti vzdelávania,</w:t>
      </w:r>
    </w:p>
    <w:p w:rsidR="007431AE" w:rsidRPr="00EF2265" w:rsidRDefault="007431AE" w:rsidP="00E86605">
      <w:pPr>
        <w:pStyle w:val="Odsekzoznamu"/>
        <w:widowControl w:val="0"/>
        <w:numPr>
          <w:ilvl w:val="1"/>
          <w:numId w:val="39"/>
        </w:numPr>
        <w:tabs>
          <w:tab w:val="left" w:pos="9356"/>
        </w:tabs>
        <w:spacing w:after="120" w:line="240" w:lineRule="auto"/>
        <w:ind w:left="567" w:right="113" w:hanging="567"/>
        <w:rPr>
          <w:rFonts w:ascii="Times New Roman" w:hAnsi="Times New Roman"/>
          <w:sz w:val="20"/>
          <w:szCs w:val="20"/>
        </w:rPr>
      </w:pPr>
      <w:r w:rsidRPr="00EF2265">
        <w:rPr>
          <w:rFonts w:ascii="Times New Roman" w:hAnsi="Times New Roman"/>
          <w:sz w:val="20"/>
          <w:szCs w:val="20"/>
        </w:rPr>
        <w:t>vzájomným podporovaním sa študentov, predovšetkým formou</w:t>
      </w:r>
      <w:r w:rsidRPr="00EF2265">
        <w:rPr>
          <w:rFonts w:ascii="Times New Roman" w:hAnsi="Times New Roman"/>
          <w:spacing w:val="44"/>
          <w:sz w:val="20"/>
          <w:szCs w:val="20"/>
        </w:rPr>
        <w:t xml:space="preserve"> </w:t>
      </w:r>
      <w:r w:rsidRPr="00EF2265">
        <w:rPr>
          <w:rFonts w:ascii="Times New Roman" w:hAnsi="Times New Roman"/>
          <w:sz w:val="20"/>
          <w:szCs w:val="20"/>
        </w:rPr>
        <w:t>doučovania organizovaným prostredníctvom študentského</w:t>
      </w:r>
      <w:r w:rsidRPr="00EF2265">
        <w:rPr>
          <w:rFonts w:ascii="Times New Roman" w:hAnsi="Times New Roman"/>
          <w:spacing w:val="-3"/>
          <w:sz w:val="20"/>
          <w:szCs w:val="20"/>
        </w:rPr>
        <w:t xml:space="preserve"> </w:t>
      </w:r>
      <w:r w:rsidRPr="00EF2265">
        <w:rPr>
          <w:rFonts w:ascii="Times New Roman" w:hAnsi="Times New Roman"/>
          <w:sz w:val="20"/>
          <w:szCs w:val="20"/>
        </w:rPr>
        <w:t>koučingu.</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Výsledky riadiacej a kontrolnej činnosti vzdelávacieho procesu sú prerokovávané na zasadnutiach riadiacich grémií fakúlt (vedenie fakulty, kolégium dekana, vedecká rada). Kontrolná činnosť je na fakultách/univerzite zabezpečovaná aj prostredníctvom akademických senátov fakúlt, resp. univerzity. </w:t>
      </w:r>
    </w:p>
    <w:p w:rsidR="007431AE" w:rsidRPr="00EF2265" w:rsidRDefault="007431AE" w:rsidP="00E86605">
      <w:pPr>
        <w:tabs>
          <w:tab w:val="left" w:pos="9356"/>
        </w:tabs>
        <w:spacing w:after="120"/>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Kontrola kvality vzdelávacieho procesu prebiehala v akademickom roku 2017/2018 aj prostredníctvom </w:t>
      </w:r>
      <w:r w:rsidRPr="00EF2265">
        <w:rPr>
          <w:rFonts w:ascii="Times New Roman" w:eastAsia="Times New Roman" w:hAnsi="Times New Roman"/>
          <w:b/>
          <w:sz w:val="20"/>
          <w:szCs w:val="20"/>
          <w:lang w:eastAsia="sk-SK"/>
        </w:rPr>
        <w:t>hospitácií</w:t>
      </w:r>
      <w:r w:rsidRPr="00EF2265">
        <w:rPr>
          <w:rFonts w:ascii="Times New Roman" w:eastAsia="Times New Roman" w:hAnsi="Times New Roman"/>
          <w:sz w:val="20"/>
          <w:szCs w:val="20"/>
          <w:lang w:eastAsia="sk-SK"/>
        </w:rPr>
        <w:t xml:space="preserve">, ktoré boli zamerané predovšetkým na zhodnotenie kvality pedagogickej činnosti konkrétnych učiteľov. Hospitáciami boli hodnotené najmä nasledovné kritériá: obsahová stránka zabezpečenia vzdelávacej činnosti, </w:t>
      </w:r>
      <w:r w:rsidRPr="00EF2265">
        <w:rPr>
          <w:rFonts w:ascii="Times New Roman" w:hAnsi="Times New Roman"/>
          <w:sz w:val="20"/>
          <w:szCs w:val="20"/>
        </w:rPr>
        <w:t>dodržiavanie času vyhradeného na výučbu,</w:t>
      </w:r>
      <w:r w:rsidRPr="00EF2265">
        <w:rPr>
          <w:rFonts w:ascii="Times New Roman" w:eastAsia="Times New Roman" w:hAnsi="Times New Roman"/>
          <w:sz w:val="20"/>
          <w:szCs w:val="20"/>
          <w:lang w:eastAsia="sk-SK"/>
        </w:rPr>
        <w:t xml:space="preserve"> vystupovanie a </w:t>
      </w:r>
      <w:r w:rsidRPr="00EF2265">
        <w:rPr>
          <w:rFonts w:ascii="Times New Roman" w:hAnsi="Times New Roman"/>
          <w:sz w:val="20"/>
          <w:szCs w:val="20"/>
        </w:rPr>
        <w:t>pripravenosť</w:t>
      </w:r>
      <w:r w:rsidRPr="00EF2265">
        <w:rPr>
          <w:rFonts w:ascii="Times New Roman" w:eastAsia="Times New Roman" w:hAnsi="Times New Roman"/>
          <w:sz w:val="20"/>
          <w:szCs w:val="20"/>
          <w:lang w:eastAsia="sk-SK"/>
        </w:rPr>
        <w:t xml:space="preserve"> pedagóga, </w:t>
      </w:r>
      <w:r w:rsidRPr="00EF2265">
        <w:rPr>
          <w:rFonts w:ascii="Times New Roman" w:hAnsi="Times New Roman"/>
          <w:sz w:val="20"/>
          <w:szCs w:val="20"/>
        </w:rPr>
        <w:t xml:space="preserve">zrozumiteľnosť výkladu, </w:t>
      </w:r>
      <w:r w:rsidRPr="00EF2265">
        <w:rPr>
          <w:rFonts w:ascii="Times New Roman" w:eastAsia="Times New Roman" w:hAnsi="Times New Roman"/>
          <w:sz w:val="20"/>
          <w:szCs w:val="20"/>
          <w:lang w:eastAsia="sk-SK"/>
        </w:rPr>
        <w:t xml:space="preserve">práca s didaktickými a učebnými pomôckami, časové rozdelenie vzdelávacej činnosti. </w:t>
      </w:r>
    </w:p>
    <w:p w:rsidR="007431AE" w:rsidRPr="00EF2265" w:rsidRDefault="007431AE" w:rsidP="00E86605">
      <w:pPr>
        <w:pStyle w:val="Zarkazkladnhotextu"/>
        <w:ind w:left="0"/>
        <w:rPr>
          <w:sz w:val="20"/>
          <w:szCs w:val="20"/>
        </w:rPr>
      </w:pPr>
      <w:r w:rsidRPr="00EF2265">
        <w:rPr>
          <w:sz w:val="20"/>
          <w:szCs w:val="20"/>
        </w:rPr>
        <w:t xml:space="preserve">Na niektorých fakultách </w:t>
      </w:r>
      <w:r w:rsidRPr="00EF2265">
        <w:rPr>
          <w:b/>
          <w:sz w:val="20"/>
          <w:szCs w:val="20"/>
        </w:rPr>
        <w:t>boli hospitácie zabezpečované vedúcimi katedier, resp. riaditeľmi ústavov</w:t>
      </w:r>
      <w:r w:rsidRPr="00EF2265">
        <w:rPr>
          <w:sz w:val="20"/>
          <w:szCs w:val="20"/>
        </w:rPr>
        <w:t xml:space="preserve">, ktorí vykonávali hospitácie na výučbe zabezpečovanej pracovníkmi príslušnej katedry alebo ústavu (predmety garantované príslušným pracoviskom), a tiež </w:t>
      </w:r>
      <w:r w:rsidRPr="00EF2265">
        <w:rPr>
          <w:b/>
          <w:sz w:val="20"/>
          <w:szCs w:val="20"/>
        </w:rPr>
        <w:t>garantmi študijných programov</w:t>
      </w:r>
      <w:r w:rsidRPr="00EF2265">
        <w:rPr>
          <w:sz w:val="20"/>
          <w:szCs w:val="20"/>
        </w:rPr>
        <w:t xml:space="preserve">, ktorí vykonávali hospitácie garantovaných študijných programov. Okrem toho </w:t>
      </w:r>
      <w:r w:rsidRPr="00EF2265">
        <w:rPr>
          <w:b/>
          <w:sz w:val="20"/>
          <w:szCs w:val="20"/>
        </w:rPr>
        <w:t xml:space="preserve">hospitačnú činnosť vykonávali aj vedenia fakúlt, </w:t>
      </w:r>
      <w:r w:rsidRPr="00EF2265">
        <w:rPr>
          <w:b/>
          <w:sz w:val="20"/>
          <w:szCs w:val="20"/>
        </w:rPr>
        <w:lastRenderedPageBreak/>
        <w:t>spravidla dekani a prodekani pre vzdelávanie</w:t>
      </w:r>
      <w:r w:rsidRPr="00EF2265">
        <w:rPr>
          <w:sz w:val="20"/>
          <w:szCs w:val="20"/>
        </w:rPr>
        <w:t xml:space="preserve">. Hospitácie boli často zamerané najmä na predmety, ktoré sa v anonymných anketách študentov ocitli medzi najhoršie hodnotenými predmetmi. Študenti mali aj pri hospitáciách ďalšiu možnosť na vyjadrenie svojich návrhov a pripomienok. Záznamy z hospitácií boli prerokované na zasadnutiach príslušných garantujúcich pracovísk a na vedeniach fakúlt. Organizovanie hospitácií bolo vo väčšine prípadov vykonávané prostredníctvom AIS, ktorý umožňuje stanoviť plán hospitácií a evidenciu záznamov z hospitácií. </w:t>
      </w:r>
    </w:p>
    <w:p w:rsidR="007431AE" w:rsidRPr="00EF2265" w:rsidRDefault="007431AE" w:rsidP="00E86605">
      <w:pPr>
        <w:pStyle w:val="Zarkazkladnhotextu"/>
        <w:ind w:left="0"/>
        <w:rPr>
          <w:sz w:val="20"/>
          <w:szCs w:val="20"/>
        </w:rPr>
      </w:pPr>
      <w:r w:rsidRPr="00EF2265">
        <w:rPr>
          <w:sz w:val="20"/>
          <w:szCs w:val="20"/>
        </w:rPr>
        <w:t xml:space="preserve">Počas hospitácií neboli zistené závažné nedostatky vo vzdelávacom procese. Návrhy na zlepšenie sa týkali najmä využívania didaktických pomôcok, doplnenia študijnej literatúry, doplnenia učiva o príklady z praxe. </w:t>
      </w:r>
    </w:p>
    <w:p w:rsidR="007431AE" w:rsidRPr="00EF2265" w:rsidRDefault="007431AE" w:rsidP="00E86605">
      <w:pPr>
        <w:pStyle w:val="Zarkazkladnhotextu"/>
        <w:spacing w:after="0"/>
        <w:ind w:left="0"/>
        <w:rPr>
          <w:sz w:val="20"/>
          <w:szCs w:val="20"/>
        </w:rPr>
      </w:pPr>
      <w:r w:rsidRPr="00EF2265">
        <w:rPr>
          <w:sz w:val="20"/>
          <w:szCs w:val="20"/>
        </w:rPr>
        <w:t xml:space="preserve">STU považuje za nevyhnutné naďalej pokračovať v organizovaní hospitácií a zhromažďovaní vyhotovených záznamov z nich, analyzovať zistenia a sledovať efektívnosť prijatých opatrení. </w:t>
      </w:r>
    </w:p>
    <w:p w:rsidR="007431AE" w:rsidRPr="00EF2265" w:rsidRDefault="007431AE" w:rsidP="00E86605">
      <w:pPr>
        <w:pStyle w:val="Zarkazkladnhotextu"/>
        <w:spacing w:after="0"/>
        <w:ind w:left="0"/>
        <w:rPr>
          <w:sz w:val="20"/>
          <w:szCs w:val="20"/>
        </w:rPr>
      </w:pPr>
    </w:p>
    <w:p w:rsidR="007431AE" w:rsidRPr="00EF2265" w:rsidRDefault="007431AE" w:rsidP="00E86605">
      <w:pPr>
        <w:pStyle w:val="Zarkazkladnhotextu"/>
        <w:spacing w:after="0"/>
        <w:ind w:left="0"/>
        <w:rPr>
          <w:sz w:val="20"/>
          <w:szCs w:val="20"/>
        </w:rPr>
      </w:pPr>
    </w:p>
    <w:p w:rsidR="007431AE" w:rsidRPr="00EF2265" w:rsidRDefault="007431AE" w:rsidP="00E86605">
      <w:pPr>
        <w:pStyle w:val="Nadpis2"/>
        <w:numPr>
          <w:ilvl w:val="1"/>
          <w:numId w:val="77"/>
        </w:numPr>
        <w:tabs>
          <w:tab w:val="left" w:pos="9356"/>
        </w:tabs>
        <w:rPr>
          <w:rFonts w:ascii="Times New Roman" w:hAnsi="Times New Roman" w:cs="Times New Roman"/>
          <w:color w:val="auto"/>
          <w:sz w:val="20"/>
          <w:szCs w:val="20"/>
        </w:rPr>
      </w:pPr>
      <w:bookmarkStart w:id="256" w:name="_Toc534722904"/>
      <w:r w:rsidRPr="00EF2265">
        <w:rPr>
          <w:rFonts w:ascii="Times New Roman" w:hAnsi="Times New Roman" w:cs="Times New Roman"/>
          <w:color w:val="auto"/>
          <w:sz w:val="20"/>
          <w:szCs w:val="20"/>
        </w:rPr>
        <w:t>Hodnotenie vzdelávania študentmi</w:t>
      </w:r>
      <w:bookmarkEnd w:id="256"/>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V súlade s § 70 ods. 1 písm. h) zákona majú študenti STU právo formou anonymného dotazníka vyjadriť sa ku kvalite výučby a učiteľov. STU chápe hodnotenie vzdelávacieho procesu študentmi nielen ako právo študentov, ale aj ako zdroj informácií o silných a slabých stránkach pedagogického procesu a služieb poskytovaných študentom a ako nástroj na ich skvalitňovanie.</w:t>
      </w:r>
    </w:p>
    <w:p w:rsidR="007431AE" w:rsidRPr="00EF2265" w:rsidRDefault="007431AE" w:rsidP="00E86605">
      <w:pPr>
        <w:tabs>
          <w:tab w:val="left" w:pos="9356"/>
        </w:tabs>
        <w:jc w:val="left"/>
        <w:rPr>
          <w:rFonts w:ascii="Times New Roman" w:hAnsi="Times New Roman"/>
          <w:sz w:val="20"/>
          <w:szCs w:val="20"/>
        </w:rPr>
      </w:pPr>
      <w:r w:rsidRPr="00EF2265">
        <w:rPr>
          <w:rFonts w:ascii="Times New Roman" w:hAnsi="Times New Roman"/>
          <w:sz w:val="20"/>
          <w:szCs w:val="20"/>
        </w:rPr>
        <w:t>Toto právo mali možnosť študenti STU využiť prostredníctvom dotazníkov (v elektronickej forme, najčastejšie prostredníctvom AIS alebo v predtlačenej forme), v ktorých sa sledovala spokojnosť študentov celkovo so štúdiom počas akademického roka, resp. semestra. V dotazníkoch sa väčšinou monitorovali názory na obsah študijného programu, jednotlivých predmetov, metódy vzdelávania, úroveň využívania didaktických pomôcok, zabezpečenie študijnou literatúrou, ako aj spokojnosť s prácou študijných oddelení a ďalších administratívnych pracovníkov, spokojnosť s učiteľmi, s ubytovaním, so stravovaním, vzťah a lojalita k fakulte a pod.</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Okrem toho mali študenti možnosť vyjadrovať sa ku kvalite výučby jednotlivých predmetov a učiteľov samostatne, opäť pomocou dotazníka v AIS –Evaluácie predmetov. </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Uvedené možnosti sa na fakultách z časového hľadiska využívali rôzne. Na niektorých sa vyhodnocovali na začiatku semestra pri zápise, na niektorých po každom semestri, na niektorých raz za akademický rok, na niektorých na konci štúdia alebo na základe aktuálnej potreby, ktoré iniciovali predovšetkým garanti predmetov, resp. garanti študijných programov, ale aj samotní študenti. Riadiaci pracovníci majú v AIS prístup k hodnoteniu všetkých predmetov, ktoré ich pracovisko garantuje, garantom študijných programov sú prístupné výsledky ankiet k predmetom študijného programu, ktorý garantujú. Na základe hodnotení boli vykonané opatrenia, pričom vedenia fakúlt primerane informovali študentov o výsledkoch ankiet a o prijatých opatreniach. Zo strany študentov prišli viaceré kladné reakcie. Učitelia zodpovední za predmet mali možnosť reagovať na výsledky ankiet hromadnými správami pre študentov.</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Nebola zriedkavosťou ani aktivita jednotlivých učiteľov o stručnú spätnú väzbu od študentov pomocou vlastných dotazníkov. </w:t>
      </w:r>
    </w:p>
    <w:p w:rsidR="007431AE" w:rsidRPr="00EF2265" w:rsidRDefault="007431AE" w:rsidP="00E86605">
      <w:pPr>
        <w:tabs>
          <w:tab w:val="left" w:pos="9356"/>
        </w:tabs>
        <w:jc w:val="left"/>
        <w:rPr>
          <w:rFonts w:ascii="Times New Roman" w:hAnsi="Times New Roman"/>
          <w:sz w:val="20"/>
          <w:szCs w:val="20"/>
        </w:rPr>
      </w:pPr>
      <w:r w:rsidRPr="00EF2265">
        <w:rPr>
          <w:rFonts w:ascii="Times New Roman" w:hAnsi="Times New Roman"/>
          <w:sz w:val="20"/>
          <w:szCs w:val="20"/>
        </w:rPr>
        <w:t>Možnosť zapojiť sa do uvedených aktivít bola daná študentom na všetkých troch stupňoch štúdia.</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Využívanie AIS na dotazníkové ankety študentov možno hodnotiť pozitívne, hlavne z hľadiska jednoduchosti monitorovania a vyhodnocovania ankiet.</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Vážnym a už dlhodobým negatívom je pomerne nízke zapojenie sa študentov do ankiet, ktoré sa na niektorých súčastiach STU pohybuje v priemere na úrovni 15 % až 20 % alebo aj menej a to aj napriek tomu, že študenti boli viackrát a rozličným spôsobom vyzývaní na zapojenie sa do ankety. </w:t>
      </w:r>
    </w:p>
    <w:p w:rsidR="007431AE" w:rsidRPr="00EF2265" w:rsidRDefault="007431AE" w:rsidP="00E86605">
      <w:pPr>
        <w:jc w:val="left"/>
        <w:rPr>
          <w:rFonts w:ascii="Times New Roman" w:hAnsi="Times New Roman"/>
          <w:sz w:val="20"/>
          <w:szCs w:val="20"/>
        </w:rPr>
      </w:pP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Pozitívne možno hodnotiť relatívne vysokú účasť </w:t>
      </w:r>
      <w:r w:rsidRPr="00EF2265">
        <w:rPr>
          <w:rFonts w:ascii="Times New Roman" w:hAnsi="Times New Roman"/>
          <w:b/>
          <w:sz w:val="20"/>
          <w:szCs w:val="20"/>
        </w:rPr>
        <w:t>študentov</w:t>
      </w:r>
      <w:r w:rsidRPr="00EF2265">
        <w:rPr>
          <w:rFonts w:ascii="Times New Roman" w:hAnsi="Times New Roman"/>
          <w:sz w:val="20"/>
          <w:szCs w:val="20"/>
        </w:rPr>
        <w:t xml:space="preserve"> </w:t>
      </w:r>
      <w:r w:rsidRPr="00EF2265">
        <w:rPr>
          <w:rFonts w:ascii="Times New Roman" w:hAnsi="Times New Roman"/>
          <w:b/>
          <w:sz w:val="20"/>
          <w:szCs w:val="20"/>
        </w:rPr>
        <w:t>SvF</w:t>
      </w:r>
      <w:r w:rsidRPr="00EF2265">
        <w:rPr>
          <w:rFonts w:ascii="Times New Roman" w:hAnsi="Times New Roman"/>
          <w:sz w:val="20"/>
          <w:szCs w:val="20"/>
        </w:rPr>
        <w:t xml:space="preserve"> na anketách organizovaných fakultou (niekoľko rokov osciluje okolo 50 % z počtu všetkých študentov SvF). Vysoká účasť študentov je </w:t>
      </w:r>
      <w:r w:rsidRPr="00EF2265">
        <w:rPr>
          <w:rFonts w:ascii="Times New Roman" w:hAnsi="Times New Roman"/>
          <w:b/>
          <w:sz w:val="20"/>
          <w:szCs w:val="20"/>
        </w:rPr>
        <w:t>výsledkom</w:t>
      </w:r>
      <w:r w:rsidRPr="00EF2265">
        <w:rPr>
          <w:rFonts w:ascii="Times New Roman" w:hAnsi="Times New Roman"/>
          <w:sz w:val="20"/>
          <w:szCs w:val="20"/>
        </w:rPr>
        <w:t xml:space="preserve"> </w:t>
      </w:r>
      <w:r w:rsidRPr="00EF2265">
        <w:rPr>
          <w:rFonts w:ascii="Times New Roman" w:hAnsi="Times New Roman"/>
          <w:b/>
          <w:sz w:val="20"/>
          <w:szCs w:val="20"/>
        </w:rPr>
        <w:t>zavedenia viacerých motivačných opatrení</w:t>
      </w:r>
      <w:r w:rsidRPr="00EF2265">
        <w:rPr>
          <w:rFonts w:ascii="Times New Roman" w:hAnsi="Times New Roman"/>
          <w:sz w:val="20"/>
          <w:szCs w:val="20"/>
        </w:rPr>
        <w:t xml:space="preserve"> na fakulte, najmä </w:t>
      </w:r>
      <w:r w:rsidRPr="00EF2265">
        <w:rPr>
          <w:rFonts w:ascii="Times New Roman" w:hAnsi="Times New Roman"/>
          <w:b/>
          <w:sz w:val="20"/>
          <w:szCs w:val="20"/>
        </w:rPr>
        <w:t>zavedením informačných kampaní pred začiatkom každej ankety</w:t>
      </w:r>
      <w:r w:rsidRPr="00EF2265">
        <w:rPr>
          <w:rFonts w:ascii="Times New Roman" w:hAnsi="Times New Roman"/>
          <w:sz w:val="20"/>
          <w:szCs w:val="20"/>
        </w:rPr>
        <w:t xml:space="preserve">, v rámci ktorých sa študentom vysvetľuje význam ankiet pre zvyšovanie kvality pedagogického procesu. Zároveň účastníci ankety v rámci zlosovania môžu vyhrať zaujímavé ceny. Od akademického roka 2010/2011 sa týmito opatreniami </w:t>
      </w:r>
      <w:r w:rsidRPr="00EF2265">
        <w:rPr>
          <w:rFonts w:ascii="Times New Roman" w:hAnsi="Times New Roman"/>
          <w:b/>
          <w:sz w:val="20"/>
          <w:szCs w:val="20"/>
        </w:rPr>
        <w:t>výrazne zvýšil počet zapojených študentov a to zo 7 % na takmer 50 %</w:t>
      </w:r>
      <w:r w:rsidRPr="00EF2265">
        <w:rPr>
          <w:rFonts w:ascii="Times New Roman" w:hAnsi="Times New Roman"/>
          <w:sz w:val="20"/>
          <w:szCs w:val="20"/>
        </w:rPr>
        <w:t xml:space="preserve"> z celkového počtu študentov fakulty. Výsledky ankiet boli vedením fakulty podrobne analyzované a zaviedol sa rad opatrení na zlepšenie pedagogického procesu a ponúkaných služieb. Súčasne boli vedúci katedier a garanti študijných programov požiadaní o vytipovanie slabých miest vo výučbe predmetov a návrh opatrení na ich odstránenie. </w:t>
      </w:r>
    </w:p>
    <w:p w:rsidR="007431AE" w:rsidRPr="00EF2265" w:rsidRDefault="007431AE" w:rsidP="00E86605">
      <w:pPr>
        <w:tabs>
          <w:tab w:val="left" w:pos="9356"/>
        </w:tabs>
        <w:jc w:val="left"/>
        <w:rPr>
          <w:rFonts w:ascii="Times New Roman" w:hAnsi="Times New Roman"/>
          <w:sz w:val="20"/>
          <w:szCs w:val="20"/>
        </w:rPr>
      </w:pPr>
      <w:r w:rsidRPr="00EF2265">
        <w:rPr>
          <w:rFonts w:ascii="Times New Roman" w:hAnsi="Times New Roman"/>
          <w:b/>
          <w:sz w:val="20"/>
          <w:szCs w:val="20"/>
        </w:rPr>
        <w:t xml:space="preserve">Študenti SjF </w:t>
      </w:r>
      <w:r w:rsidRPr="00EF2265">
        <w:rPr>
          <w:rFonts w:ascii="Times New Roman" w:hAnsi="Times New Roman"/>
          <w:sz w:val="20"/>
          <w:szCs w:val="20"/>
        </w:rPr>
        <w:t xml:space="preserve">mali na konci zimného semestra akademického roka 2017/2018 v AIS k dispozícii dotazníky na hodnotenie kvality výučby 166 predmetov zimného semestra. Účasť študentov na tomto prieskume je dlhodobo </w:t>
      </w:r>
      <w:r w:rsidRPr="00EF2265">
        <w:rPr>
          <w:rFonts w:ascii="Times New Roman" w:hAnsi="Times New Roman"/>
          <w:sz w:val="20"/>
          <w:szCs w:val="20"/>
        </w:rPr>
        <w:lastRenderedPageBreak/>
        <w:t xml:space="preserve">nízka a v hodnotenom akademickom roku predstavovala </w:t>
      </w:r>
      <w:r w:rsidRPr="00EF2265">
        <w:rPr>
          <w:rFonts w:ascii="Times New Roman" w:hAnsi="Times New Roman"/>
          <w:b/>
          <w:sz w:val="20"/>
          <w:szCs w:val="20"/>
        </w:rPr>
        <w:t>7,94 %</w:t>
      </w:r>
      <w:r w:rsidRPr="00EF2265">
        <w:rPr>
          <w:rFonts w:ascii="Times New Roman" w:hAnsi="Times New Roman"/>
          <w:sz w:val="20"/>
          <w:szCs w:val="20"/>
        </w:rPr>
        <w:t>. Garanti predmetov, garanti študijných programov prvého a druhého stupňa štúdia a vedúci ústavov vyhodnocovali dotazníky na pracovných stretnutiach ústavov.</w:t>
      </w:r>
    </w:p>
    <w:p w:rsidR="007431AE" w:rsidRPr="00EF2265" w:rsidRDefault="007431AE"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Na SjF sa uskutočnil aj prieskum zameraný na sledovanie spokojnosti s kvalitou výučby a pohľad študentov na fakultu v hodnotenom akademickom roku. Prieskum bol realizovaný v elektronickej forme v AIS v období od mája do septembra 2018. Zúčastnilo sa ho 84 študentov, čo predstavuje </w:t>
      </w:r>
      <w:r w:rsidRPr="00EF2265">
        <w:rPr>
          <w:rFonts w:ascii="Times New Roman" w:hAnsi="Times New Roman"/>
          <w:b/>
          <w:sz w:val="20"/>
          <w:szCs w:val="20"/>
        </w:rPr>
        <w:t>9,67 %</w:t>
      </w:r>
      <w:r w:rsidRPr="00EF2265">
        <w:rPr>
          <w:rFonts w:ascii="Times New Roman" w:hAnsi="Times New Roman"/>
          <w:sz w:val="20"/>
          <w:szCs w:val="20"/>
        </w:rPr>
        <w:t xml:space="preserve"> zo všetkých študentov SjF. Návratnosť dotazníkov bola veľmi nízka, v porovnaní akademickým rokom 2016/2017 (9,53 %) len mierne narástla. </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Študenti sa v dotazníku vyjadrovali okrem iného aj k spokojnosti s odbornými a pedagogickými schopnosťami učiteľov, k ich prístupu voči študentom a k objektívnosti pri hodnotení predmetov. Vedenie fakulty spolu s vedúcimi ústavov, učiteľmi a študentmi sa výsledkami prieskumu a opatreniami na zlepšenie budú osobitne zaoberať.</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b/>
          <w:sz w:val="20"/>
          <w:szCs w:val="20"/>
        </w:rPr>
        <w:t>Študenti FEI</w:t>
      </w:r>
      <w:r w:rsidRPr="00EF2265">
        <w:rPr>
          <w:rFonts w:ascii="Times New Roman" w:hAnsi="Times New Roman"/>
          <w:sz w:val="20"/>
          <w:szCs w:val="20"/>
        </w:rPr>
        <w:t xml:space="preserve"> mali možnosť na konci každého semestra vyjadriť svoju spokojnosť, resp. nespokojnosť s predmetmi, ktoré mali zapísané, prostredníctvom evaluácie predmetov v AIS. V zimnom semestri sa ankety zúčastnilo </w:t>
      </w:r>
      <w:r w:rsidRPr="00EF2265">
        <w:rPr>
          <w:rFonts w:ascii="Times New Roman" w:hAnsi="Times New Roman"/>
          <w:b/>
          <w:sz w:val="20"/>
          <w:szCs w:val="20"/>
        </w:rPr>
        <w:t xml:space="preserve">viac ako 42 % študentov, </w:t>
      </w:r>
      <w:r w:rsidRPr="00EF2265">
        <w:rPr>
          <w:rFonts w:ascii="Times New Roman" w:hAnsi="Times New Roman"/>
          <w:sz w:val="20"/>
          <w:szCs w:val="20"/>
        </w:rPr>
        <w:t>v letnom semestri</w:t>
      </w:r>
      <w:r w:rsidRPr="00EF2265">
        <w:rPr>
          <w:rFonts w:ascii="Times New Roman" w:hAnsi="Times New Roman"/>
          <w:b/>
          <w:sz w:val="20"/>
          <w:szCs w:val="20"/>
        </w:rPr>
        <w:t xml:space="preserve"> takmer 44 % študentov</w:t>
      </w:r>
      <w:r w:rsidRPr="00EF2265">
        <w:rPr>
          <w:rFonts w:ascii="Times New Roman" w:hAnsi="Times New Roman"/>
          <w:sz w:val="20"/>
          <w:szCs w:val="20"/>
        </w:rPr>
        <w:t xml:space="preserve">. Takúto účasť fakulta dosiahla </w:t>
      </w:r>
      <w:r w:rsidRPr="00EF2265">
        <w:rPr>
          <w:rFonts w:ascii="Times New Roman" w:hAnsi="Times New Roman"/>
          <w:b/>
          <w:sz w:val="20"/>
          <w:szCs w:val="20"/>
        </w:rPr>
        <w:t xml:space="preserve">motiváciou študentov </w:t>
      </w:r>
      <w:r w:rsidRPr="00EF2265">
        <w:rPr>
          <w:rFonts w:ascii="Times New Roman" w:hAnsi="Times New Roman"/>
          <w:b/>
          <w:sz w:val="20"/>
          <w:szCs w:val="20"/>
        </w:rPr>
        <w:sym w:font="Symbol" w:char="F02D"/>
      </w:r>
      <w:r w:rsidRPr="00EF2265">
        <w:rPr>
          <w:rFonts w:ascii="Times New Roman" w:hAnsi="Times New Roman"/>
          <w:sz w:val="20"/>
          <w:szCs w:val="20"/>
        </w:rPr>
        <w:t xml:space="preserve"> zvýhodnením pri voľbe rozvrhu hodín v nasledujúcom semestri. Ankety sa po skončení obidvoch semestrov vyhodnocovali spolu s úspešnosťou študentov v jednotlivých predmetoch a boli predložené vedeniu fakulty a riaditeľom ústavov, resp. inštitútov.</w:t>
      </w:r>
    </w:p>
    <w:p w:rsidR="007431AE" w:rsidRPr="00EF2265" w:rsidRDefault="007431AE" w:rsidP="00E86605">
      <w:pPr>
        <w:tabs>
          <w:tab w:val="left" w:pos="9356"/>
        </w:tabs>
        <w:jc w:val="left"/>
        <w:rPr>
          <w:rFonts w:ascii="Times New Roman" w:hAnsi="Times New Roman"/>
          <w:sz w:val="20"/>
          <w:szCs w:val="20"/>
        </w:rPr>
      </w:pPr>
      <w:r w:rsidRPr="00EF2265">
        <w:rPr>
          <w:rFonts w:ascii="Times New Roman" w:hAnsi="Times New Roman"/>
          <w:b/>
          <w:sz w:val="20"/>
          <w:szCs w:val="20"/>
        </w:rPr>
        <w:t xml:space="preserve">Vysoká účasť študentov </w:t>
      </w:r>
      <w:r w:rsidRPr="00EF2265">
        <w:rPr>
          <w:rFonts w:ascii="Times New Roman" w:hAnsi="Times New Roman"/>
          <w:sz w:val="20"/>
          <w:szCs w:val="20"/>
        </w:rPr>
        <w:t>prvého a druhého stupňa štúdia</w:t>
      </w:r>
      <w:r w:rsidRPr="00EF2265">
        <w:rPr>
          <w:rFonts w:ascii="Times New Roman" w:hAnsi="Times New Roman"/>
          <w:b/>
          <w:sz w:val="20"/>
          <w:szCs w:val="20"/>
        </w:rPr>
        <w:t xml:space="preserve"> </w:t>
      </w:r>
      <w:r w:rsidRPr="00EF2265">
        <w:rPr>
          <w:rFonts w:ascii="Times New Roman" w:hAnsi="Times New Roman"/>
          <w:sz w:val="20"/>
          <w:szCs w:val="20"/>
        </w:rPr>
        <w:t>na anketách bola aj na</w:t>
      </w:r>
      <w:r w:rsidRPr="00EF2265">
        <w:rPr>
          <w:rFonts w:ascii="Times New Roman" w:hAnsi="Times New Roman"/>
          <w:b/>
          <w:sz w:val="20"/>
          <w:szCs w:val="20"/>
        </w:rPr>
        <w:t xml:space="preserve"> FCHPT </w:t>
      </w:r>
      <w:r w:rsidRPr="00EF2265">
        <w:rPr>
          <w:rFonts w:ascii="Times New Roman" w:hAnsi="Times New Roman"/>
          <w:sz w:val="20"/>
          <w:szCs w:val="20"/>
        </w:rPr>
        <w:t>(účasť</w:t>
      </w:r>
      <w:r w:rsidRPr="00EF2265">
        <w:rPr>
          <w:rFonts w:ascii="Times New Roman" w:hAnsi="Times New Roman"/>
          <w:b/>
          <w:sz w:val="20"/>
          <w:szCs w:val="20"/>
        </w:rPr>
        <w:t xml:space="preserve"> 66 % až 92 %</w:t>
      </w:r>
      <w:r w:rsidRPr="00EF2265">
        <w:rPr>
          <w:rFonts w:ascii="Times New Roman" w:hAnsi="Times New Roman"/>
          <w:sz w:val="20"/>
          <w:szCs w:val="20"/>
        </w:rPr>
        <w:t xml:space="preserve"> študentov v jednotlivých rokoch štúdia). Ankiet sa zúčastnili študenti prvého stupňa štúdia na začiatku akademického roku pri zápisoch do 2. a 3. roku štúdia. Študenti prvého a druhého stupňa štúdia sa zúčastnili ankety aj na konci svojho štúdia. Študenti prvého stupňa hodnotili predchádzajúci rok štúdia, resp. posledný rok štúdia a študenti druhého stupňa hodnotili celé štúdium na FCHPT. V každom roku štúdia boli vybrané profilujúce predmety, v ktorých študenti hodnotili úroveň výučby, ako aj prístup pedagógov. </w:t>
      </w:r>
    </w:p>
    <w:p w:rsidR="007431AE" w:rsidRPr="00EF2265" w:rsidRDefault="007431AE" w:rsidP="00E86605">
      <w:pPr>
        <w:tabs>
          <w:tab w:val="left" w:pos="284"/>
        </w:tabs>
        <w:jc w:val="left"/>
        <w:rPr>
          <w:rFonts w:ascii="Times New Roman" w:hAnsi="Times New Roman"/>
          <w:sz w:val="20"/>
          <w:szCs w:val="20"/>
        </w:rPr>
      </w:pPr>
      <w:r w:rsidRPr="00EF2265">
        <w:rPr>
          <w:rFonts w:ascii="Times New Roman" w:hAnsi="Times New Roman"/>
          <w:sz w:val="20"/>
          <w:szCs w:val="20"/>
        </w:rPr>
        <w:t xml:space="preserve">Absolventi tretieho stupňa štúdia hodnotili na konci svojho štúdia úroveň doktorandského štúdia, pričom sa doktorandi mali možnosť vyjadriť k otázkam ekonomického zabezpečenia, sociálnym otázkam, úrovni svojej pripravenosti na doktorandské štúdium, personálnemu a materiálnemu zabezpečeniu doktorandského štúdia, obťažnosti doktorandského štúdia, svojej účasti vo vedeckovýskumnej a pedagogickej činnosti. Účasť absolventov tretieho stupňa štúdia bola nízka na úrovni </w:t>
      </w:r>
      <w:r w:rsidRPr="00EF2265">
        <w:rPr>
          <w:rFonts w:ascii="Times New Roman" w:hAnsi="Times New Roman"/>
          <w:b/>
          <w:sz w:val="20"/>
          <w:szCs w:val="20"/>
        </w:rPr>
        <w:t>19,5 %</w:t>
      </w:r>
      <w:r w:rsidRPr="00EF2265">
        <w:rPr>
          <w:rFonts w:ascii="Times New Roman" w:hAnsi="Times New Roman"/>
          <w:sz w:val="20"/>
          <w:szCs w:val="20"/>
        </w:rPr>
        <w:t>.</w:t>
      </w:r>
    </w:p>
    <w:p w:rsidR="007431AE" w:rsidRPr="00EF2265" w:rsidRDefault="007431AE" w:rsidP="00E86605">
      <w:pPr>
        <w:tabs>
          <w:tab w:val="left" w:pos="284"/>
        </w:tabs>
        <w:spacing w:after="120"/>
        <w:jc w:val="left"/>
        <w:rPr>
          <w:rFonts w:ascii="Times New Roman" w:hAnsi="Times New Roman"/>
          <w:sz w:val="20"/>
          <w:szCs w:val="20"/>
        </w:rPr>
      </w:pPr>
      <w:r w:rsidRPr="00EF2265">
        <w:rPr>
          <w:rFonts w:ascii="Times New Roman" w:hAnsi="Times New Roman"/>
          <w:sz w:val="20"/>
          <w:szCs w:val="20"/>
        </w:rPr>
        <w:t xml:space="preserve">Zároveň sa na FCHPT už po štvrtý krát prostredníctvom AIS uskutočnila </w:t>
      </w:r>
      <w:r w:rsidRPr="00EF2265">
        <w:rPr>
          <w:rFonts w:ascii="Times New Roman" w:hAnsi="Times New Roman"/>
          <w:b/>
          <w:sz w:val="20"/>
          <w:szCs w:val="20"/>
        </w:rPr>
        <w:t>anketa ku všetkým predmetom zimného a letného semestra prvého a druhého stupňa štúdia</w:t>
      </w:r>
      <w:r w:rsidRPr="00EF2265">
        <w:rPr>
          <w:rFonts w:ascii="Times New Roman" w:hAnsi="Times New Roman"/>
          <w:sz w:val="20"/>
          <w:szCs w:val="20"/>
        </w:rPr>
        <w:t xml:space="preserve">. V zimnom semestri sa do tejto ankety zapojilo </w:t>
      </w:r>
      <w:r w:rsidRPr="00EF2265">
        <w:rPr>
          <w:rFonts w:ascii="Times New Roman" w:hAnsi="Times New Roman"/>
          <w:b/>
          <w:sz w:val="20"/>
          <w:szCs w:val="20"/>
        </w:rPr>
        <w:t>34 %</w:t>
      </w:r>
      <w:r w:rsidRPr="00EF2265">
        <w:rPr>
          <w:rFonts w:ascii="Times New Roman" w:hAnsi="Times New Roman"/>
          <w:sz w:val="20"/>
          <w:szCs w:val="20"/>
        </w:rPr>
        <w:t xml:space="preserve"> z celkového počtu študentov. V letnom semestri bola účasť študentov nízka na úrovni </w:t>
      </w:r>
      <w:r w:rsidRPr="00EF2265">
        <w:rPr>
          <w:rFonts w:ascii="Times New Roman" w:hAnsi="Times New Roman"/>
          <w:b/>
          <w:sz w:val="20"/>
          <w:szCs w:val="20"/>
        </w:rPr>
        <w:t>9 %</w:t>
      </w:r>
      <w:r w:rsidRPr="00EF2265">
        <w:rPr>
          <w:rFonts w:ascii="Times New Roman" w:hAnsi="Times New Roman"/>
          <w:sz w:val="20"/>
          <w:szCs w:val="20"/>
        </w:rPr>
        <w:t xml:space="preserve"> z celkového počtu študentov. Výsledky ankiet boli prerokované na zasadnutí akademických orgánov fakulty.</w:t>
      </w:r>
    </w:p>
    <w:p w:rsidR="007431AE" w:rsidRPr="00EF2265" w:rsidRDefault="007431AE" w:rsidP="00E86605">
      <w:pPr>
        <w:tabs>
          <w:tab w:val="left" w:pos="9356"/>
        </w:tabs>
        <w:jc w:val="left"/>
        <w:rPr>
          <w:rFonts w:ascii="Times New Roman" w:hAnsi="Times New Roman"/>
          <w:sz w:val="20"/>
          <w:szCs w:val="20"/>
        </w:rPr>
      </w:pPr>
      <w:r w:rsidRPr="00EF2265">
        <w:rPr>
          <w:rFonts w:ascii="Times New Roman" w:hAnsi="Times New Roman"/>
          <w:b/>
          <w:sz w:val="20"/>
          <w:szCs w:val="20"/>
        </w:rPr>
        <w:t xml:space="preserve">FA </w:t>
      </w:r>
      <w:r w:rsidRPr="00EF2265">
        <w:rPr>
          <w:rFonts w:ascii="Times New Roman" w:hAnsi="Times New Roman"/>
          <w:sz w:val="20"/>
          <w:szCs w:val="20"/>
        </w:rPr>
        <w:t>realizovala v akademickom roku 2017/2018 vyjadrenia študentov ku kvalite výučby formou</w:t>
      </w:r>
      <w:r w:rsidRPr="00EF2265">
        <w:rPr>
          <w:rFonts w:ascii="Times New Roman" w:hAnsi="Times New Roman"/>
          <w:sz w:val="20"/>
          <w:szCs w:val="20"/>
        </w:rPr>
        <w:br/>
        <w:t xml:space="preserve">e-prieskumov predmetov na konci jednotlivých semestrov. Študenti boli k účasti na prieskume vyzývaní zo strany vedenia fakulty, grantov a pedagógov niekoľkokrát do roka, napriek tomu bola účasť študentov na úrovni </w:t>
      </w:r>
      <w:r w:rsidRPr="00EF2265">
        <w:rPr>
          <w:rFonts w:ascii="Times New Roman" w:hAnsi="Times New Roman"/>
          <w:b/>
          <w:sz w:val="20"/>
          <w:szCs w:val="20"/>
        </w:rPr>
        <w:t>15 – 20 % študentov</w:t>
      </w:r>
      <w:r w:rsidRPr="00EF2265">
        <w:rPr>
          <w:rFonts w:ascii="Times New Roman" w:hAnsi="Times New Roman"/>
          <w:sz w:val="20"/>
          <w:szCs w:val="20"/>
        </w:rPr>
        <w:t>. Výsledky prieskumov boli následne prezentované na kolégiu dekana a rade garantov, pričom kritické pripomienky študentov boli analyzované a hľadali sa primerané riešenia, či už zo strany garantov predmetov, zo strany garantov študijných programov alebo prodekana pre vzdelávanie.</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Okrem toho FA pravidelne vykonáva </w:t>
      </w:r>
      <w:r w:rsidRPr="00EF2265">
        <w:rPr>
          <w:rFonts w:ascii="Times New Roman" w:hAnsi="Times New Roman"/>
          <w:b/>
          <w:sz w:val="20"/>
          <w:szCs w:val="20"/>
        </w:rPr>
        <w:t>prieskum kvality služieb poskytovaných akademickou knižnicou</w:t>
      </w:r>
      <w:r w:rsidRPr="00EF2265">
        <w:rPr>
          <w:rFonts w:ascii="Times New Roman" w:hAnsi="Times New Roman"/>
          <w:sz w:val="20"/>
          <w:szCs w:val="20"/>
        </w:rPr>
        <w:t xml:space="preserve"> </w:t>
      </w:r>
      <w:r w:rsidRPr="00EF2265">
        <w:rPr>
          <w:rFonts w:ascii="Times New Roman" w:hAnsi="Times New Roman"/>
          <w:b/>
          <w:sz w:val="20"/>
          <w:szCs w:val="20"/>
        </w:rPr>
        <w:t>formou individuálnych rozhovorov so študentmi</w:t>
      </w:r>
      <w:r w:rsidRPr="00EF2265">
        <w:rPr>
          <w:rFonts w:ascii="Times New Roman" w:hAnsi="Times New Roman"/>
          <w:sz w:val="20"/>
          <w:szCs w:val="20"/>
        </w:rPr>
        <w:t>, ktorí využívajú služby akademickej knižnice, pričom sa vyjadrujú ku spokojnosti s knižnično-informačnými službami a spokojnosti so sprístupnenými informačnými zdrojmi knižnice.</w:t>
      </w:r>
    </w:p>
    <w:p w:rsidR="007431AE" w:rsidRPr="00EF2265" w:rsidRDefault="007431AE" w:rsidP="00E86605">
      <w:pPr>
        <w:spacing w:after="120"/>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 xml:space="preserve">K jednotlivým predmetom a vyučujúcim sa mali možnosť vyjadriť aj študenti </w:t>
      </w:r>
      <w:r w:rsidRPr="00EF2265">
        <w:rPr>
          <w:rFonts w:ascii="Times New Roman" w:eastAsia="Times New Roman" w:hAnsi="Times New Roman"/>
          <w:b/>
          <w:sz w:val="20"/>
          <w:szCs w:val="20"/>
          <w:lang w:eastAsia="sk-SK"/>
        </w:rPr>
        <w:t xml:space="preserve">MTF </w:t>
      </w:r>
      <w:r w:rsidRPr="00EF2265">
        <w:rPr>
          <w:rFonts w:ascii="Times New Roman" w:eastAsia="Times New Roman" w:hAnsi="Times New Roman"/>
          <w:sz w:val="20"/>
          <w:szCs w:val="20"/>
          <w:lang w:eastAsia="sk-SK"/>
        </w:rPr>
        <w:t xml:space="preserve">prostredníctvom </w:t>
      </w:r>
      <w:r w:rsidRPr="00EF2265">
        <w:rPr>
          <w:rFonts w:ascii="Times New Roman" w:eastAsia="Times New Roman" w:hAnsi="Times New Roman"/>
          <w:b/>
          <w:sz w:val="20"/>
          <w:szCs w:val="20"/>
          <w:lang w:eastAsia="sk-SK"/>
        </w:rPr>
        <w:t>evaluácie predmetov v AIS</w:t>
      </w:r>
      <w:r w:rsidRPr="00EF2265">
        <w:rPr>
          <w:rFonts w:ascii="Times New Roman" w:eastAsia="Times New Roman" w:hAnsi="Times New Roman"/>
          <w:sz w:val="20"/>
          <w:szCs w:val="20"/>
          <w:lang w:eastAsia="sk-SK"/>
        </w:rPr>
        <w:t xml:space="preserve">. V zimnom semestri sa ankety zúčastnilo </w:t>
      </w:r>
      <w:r w:rsidRPr="00EF2265">
        <w:rPr>
          <w:rFonts w:ascii="Times New Roman" w:eastAsia="Times New Roman" w:hAnsi="Times New Roman"/>
          <w:b/>
          <w:sz w:val="20"/>
          <w:szCs w:val="20"/>
          <w:lang w:eastAsia="sk-SK"/>
        </w:rPr>
        <w:t xml:space="preserve">29 </w:t>
      </w:r>
      <w:r w:rsidRPr="00EF2265">
        <w:rPr>
          <w:rFonts w:ascii="Times New Roman" w:eastAsia="Times New Roman" w:hAnsi="Times New Roman"/>
          <w:sz w:val="20"/>
          <w:szCs w:val="20"/>
          <w:lang w:eastAsia="sk-SK"/>
        </w:rPr>
        <w:t xml:space="preserve">% študentov, v letnom semestri však účasť klesla na </w:t>
      </w:r>
      <w:r w:rsidRPr="00EF2265">
        <w:rPr>
          <w:rFonts w:ascii="Times New Roman" w:eastAsia="Times New Roman" w:hAnsi="Times New Roman"/>
          <w:b/>
          <w:sz w:val="20"/>
          <w:szCs w:val="20"/>
          <w:lang w:eastAsia="sk-SK"/>
        </w:rPr>
        <w:t>11 % študentov</w:t>
      </w:r>
      <w:r w:rsidRPr="00EF2265">
        <w:rPr>
          <w:rFonts w:ascii="Times New Roman" w:eastAsia="Times New Roman" w:hAnsi="Times New Roman"/>
          <w:sz w:val="20"/>
          <w:szCs w:val="20"/>
          <w:lang w:eastAsia="sk-SK"/>
        </w:rPr>
        <w:t>. Výsledky ankiet boli vedením fakulty vyhodnotené a prediskutované s vedúcimi pracovníkmi príslušných ústavov, za účelom zlepšenia kvality pedagogického procesu na fakulte.</w:t>
      </w:r>
    </w:p>
    <w:p w:rsidR="007431AE" w:rsidRPr="00EF2265" w:rsidRDefault="007431AE" w:rsidP="00E86605">
      <w:pPr>
        <w:spacing w:after="120"/>
        <w:jc w:val="left"/>
        <w:rPr>
          <w:rFonts w:ascii="Times New Roman" w:hAnsi="Times New Roman"/>
          <w:sz w:val="20"/>
          <w:szCs w:val="20"/>
        </w:rPr>
      </w:pPr>
      <w:r w:rsidRPr="00EF2265">
        <w:rPr>
          <w:rFonts w:ascii="Times New Roman" w:hAnsi="Times New Roman"/>
          <w:sz w:val="20"/>
          <w:szCs w:val="20"/>
        </w:rPr>
        <w:t xml:space="preserve">Zber vyjadrení študentov k výučbe bol systematicky realizovaný aj na </w:t>
      </w:r>
      <w:r w:rsidRPr="00EF2265">
        <w:rPr>
          <w:rFonts w:ascii="Times New Roman" w:hAnsi="Times New Roman"/>
          <w:b/>
          <w:sz w:val="20"/>
          <w:szCs w:val="20"/>
        </w:rPr>
        <w:t>FIIT</w:t>
      </w:r>
      <w:r w:rsidRPr="00EF2265">
        <w:rPr>
          <w:rFonts w:ascii="Times New Roman" w:hAnsi="Times New Roman"/>
          <w:sz w:val="20"/>
          <w:szCs w:val="20"/>
        </w:rPr>
        <w:t>. Vďaka opatreniam zavádzaným od akademického roku 2015/2016 sa podarilo účasť študentov na anketách</w:t>
      </w:r>
      <w:r w:rsidRPr="00EF2265">
        <w:rPr>
          <w:rFonts w:ascii="Times New Roman" w:hAnsi="Times New Roman"/>
          <w:b/>
          <w:sz w:val="20"/>
          <w:szCs w:val="20"/>
        </w:rPr>
        <w:t xml:space="preserve"> zvýšiť až nad úroveň 54 %</w:t>
      </w:r>
      <w:r w:rsidRPr="00EF2265">
        <w:rPr>
          <w:rFonts w:ascii="Times New Roman" w:hAnsi="Times New Roman"/>
          <w:sz w:val="20"/>
          <w:szCs w:val="20"/>
        </w:rPr>
        <w:t xml:space="preserve">. </w:t>
      </w:r>
      <w:r w:rsidRPr="00EF2265">
        <w:rPr>
          <w:rFonts w:ascii="Times New Roman" w:hAnsi="Times New Roman"/>
          <w:b/>
          <w:sz w:val="20"/>
          <w:szCs w:val="20"/>
        </w:rPr>
        <w:t xml:space="preserve">Podarilo sa to zjednodušením anketového dotazníka a najmä zvýšením miery pravidelnej komunikácie o problémoch identifikovaných študentmi. </w:t>
      </w:r>
      <w:r w:rsidRPr="00EF2265">
        <w:rPr>
          <w:rFonts w:ascii="Times New Roman" w:hAnsi="Times New Roman"/>
          <w:sz w:val="20"/>
          <w:szCs w:val="20"/>
        </w:rPr>
        <w:t>Tie sa po vyhodnotení študentských ankiet vedením fakulty diskutovali jednak so zástupcami študentov v akademickom senáte fakulty a jednak na spoločných stretnutiach zástupcov vedenia so všetkými študentmi. Zvýšenú účasť študentov na evaluácii sa podarilo dosiahnuť aj bez zavedenia mimoriadnych motivačných opatrení. Študenti pozitívne vnímajú nastolené zmeny a spôsob komunikácie.</w:t>
      </w:r>
    </w:p>
    <w:p w:rsidR="007431AE" w:rsidRPr="00EF2265" w:rsidRDefault="007431AE" w:rsidP="00E86605">
      <w:pPr>
        <w:spacing w:after="120"/>
        <w:jc w:val="left"/>
        <w:rPr>
          <w:rFonts w:ascii="Times New Roman" w:hAnsi="Times New Roman"/>
          <w:sz w:val="20"/>
          <w:szCs w:val="20"/>
        </w:rPr>
      </w:pPr>
      <w:r w:rsidRPr="00EF2265">
        <w:rPr>
          <w:rFonts w:ascii="Times New Roman" w:hAnsi="Times New Roman"/>
          <w:sz w:val="20"/>
          <w:szCs w:val="20"/>
        </w:rPr>
        <w:t xml:space="preserve">Študenti </w:t>
      </w:r>
      <w:r w:rsidRPr="00EF2265">
        <w:rPr>
          <w:rFonts w:ascii="Times New Roman" w:hAnsi="Times New Roman"/>
          <w:b/>
          <w:sz w:val="20"/>
          <w:szCs w:val="20"/>
        </w:rPr>
        <w:t>ÚM</w:t>
      </w:r>
      <w:r w:rsidRPr="00EF2265">
        <w:rPr>
          <w:rFonts w:ascii="Times New Roman" w:hAnsi="Times New Roman"/>
          <w:sz w:val="20"/>
          <w:szCs w:val="20"/>
        </w:rPr>
        <w:t xml:space="preserve"> mali možnosť vyjadriť spokojnosť či nespokojnosť s kvalitou výučby jednotlivých predmetov, ale i poskytovaných služieb </w:t>
      </w:r>
      <w:r w:rsidRPr="00EF2265">
        <w:rPr>
          <w:rFonts w:ascii="Times New Roman" w:hAnsi="Times New Roman"/>
          <w:b/>
          <w:sz w:val="20"/>
          <w:szCs w:val="20"/>
        </w:rPr>
        <w:t xml:space="preserve">prostredníctvom pripomienok a predloženia vlastných návrhov na zlepšenie </w:t>
      </w:r>
      <w:r w:rsidRPr="00EF2265">
        <w:rPr>
          <w:rFonts w:ascii="Times New Roman" w:hAnsi="Times New Roman"/>
          <w:b/>
          <w:sz w:val="20"/>
          <w:szCs w:val="20"/>
        </w:rPr>
        <w:lastRenderedPageBreak/>
        <w:t>podmienok</w:t>
      </w:r>
      <w:r w:rsidRPr="00EF2265">
        <w:rPr>
          <w:rFonts w:ascii="Times New Roman" w:hAnsi="Times New Roman"/>
          <w:sz w:val="20"/>
          <w:szCs w:val="20"/>
        </w:rPr>
        <w:t>. Niektoré pripomienky a návrhy študentov boli prerokované v diskusiách pedagógov so študentmi, z čoho vyplynuli aj prijaté opatrenia.</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Študenti STU čoraz častejšie svoje problémy, požiadavky a podnety tlmočia priamo akademickým funkcionárom a zodpovedným osobám fakulty, resp. univerzity (prostredníctvom osobných stretnutí alebo emailovou komunikáciou) a dožadujú sa primeraného riešenia. Táto forma komunikácie je zo stany univerzity a fakúlt vítaná a plne akceptovaná, pričom častokrát prispieva k rýchlemu a účinnému riešeniu vzniknutej situácie.</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Všetci študenti STU mali navyše možnosť vyjadriť sa ku kvalite vzdelávania a učiteľov, resp. k ostatným záležitostiam súvisiacim s ich štúdiom na fakultách STU a Ústave manažmentu STU aj </w:t>
      </w:r>
      <w:r w:rsidRPr="00EF2265">
        <w:rPr>
          <w:rFonts w:ascii="Times New Roman" w:hAnsi="Times New Roman"/>
          <w:b/>
          <w:sz w:val="20"/>
          <w:szCs w:val="20"/>
        </w:rPr>
        <w:t>prostredníctvom anonymného Black Boxu</w:t>
      </w:r>
      <w:r w:rsidRPr="00EF2265">
        <w:rPr>
          <w:rFonts w:ascii="Times New Roman" w:hAnsi="Times New Roman"/>
          <w:sz w:val="20"/>
          <w:szCs w:val="20"/>
        </w:rPr>
        <w:t xml:space="preserve"> (elektronicky cez webové stránky). Tieto námety boli sumarizované a priebežne analyzované počas celého akademického roka a podľa závažnosti sa operatívne riešili vo vedeniach jednotlivých súčastí STU. </w:t>
      </w:r>
    </w:p>
    <w:p w:rsidR="007431AE"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V tejto súvislosti treba ale spomenúť, že vyjadrovanie sa študentov ku kvalite výučby a učiteľov dotazníkovou formou, nie je ich jediná možnosť uplatniť svoj názor. Študenti majú zákonom dané zastúpenie v akademickom senáte, stretávajú sa formálne aj neformálne s riadiacimi štruktúrami vzdelávacieho procesu od garantov študijných programov až po vedenia fakúlt a univerzity.</w:t>
      </w:r>
    </w:p>
    <w:p w:rsidR="000C3E02" w:rsidRPr="00EF2265" w:rsidRDefault="000C3E02" w:rsidP="00E86605">
      <w:pPr>
        <w:tabs>
          <w:tab w:val="left" w:pos="9356"/>
        </w:tabs>
        <w:spacing w:after="120"/>
        <w:jc w:val="left"/>
        <w:rPr>
          <w:rFonts w:ascii="Times New Roman" w:eastAsia="Times New Roman" w:hAnsi="Times New Roman"/>
          <w:sz w:val="20"/>
          <w:szCs w:val="20"/>
          <w:lang w:eastAsia="sk-SK"/>
        </w:rPr>
      </w:pPr>
    </w:p>
    <w:p w:rsidR="007431AE" w:rsidRPr="00EF2265" w:rsidRDefault="003735AA" w:rsidP="00E86605">
      <w:pPr>
        <w:pStyle w:val="Nadpis2"/>
        <w:numPr>
          <w:ilvl w:val="1"/>
          <w:numId w:val="77"/>
        </w:numPr>
        <w:tabs>
          <w:tab w:val="left" w:pos="9356"/>
        </w:tabs>
        <w:rPr>
          <w:rFonts w:ascii="Times New Roman" w:hAnsi="Times New Roman" w:cs="Times New Roman"/>
          <w:color w:val="auto"/>
          <w:sz w:val="20"/>
          <w:szCs w:val="20"/>
        </w:rPr>
      </w:pPr>
      <w:bookmarkStart w:id="257" w:name="_Toc534722905"/>
      <w:r w:rsidRPr="00EF2265">
        <w:rPr>
          <w:rFonts w:ascii="Times New Roman" w:hAnsi="Times New Roman" w:cs="Times New Roman"/>
          <w:color w:val="auto"/>
          <w:sz w:val="20"/>
          <w:szCs w:val="20"/>
        </w:rPr>
        <w:t>K</w:t>
      </w:r>
      <w:r w:rsidR="007431AE" w:rsidRPr="00EF2265">
        <w:rPr>
          <w:rFonts w:ascii="Times New Roman" w:hAnsi="Times New Roman" w:cs="Times New Roman"/>
          <w:color w:val="auto"/>
          <w:sz w:val="20"/>
          <w:szCs w:val="20"/>
        </w:rPr>
        <w:t>vantitatívne vyhodnotenie zabezpečovania kvality vzdelávania</w:t>
      </w:r>
      <w:bookmarkEnd w:id="257"/>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Výsledky vzdelávacieho procesu možno hodnotiť z viacerých hľadísk. Jedno z hľadísk je posudzovanie študijných výsledkov študentov dosiahnutých v priebehu semestrov, resp. v danom akademickom roku. </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Na druhej strane vysokoškolské vzdelávanie možno chápať ako proces, ktorého výsledný produkt je absolvent. Potom hodnotenie - kvalitu vzdelávania možno tiež posudzovať ako schopnosť absolventa uplatniť sa na trhu práce, čo predstavuje dominantný výsledok procesu vzdelávania. Parameter, ktorým toto možno posudzovať je percento nezamestnanosti absolventov, ktoré dvakrát ročne zverejňuje Ústredie práce, sociálnych vecí a rodiny SR. Porovnaniu percenta nezamestnaných absolventov verejných vysokých škôl v Slovenskej republike v roku 2018 sa venuje kapitola 5 pojednávajúca o absolventoch vysokoškolského vzdelávania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_Ref534932083 \h </w:instrText>
      </w:r>
      <w:r w:rsidR="00051C4E" w:rsidRPr="00EF2265">
        <w:rPr>
          <w:rFonts w:ascii="Times New Roman" w:hAnsi="Times New Roman"/>
          <w:sz w:val="20"/>
          <w:szCs w:val="20"/>
        </w:rPr>
        <w:instrText xml:space="preserve">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bCs/>
          <w:iCs/>
          <w:sz w:val="20"/>
          <w:szCs w:val="20"/>
          <w:lang w:eastAsia="sk-SK"/>
        </w:rPr>
        <w:t xml:space="preserve">Graf č. </w:t>
      </w:r>
      <w:r w:rsidR="001C349F">
        <w:rPr>
          <w:rFonts w:ascii="Times New Roman" w:hAnsi="Times New Roman"/>
          <w:noProof/>
          <w:sz w:val="20"/>
          <w:szCs w:val="20"/>
        </w:rPr>
        <w:t>17</w:t>
      </w:r>
      <w:r w:rsidRPr="00EF2265">
        <w:rPr>
          <w:rFonts w:ascii="Times New Roman" w:hAnsi="Times New Roman"/>
          <w:sz w:val="20"/>
          <w:szCs w:val="20"/>
        </w:rPr>
        <w:fldChar w:fldCharType="end"/>
      </w:r>
      <w:r w:rsidRPr="00EF2265">
        <w:rPr>
          <w:rFonts w:ascii="Times New Roman" w:hAnsi="Times New Roman"/>
          <w:sz w:val="20"/>
          <w:szCs w:val="20"/>
        </w:rPr>
        <w:t xml:space="preserve">. Skutočnosť, že v ostatných rokoch </w:t>
      </w:r>
      <w:r w:rsidRPr="00EF2265">
        <w:rPr>
          <w:rFonts w:ascii="Times New Roman" w:hAnsi="Times New Roman"/>
          <w:b/>
          <w:sz w:val="20"/>
          <w:szCs w:val="20"/>
        </w:rPr>
        <w:t xml:space="preserve">STU patrí medzi univerzity s najnižším percentom nezamestnaných absolventov </w:t>
      </w:r>
      <w:r w:rsidRPr="00EF2265">
        <w:rPr>
          <w:rFonts w:ascii="Times New Roman" w:hAnsi="Times New Roman"/>
          <w:sz w:val="20"/>
          <w:szCs w:val="20"/>
        </w:rPr>
        <w:t>je potvrdením, že spoločenská prax má o absolventov STU záujem.</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K ďalším parametrom, ktorý vyjadruje náročnosť a aj kvalitu vzdelávacieho procesu patrí percento úspešnosti študentov.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_Ref474778551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52</w:t>
      </w:r>
      <w:r w:rsidRPr="00EF2265">
        <w:rPr>
          <w:rFonts w:ascii="Times New Roman" w:hAnsi="Times New Roman"/>
          <w:sz w:val="20"/>
          <w:szCs w:val="20"/>
        </w:rPr>
        <w:fldChar w:fldCharType="end"/>
      </w:r>
      <w:r w:rsidRPr="00EF2265">
        <w:rPr>
          <w:rFonts w:ascii="Times New Roman" w:hAnsi="Times New Roman"/>
          <w:sz w:val="20"/>
          <w:szCs w:val="20"/>
        </w:rPr>
        <w:t xml:space="preserve"> a v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_Ref474778561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53</w:t>
      </w:r>
      <w:r w:rsidRPr="00EF2265">
        <w:rPr>
          <w:rFonts w:ascii="Times New Roman" w:hAnsi="Times New Roman"/>
          <w:sz w:val="20"/>
          <w:szCs w:val="20"/>
        </w:rPr>
        <w:fldChar w:fldCharType="end"/>
      </w:r>
      <w:r w:rsidRPr="00EF2265">
        <w:rPr>
          <w:rFonts w:ascii="Times New Roman" w:hAnsi="Times New Roman"/>
          <w:sz w:val="20"/>
          <w:szCs w:val="20"/>
        </w:rPr>
        <w:t xml:space="preserve"> je uvedený prehľad úspešnosti študentov na prvom a druhom stupni štúdia, ktorých štúdium začalo v jednotlivých akademických rokoch a stav ich štúdia k 31. 12. 2018.</w:t>
      </w:r>
    </w:p>
    <w:p w:rsidR="007431AE" w:rsidRPr="00EF2265" w:rsidRDefault="007431AE" w:rsidP="00E86605">
      <w:pPr>
        <w:tabs>
          <w:tab w:val="left" w:pos="9356"/>
        </w:tabs>
        <w:jc w:val="left"/>
        <w:rPr>
          <w:rFonts w:ascii="Times New Roman" w:eastAsia="Times New Roman" w:hAnsi="Times New Roman"/>
          <w:iCs/>
          <w:sz w:val="20"/>
          <w:szCs w:val="20"/>
          <w:lang w:eastAsia="sk-SK"/>
        </w:rPr>
      </w:pPr>
      <w:bookmarkStart w:id="258" w:name="_Ref474778551"/>
      <w:bookmarkStart w:id="259" w:name="_Toc534793987"/>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52</w:t>
      </w:r>
      <w:r w:rsidRPr="00EF2265">
        <w:rPr>
          <w:rFonts w:ascii="Times New Roman" w:hAnsi="Times New Roman"/>
          <w:sz w:val="20"/>
          <w:szCs w:val="20"/>
        </w:rPr>
        <w:fldChar w:fldCharType="end"/>
      </w:r>
      <w:bookmarkEnd w:id="258"/>
      <w:r w:rsidRPr="00EF2265">
        <w:rPr>
          <w:rFonts w:ascii="Times New Roman" w:eastAsia="Times New Roman" w:hAnsi="Times New Roman"/>
          <w:iCs/>
          <w:sz w:val="20"/>
          <w:szCs w:val="20"/>
          <w:lang w:eastAsia="sk-SK"/>
        </w:rPr>
        <w:t xml:space="preserve">: Percento úspešnosti študentov </w:t>
      </w:r>
      <w:r w:rsidRPr="00EF2265">
        <w:rPr>
          <w:rFonts w:ascii="Times New Roman" w:eastAsia="Times New Roman" w:hAnsi="Times New Roman"/>
          <w:b/>
          <w:iCs/>
          <w:sz w:val="20"/>
          <w:szCs w:val="20"/>
          <w:lang w:eastAsia="sk-SK"/>
        </w:rPr>
        <w:t>na prvom stupni štúdia</w:t>
      </w:r>
      <w:bookmarkEnd w:id="259"/>
    </w:p>
    <w:tbl>
      <w:tblPr>
        <w:tblW w:w="951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20"/>
        <w:gridCol w:w="1305"/>
        <w:gridCol w:w="886"/>
        <w:gridCol w:w="886"/>
        <w:gridCol w:w="886"/>
        <w:gridCol w:w="886"/>
        <w:gridCol w:w="886"/>
        <w:gridCol w:w="886"/>
        <w:gridCol w:w="886"/>
        <w:gridCol w:w="886"/>
      </w:tblGrid>
      <w:tr w:rsidR="007431AE" w:rsidRPr="00EF2265" w:rsidTr="00E81927">
        <w:trPr>
          <w:trHeight w:val="20"/>
        </w:trPr>
        <w:tc>
          <w:tcPr>
            <w:tcW w:w="1120" w:type="dxa"/>
            <w:vMerge w:val="restart"/>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rok začatia štúdia</w:t>
            </w:r>
          </w:p>
        </w:tc>
        <w:tc>
          <w:tcPr>
            <w:tcW w:w="1305" w:type="dxa"/>
            <w:vMerge w:val="restart"/>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celkový počet zapísaných študentov</w:t>
            </w:r>
          </w:p>
        </w:tc>
        <w:tc>
          <w:tcPr>
            <w:tcW w:w="1772" w:type="dxa"/>
            <w:gridSpan w:val="2"/>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riadne skončili štúdium</w:t>
            </w:r>
          </w:p>
        </w:tc>
        <w:tc>
          <w:tcPr>
            <w:tcW w:w="1772" w:type="dxa"/>
            <w:gridSpan w:val="2"/>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boli vylúčení</w:t>
            </w:r>
          </w:p>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zo štúdia alebo zanechali štúdium</w:t>
            </w:r>
          </w:p>
        </w:tc>
        <w:tc>
          <w:tcPr>
            <w:tcW w:w="1772" w:type="dxa"/>
            <w:gridSpan w:val="2"/>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zmenili študijný program</w:t>
            </w:r>
          </w:p>
        </w:tc>
        <w:tc>
          <w:tcPr>
            <w:tcW w:w="1772" w:type="dxa"/>
            <w:gridSpan w:val="2"/>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štúdium trvá, prípadne je prerušené</w:t>
            </w:r>
          </w:p>
        </w:tc>
      </w:tr>
      <w:tr w:rsidR="007431AE" w:rsidRPr="00EF2265" w:rsidTr="00E81927">
        <w:trPr>
          <w:trHeight w:val="20"/>
        </w:trPr>
        <w:tc>
          <w:tcPr>
            <w:tcW w:w="1120" w:type="dxa"/>
            <w:vMerge/>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p>
        </w:tc>
        <w:tc>
          <w:tcPr>
            <w:tcW w:w="1305" w:type="dxa"/>
            <w:vMerge/>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p>
        </w:tc>
        <w:tc>
          <w:tcPr>
            <w:tcW w:w="886" w:type="dxa"/>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w:t>
            </w:r>
          </w:p>
        </w:tc>
        <w:tc>
          <w:tcPr>
            <w:tcW w:w="886" w:type="dxa"/>
            <w:shd w:val="clear" w:color="auto" w:fill="EEECE1" w:themeFill="background2"/>
            <w:noWrap/>
            <w:vAlign w:val="center"/>
            <w:hideMark/>
          </w:tcPr>
          <w:p w:rsidR="007431AE" w:rsidRPr="00EF2265" w:rsidRDefault="007431AE"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w:t>
            </w:r>
          </w:p>
        </w:tc>
        <w:tc>
          <w:tcPr>
            <w:tcW w:w="886" w:type="dxa"/>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w:t>
            </w:r>
          </w:p>
        </w:tc>
        <w:tc>
          <w:tcPr>
            <w:tcW w:w="886" w:type="dxa"/>
            <w:shd w:val="clear" w:color="auto" w:fill="EEECE1" w:themeFill="background2"/>
            <w:noWrap/>
            <w:vAlign w:val="center"/>
            <w:hideMark/>
          </w:tcPr>
          <w:p w:rsidR="007431AE" w:rsidRPr="00EF2265" w:rsidRDefault="007431AE"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w:t>
            </w:r>
          </w:p>
        </w:tc>
        <w:tc>
          <w:tcPr>
            <w:tcW w:w="886" w:type="dxa"/>
            <w:shd w:val="clear" w:color="auto" w:fill="auto"/>
            <w:vAlign w:val="bottom"/>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w:t>
            </w:r>
          </w:p>
        </w:tc>
        <w:tc>
          <w:tcPr>
            <w:tcW w:w="886" w:type="dxa"/>
            <w:shd w:val="clear" w:color="auto" w:fill="EEECE1" w:themeFill="background2"/>
            <w:noWrap/>
            <w:vAlign w:val="bottom"/>
            <w:hideMark/>
          </w:tcPr>
          <w:p w:rsidR="007431AE" w:rsidRPr="00EF2265" w:rsidRDefault="007431AE"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w:t>
            </w:r>
          </w:p>
        </w:tc>
        <w:tc>
          <w:tcPr>
            <w:tcW w:w="886" w:type="dxa"/>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w:t>
            </w:r>
          </w:p>
        </w:tc>
        <w:tc>
          <w:tcPr>
            <w:tcW w:w="886" w:type="dxa"/>
            <w:shd w:val="clear" w:color="auto" w:fill="EEECE1" w:themeFill="background2"/>
            <w:noWrap/>
            <w:vAlign w:val="center"/>
            <w:hideMark/>
          </w:tcPr>
          <w:p w:rsidR="007431AE" w:rsidRPr="00EF2265" w:rsidRDefault="007431AE"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w:t>
            </w:r>
          </w:p>
        </w:tc>
      </w:tr>
      <w:tr w:rsidR="007431AE" w:rsidRPr="00EF2265" w:rsidTr="00E81927">
        <w:trPr>
          <w:trHeight w:val="269"/>
        </w:trPr>
        <w:tc>
          <w:tcPr>
            <w:tcW w:w="1120"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2010/2011</w:t>
            </w:r>
          </w:p>
        </w:tc>
        <w:tc>
          <w:tcPr>
            <w:tcW w:w="1305"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5 067</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1 936</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38%</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2 932</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58%</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199</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4%</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86" w:type="dxa"/>
            <w:shd w:val="clear" w:color="auto" w:fill="EEECE1" w:themeFill="background2"/>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0%</w:t>
            </w:r>
          </w:p>
        </w:tc>
      </w:tr>
      <w:tr w:rsidR="007431AE" w:rsidRPr="00EF2265" w:rsidTr="00E81927">
        <w:trPr>
          <w:trHeight w:val="269"/>
        </w:trPr>
        <w:tc>
          <w:tcPr>
            <w:tcW w:w="1120"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2011/2012</w:t>
            </w:r>
          </w:p>
        </w:tc>
        <w:tc>
          <w:tcPr>
            <w:tcW w:w="1305"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5 022</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1 883</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38%</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3 020</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60%</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119</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2%</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86" w:type="dxa"/>
            <w:shd w:val="clear" w:color="auto" w:fill="EEECE1" w:themeFill="background2"/>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0%</w:t>
            </w:r>
          </w:p>
        </w:tc>
      </w:tr>
      <w:tr w:rsidR="007431AE" w:rsidRPr="00EF2265" w:rsidTr="00E81927">
        <w:trPr>
          <w:trHeight w:val="269"/>
        </w:trPr>
        <w:tc>
          <w:tcPr>
            <w:tcW w:w="1120"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2012/2013</w:t>
            </w:r>
          </w:p>
        </w:tc>
        <w:tc>
          <w:tcPr>
            <w:tcW w:w="1305"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5 292</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1 889</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36%</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3 227</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61%</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172</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3%</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4</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0%</w:t>
            </w:r>
          </w:p>
        </w:tc>
      </w:tr>
      <w:tr w:rsidR="007431AE" w:rsidRPr="00EF2265" w:rsidTr="00E81927">
        <w:trPr>
          <w:trHeight w:val="269"/>
        </w:trPr>
        <w:tc>
          <w:tcPr>
            <w:tcW w:w="1120"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2013/2014</w:t>
            </w:r>
          </w:p>
        </w:tc>
        <w:tc>
          <w:tcPr>
            <w:tcW w:w="1305"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5 165</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1 523</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29%</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3 131</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61%</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494</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10%</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17</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0%</w:t>
            </w:r>
          </w:p>
        </w:tc>
      </w:tr>
      <w:tr w:rsidR="007431AE" w:rsidRPr="00EF2265" w:rsidTr="00E81927">
        <w:trPr>
          <w:trHeight w:val="269"/>
        </w:trPr>
        <w:tc>
          <w:tcPr>
            <w:tcW w:w="1120"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2014/2015</w:t>
            </w:r>
          </w:p>
        </w:tc>
        <w:tc>
          <w:tcPr>
            <w:tcW w:w="1305"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4 543</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1 343</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30%</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2 541</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56%</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560</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12%</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99</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2%</w:t>
            </w:r>
          </w:p>
        </w:tc>
      </w:tr>
      <w:tr w:rsidR="007431AE" w:rsidRPr="00EF2265" w:rsidTr="00E81927">
        <w:trPr>
          <w:trHeight w:val="269"/>
        </w:trPr>
        <w:tc>
          <w:tcPr>
            <w:tcW w:w="1120"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2015/2016</w:t>
            </w:r>
          </w:p>
        </w:tc>
        <w:tc>
          <w:tcPr>
            <w:tcW w:w="1305"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5 837</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1 930</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33%</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2 618</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45%</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696</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12%</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593</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10%</w:t>
            </w:r>
          </w:p>
        </w:tc>
      </w:tr>
      <w:tr w:rsidR="007431AE" w:rsidRPr="00EF2265" w:rsidTr="00E81927">
        <w:trPr>
          <w:trHeight w:val="269"/>
        </w:trPr>
        <w:tc>
          <w:tcPr>
            <w:tcW w:w="1120" w:type="dxa"/>
            <w:tcBorders>
              <w:bottom w:val="single" w:sz="8" w:space="0" w:color="auto"/>
            </w:tcBorders>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2016/2017</w:t>
            </w:r>
          </w:p>
        </w:tc>
        <w:tc>
          <w:tcPr>
            <w:tcW w:w="1305" w:type="dxa"/>
            <w:tcBorders>
              <w:bottom w:val="single" w:sz="8" w:space="0" w:color="auto"/>
            </w:tcBorders>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3 381</w:t>
            </w:r>
          </w:p>
        </w:tc>
        <w:tc>
          <w:tcPr>
            <w:tcW w:w="886" w:type="dxa"/>
            <w:tcBorders>
              <w:bottom w:val="single" w:sz="8" w:space="0" w:color="auto"/>
            </w:tcBorders>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112</w:t>
            </w:r>
          </w:p>
        </w:tc>
        <w:tc>
          <w:tcPr>
            <w:tcW w:w="886" w:type="dxa"/>
            <w:tcBorders>
              <w:bottom w:val="single" w:sz="8" w:space="0" w:color="auto"/>
            </w:tcBorders>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3%</w:t>
            </w:r>
          </w:p>
        </w:tc>
        <w:tc>
          <w:tcPr>
            <w:tcW w:w="886" w:type="dxa"/>
            <w:tcBorders>
              <w:bottom w:val="single" w:sz="8" w:space="0" w:color="auto"/>
            </w:tcBorders>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1 834</w:t>
            </w:r>
          </w:p>
        </w:tc>
        <w:tc>
          <w:tcPr>
            <w:tcW w:w="886" w:type="dxa"/>
            <w:tcBorders>
              <w:bottom w:val="single" w:sz="8" w:space="0" w:color="auto"/>
            </w:tcBorders>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54%</w:t>
            </w:r>
          </w:p>
        </w:tc>
        <w:tc>
          <w:tcPr>
            <w:tcW w:w="886" w:type="dxa"/>
            <w:tcBorders>
              <w:bottom w:val="single" w:sz="8" w:space="0" w:color="auto"/>
            </w:tcBorders>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97</w:t>
            </w:r>
          </w:p>
        </w:tc>
        <w:tc>
          <w:tcPr>
            <w:tcW w:w="886" w:type="dxa"/>
            <w:tcBorders>
              <w:bottom w:val="single" w:sz="8" w:space="0" w:color="auto"/>
            </w:tcBorders>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3%</w:t>
            </w:r>
          </w:p>
        </w:tc>
        <w:tc>
          <w:tcPr>
            <w:tcW w:w="886" w:type="dxa"/>
            <w:tcBorders>
              <w:bottom w:val="single" w:sz="8" w:space="0" w:color="auto"/>
            </w:tcBorders>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1 338</w:t>
            </w:r>
          </w:p>
        </w:tc>
        <w:tc>
          <w:tcPr>
            <w:tcW w:w="886" w:type="dxa"/>
            <w:tcBorders>
              <w:bottom w:val="single" w:sz="8" w:space="0" w:color="auto"/>
            </w:tcBorders>
            <w:shd w:val="clear" w:color="auto" w:fill="EEECE1" w:themeFill="background2"/>
            <w:noWrap/>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40%</w:t>
            </w:r>
          </w:p>
        </w:tc>
      </w:tr>
      <w:tr w:rsidR="007431AE" w:rsidRPr="00EF2265" w:rsidTr="00E81927">
        <w:trPr>
          <w:trHeight w:val="269"/>
        </w:trPr>
        <w:tc>
          <w:tcPr>
            <w:tcW w:w="1120" w:type="dxa"/>
            <w:tcBorders>
              <w:bottom w:val="single" w:sz="4" w:space="0" w:color="auto"/>
            </w:tcBorders>
            <w:shd w:val="clear" w:color="auto" w:fill="auto"/>
            <w:noWrap/>
            <w:vAlign w:val="bottom"/>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2017/2018</w:t>
            </w:r>
          </w:p>
        </w:tc>
        <w:tc>
          <w:tcPr>
            <w:tcW w:w="1305" w:type="dxa"/>
            <w:tcBorders>
              <w:bottom w:val="single" w:sz="4" w:space="0" w:color="auto"/>
            </w:tcBorders>
            <w:shd w:val="clear" w:color="auto" w:fill="auto"/>
            <w:vAlign w:val="bottom"/>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3 332</w:t>
            </w:r>
          </w:p>
        </w:tc>
        <w:tc>
          <w:tcPr>
            <w:tcW w:w="886" w:type="dxa"/>
            <w:tcBorders>
              <w:bottom w:val="single" w:sz="4" w:space="0" w:color="auto"/>
            </w:tcBorders>
            <w:shd w:val="clear" w:color="auto" w:fill="auto"/>
            <w:vAlign w:val="bottom"/>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162</w:t>
            </w:r>
          </w:p>
        </w:tc>
        <w:tc>
          <w:tcPr>
            <w:tcW w:w="886" w:type="dxa"/>
            <w:tcBorders>
              <w:bottom w:val="single" w:sz="4" w:space="0" w:color="auto"/>
            </w:tcBorders>
            <w:shd w:val="clear" w:color="auto" w:fill="EEECE1" w:themeFill="background2"/>
            <w:noWrap/>
            <w:vAlign w:val="bottom"/>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5%</w:t>
            </w:r>
          </w:p>
        </w:tc>
        <w:tc>
          <w:tcPr>
            <w:tcW w:w="886" w:type="dxa"/>
            <w:tcBorders>
              <w:bottom w:val="single" w:sz="4" w:space="0" w:color="auto"/>
            </w:tcBorders>
            <w:shd w:val="clear" w:color="auto" w:fill="auto"/>
            <w:noWrap/>
            <w:vAlign w:val="bottom"/>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1 461</w:t>
            </w:r>
          </w:p>
        </w:tc>
        <w:tc>
          <w:tcPr>
            <w:tcW w:w="886" w:type="dxa"/>
            <w:tcBorders>
              <w:bottom w:val="single" w:sz="4" w:space="0" w:color="auto"/>
            </w:tcBorders>
            <w:shd w:val="clear" w:color="auto" w:fill="EEECE1" w:themeFill="background2"/>
            <w:noWrap/>
            <w:vAlign w:val="bottom"/>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44%</w:t>
            </w:r>
          </w:p>
        </w:tc>
        <w:tc>
          <w:tcPr>
            <w:tcW w:w="886" w:type="dxa"/>
            <w:tcBorders>
              <w:bottom w:val="single" w:sz="4" w:space="0" w:color="auto"/>
            </w:tcBorders>
            <w:shd w:val="clear" w:color="auto" w:fill="auto"/>
            <w:noWrap/>
            <w:vAlign w:val="bottom"/>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73</w:t>
            </w:r>
          </w:p>
        </w:tc>
        <w:tc>
          <w:tcPr>
            <w:tcW w:w="886" w:type="dxa"/>
            <w:tcBorders>
              <w:bottom w:val="single" w:sz="4" w:space="0" w:color="auto"/>
            </w:tcBorders>
            <w:shd w:val="clear" w:color="auto" w:fill="EEECE1" w:themeFill="background2"/>
            <w:noWrap/>
            <w:vAlign w:val="bottom"/>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2%</w:t>
            </w:r>
          </w:p>
        </w:tc>
        <w:tc>
          <w:tcPr>
            <w:tcW w:w="886" w:type="dxa"/>
            <w:tcBorders>
              <w:bottom w:val="single" w:sz="4" w:space="0" w:color="auto"/>
            </w:tcBorders>
            <w:shd w:val="clear" w:color="auto" w:fill="auto"/>
            <w:noWrap/>
            <w:vAlign w:val="bottom"/>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1 636</w:t>
            </w:r>
          </w:p>
        </w:tc>
        <w:tc>
          <w:tcPr>
            <w:tcW w:w="886" w:type="dxa"/>
            <w:tcBorders>
              <w:bottom w:val="single" w:sz="4" w:space="0" w:color="auto"/>
            </w:tcBorders>
            <w:shd w:val="clear" w:color="auto" w:fill="EEECE1" w:themeFill="background2"/>
            <w:noWrap/>
            <w:vAlign w:val="bottom"/>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49%</w:t>
            </w:r>
          </w:p>
        </w:tc>
      </w:tr>
    </w:tbl>
    <w:p w:rsidR="007431AE" w:rsidRPr="00EF2265" w:rsidRDefault="007431AE" w:rsidP="00E86605">
      <w:pPr>
        <w:tabs>
          <w:tab w:val="left" w:pos="9356"/>
        </w:tabs>
        <w:jc w:val="left"/>
        <w:rPr>
          <w:rFonts w:ascii="Times New Roman" w:hAnsi="Times New Roman"/>
          <w:sz w:val="20"/>
          <w:szCs w:val="20"/>
          <w:lang w:eastAsia="sk-SK"/>
        </w:rPr>
      </w:pPr>
      <w:r w:rsidRPr="00EF2265">
        <w:rPr>
          <w:rFonts w:ascii="Times New Roman" w:hAnsi="Times New Roman"/>
          <w:sz w:val="20"/>
          <w:szCs w:val="20"/>
          <w:lang w:eastAsia="sk-SK"/>
        </w:rPr>
        <w:t>Stav k 31. 12. 2018</w:t>
      </w:r>
    </w:p>
    <w:p w:rsidR="007431AE" w:rsidRPr="00EF2265" w:rsidRDefault="007431AE" w:rsidP="00E86605">
      <w:pPr>
        <w:tabs>
          <w:tab w:val="left" w:pos="9356"/>
        </w:tabs>
        <w:jc w:val="left"/>
        <w:rPr>
          <w:rFonts w:ascii="Times New Roman" w:hAnsi="Times New Roman"/>
          <w:sz w:val="20"/>
          <w:szCs w:val="20"/>
          <w:lang w:eastAsia="sk-SK"/>
        </w:rPr>
      </w:pPr>
    </w:p>
    <w:p w:rsidR="007431AE" w:rsidRPr="00EF2265" w:rsidRDefault="007431AE" w:rsidP="00E86605">
      <w:pPr>
        <w:tabs>
          <w:tab w:val="left" w:pos="9356"/>
        </w:tabs>
        <w:jc w:val="left"/>
        <w:rPr>
          <w:rFonts w:ascii="Times New Roman" w:hAnsi="Times New Roman"/>
          <w:sz w:val="20"/>
          <w:szCs w:val="20"/>
          <w:lang w:eastAsia="sk-SK"/>
        </w:rPr>
      </w:pPr>
    </w:p>
    <w:p w:rsidR="007431AE" w:rsidRPr="00EF2265" w:rsidRDefault="007431AE" w:rsidP="00E86605">
      <w:pPr>
        <w:tabs>
          <w:tab w:val="left" w:pos="9356"/>
        </w:tabs>
        <w:jc w:val="left"/>
        <w:rPr>
          <w:rFonts w:ascii="Times New Roman" w:eastAsia="Times New Roman" w:hAnsi="Times New Roman"/>
          <w:b/>
          <w:iCs/>
          <w:sz w:val="20"/>
          <w:szCs w:val="20"/>
          <w:lang w:eastAsia="sk-SK"/>
        </w:rPr>
      </w:pPr>
      <w:bookmarkStart w:id="260" w:name="_Ref474778561"/>
      <w:bookmarkStart w:id="261" w:name="_Toc534793988"/>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53</w:t>
      </w:r>
      <w:r w:rsidRPr="00EF2265">
        <w:rPr>
          <w:rFonts w:ascii="Times New Roman" w:hAnsi="Times New Roman"/>
          <w:sz w:val="20"/>
          <w:szCs w:val="20"/>
        </w:rPr>
        <w:fldChar w:fldCharType="end"/>
      </w:r>
      <w:bookmarkEnd w:id="260"/>
      <w:r w:rsidRPr="00EF2265">
        <w:rPr>
          <w:rFonts w:ascii="Times New Roman" w:eastAsia="Times New Roman" w:hAnsi="Times New Roman"/>
          <w:iCs/>
          <w:sz w:val="20"/>
          <w:szCs w:val="20"/>
          <w:lang w:eastAsia="sk-SK"/>
        </w:rPr>
        <w:t xml:space="preserve">: Percento úspešnosti študentov </w:t>
      </w:r>
      <w:r w:rsidRPr="00EF2265">
        <w:rPr>
          <w:rFonts w:ascii="Times New Roman" w:eastAsia="Times New Roman" w:hAnsi="Times New Roman"/>
          <w:b/>
          <w:iCs/>
          <w:sz w:val="20"/>
          <w:szCs w:val="20"/>
          <w:lang w:eastAsia="sk-SK"/>
        </w:rPr>
        <w:t>na druhom stupni štúdia</w:t>
      </w:r>
      <w:bookmarkEnd w:id="261"/>
    </w:p>
    <w:tbl>
      <w:tblPr>
        <w:tblW w:w="951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49"/>
        <w:gridCol w:w="1276"/>
        <w:gridCol w:w="886"/>
        <w:gridCol w:w="886"/>
        <w:gridCol w:w="886"/>
        <w:gridCol w:w="886"/>
        <w:gridCol w:w="886"/>
        <w:gridCol w:w="886"/>
        <w:gridCol w:w="886"/>
        <w:gridCol w:w="886"/>
      </w:tblGrid>
      <w:tr w:rsidR="007431AE" w:rsidRPr="00EF2265" w:rsidTr="00E81927">
        <w:trPr>
          <w:trHeight w:val="20"/>
        </w:trPr>
        <w:tc>
          <w:tcPr>
            <w:tcW w:w="1149" w:type="dxa"/>
            <w:vMerge w:val="restart"/>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rok začatia štúdia</w:t>
            </w:r>
          </w:p>
        </w:tc>
        <w:tc>
          <w:tcPr>
            <w:tcW w:w="1276" w:type="dxa"/>
            <w:vMerge w:val="restart"/>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celkový počet zapísaných študentov</w:t>
            </w:r>
          </w:p>
        </w:tc>
        <w:tc>
          <w:tcPr>
            <w:tcW w:w="1772" w:type="dxa"/>
            <w:gridSpan w:val="2"/>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riadne skončili štúdium</w:t>
            </w:r>
          </w:p>
        </w:tc>
        <w:tc>
          <w:tcPr>
            <w:tcW w:w="1772" w:type="dxa"/>
            <w:gridSpan w:val="2"/>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boli vylúčení zo štúdia alebo zanechali štúdium</w:t>
            </w:r>
          </w:p>
        </w:tc>
        <w:tc>
          <w:tcPr>
            <w:tcW w:w="1772" w:type="dxa"/>
            <w:gridSpan w:val="2"/>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zmenili študijný program</w:t>
            </w:r>
          </w:p>
        </w:tc>
        <w:tc>
          <w:tcPr>
            <w:tcW w:w="1772" w:type="dxa"/>
            <w:gridSpan w:val="2"/>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štúdium trvá, prípadne je prerušené</w:t>
            </w:r>
          </w:p>
        </w:tc>
      </w:tr>
      <w:tr w:rsidR="007431AE" w:rsidRPr="00EF2265" w:rsidTr="00E81927">
        <w:trPr>
          <w:trHeight w:val="20"/>
        </w:trPr>
        <w:tc>
          <w:tcPr>
            <w:tcW w:w="1149" w:type="dxa"/>
            <w:vMerge/>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p>
        </w:tc>
        <w:tc>
          <w:tcPr>
            <w:tcW w:w="1276" w:type="dxa"/>
            <w:vMerge/>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p>
        </w:tc>
        <w:tc>
          <w:tcPr>
            <w:tcW w:w="886" w:type="dxa"/>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w:t>
            </w:r>
          </w:p>
        </w:tc>
        <w:tc>
          <w:tcPr>
            <w:tcW w:w="886" w:type="dxa"/>
            <w:shd w:val="clear" w:color="auto" w:fill="EEECE1" w:themeFill="background2"/>
            <w:noWrap/>
            <w:vAlign w:val="center"/>
            <w:hideMark/>
          </w:tcPr>
          <w:p w:rsidR="007431AE" w:rsidRPr="00EF2265" w:rsidRDefault="007431AE"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w:t>
            </w:r>
          </w:p>
        </w:tc>
        <w:tc>
          <w:tcPr>
            <w:tcW w:w="886" w:type="dxa"/>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w:t>
            </w:r>
          </w:p>
        </w:tc>
        <w:tc>
          <w:tcPr>
            <w:tcW w:w="886" w:type="dxa"/>
            <w:shd w:val="clear" w:color="auto" w:fill="EEECE1" w:themeFill="background2"/>
            <w:noWrap/>
            <w:vAlign w:val="center"/>
            <w:hideMark/>
          </w:tcPr>
          <w:p w:rsidR="007431AE" w:rsidRPr="00EF2265" w:rsidRDefault="007431AE"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w:t>
            </w:r>
          </w:p>
        </w:tc>
        <w:tc>
          <w:tcPr>
            <w:tcW w:w="886" w:type="dxa"/>
            <w:shd w:val="clear" w:color="auto" w:fill="auto"/>
            <w:vAlign w:val="bottom"/>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w:t>
            </w:r>
          </w:p>
        </w:tc>
        <w:tc>
          <w:tcPr>
            <w:tcW w:w="886" w:type="dxa"/>
            <w:shd w:val="clear" w:color="auto" w:fill="EEECE1" w:themeFill="background2"/>
            <w:noWrap/>
            <w:vAlign w:val="bottom"/>
            <w:hideMark/>
          </w:tcPr>
          <w:p w:rsidR="007431AE" w:rsidRPr="00EF2265" w:rsidRDefault="007431AE"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w:t>
            </w:r>
          </w:p>
        </w:tc>
        <w:tc>
          <w:tcPr>
            <w:tcW w:w="886" w:type="dxa"/>
            <w:shd w:val="clear" w:color="auto" w:fill="auto"/>
            <w:vAlign w:val="center"/>
            <w:hideMark/>
          </w:tcPr>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počet</w:t>
            </w:r>
          </w:p>
        </w:tc>
        <w:tc>
          <w:tcPr>
            <w:tcW w:w="886" w:type="dxa"/>
            <w:shd w:val="clear" w:color="auto" w:fill="EEECE1" w:themeFill="background2"/>
            <w:noWrap/>
            <w:vAlign w:val="center"/>
            <w:hideMark/>
          </w:tcPr>
          <w:p w:rsidR="007431AE" w:rsidRPr="00EF2265" w:rsidRDefault="007431AE" w:rsidP="00E86605">
            <w:pPr>
              <w:tabs>
                <w:tab w:val="left" w:pos="9356"/>
              </w:tabs>
              <w:jc w:val="left"/>
              <w:rPr>
                <w:rFonts w:ascii="Times New Roman" w:eastAsia="Times New Roman" w:hAnsi="Times New Roman"/>
                <w:b/>
                <w:sz w:val="20"/>
                <w:szCs w:val="20"/>
                <w:lang w:eastAsia="sk-SK"/>
              </w:rPr>
            </w:pPr>
            <w:r w:rsidRPr="00EF2265">
              <w:rPr>
                <w:rFonts w:ascii="Times New Roman" w:eastAsia="Times New Roman" w:hAnsi="Times New Roman"/>
                <w:b/>
                <w:sz w:val="20"/>
                <w:szCs w:val="20"/>
                <w:lang w:eastAsia="sk-SK"/>
              </w:rPr>
              <w:t>%</w:t>
            </w:r>
          </w:p>
        </w:tc>
      </w:tr>
      <w:tr w:rsidR="007431AE" w:rsidRPr="00EF2265" w:rsidTr="00E81927">
        <w:trPr>
          <w:trHeight w:val="269"/>
        </w:trPr>
        <w:tc>
          <w:tcPr>
            <w:tcW w:w="1149"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2010/2011</w:t>
            </w:r>
          </w:p>
        </w:tc>
        <w:tc>
          <w:tcPr>
            <w:tcW w:w="127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2 895</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2 477</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86%</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323</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11%</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94</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3%</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0%</w:t>
            </w:r>
          </w:p>
        </w:tc>
      </w:tr>
      <w:tr w:rsidR="007431AE" w:rsidRPr="00EF2265" w:rsidTr="00E81927">
        <w:trPr>
          <w:trHeight w:val="269"/>
        </w:trPr>
        <w:tc>
          <w:tcPr>
            <w:tcW w:w="1149"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2011/2012</w:t>
            </w:r>
          </w:p>
        </w:tc>
        <w:tc>
          <w:tcPr>
            <w:tcW w:w="127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2 528</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2 041</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81%</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339</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13%</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147</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6%</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0%</w:t>
            </w:r>
          </w:p>
        </w:tc>
      </w:tr>
      <w:tr w:rsidR="007431AE" w:rsidRPr="00EF2265" w:rsidTr="00E81927">
        <w:trPr>
          <w:trHeight w:val="269"/>
        </w:trPr>
        <w:tc>
          <w:tcPr>
            <w:tcW w:w="1149"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lastRenderedPageBreak/>
              <w:t>2012/2013</w:t>
            </w:r>
          </w:p>
        </w:tc>
        <w:tc>
          <w:tcPr>
            <w:tcW w:w="127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2 405</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2 124</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88%</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262</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11%</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19</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0</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0%</w:t>
            </w:r>
          </w:p>
        </w:tc>
      </w:tr>
      <w:tr w:rsidR="007431AE" w:rsidRPr="00EF2265" w:rsidTr="00E81927">
        <w:trPr>
          <w:trHeight w:val="269"/>
        </w:trPr>
        <w:tc>
          <w:tcPr>
            <w:tcW w:w="1149"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2013/2014</w:t>
            </w:r>
          </w:p>
        </w:tc>
        <w:tc>
          <w:tcPr>
            <w:tcW w:w="127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2 166</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1 826</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84%</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272</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13%</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67</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3%</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0%</w:t>
            </w:r>
          </w:p>
        </w:tc>
      </w:tr>
      <w:tr w:rsidR="007431AE" w:rsidRPr="00EF2265" w:rsidTr="00E81927">
        <w:trPr>
          <w:trHeight w:val="269"/>
        </w:trPr>
        <w:tc>
          <w:tcPr>
            <w:tcW w:w="1149"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2014/2015</w:t>
            </w:r>
          </w:p>
        </w:tc>
        <w:tc>
          <w:tcPr>
            <w:tcW w:w="127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2 097</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1 395</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67%</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217</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10%</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482</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23%</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3</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0%</w:t>
            </w:r>
          </w:p>
        </w:tc>
      </w:tr>
      <w:tr w:rsidR="007431AE" w:rsidRPr="00EF2265" w:rsidTr="00E81927">
        <w:trPr>
          <w:trHeight w:val="269"/>
        </w:trPr>
        <w:tc>
          <w:tcPr>
            <w:tcW w:w="1149"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2015/2016</w:t>
            </w:r>
          </w:p>
        </w:tc>
        <w:tc>
          <w:tcPr>
            <w:tcW w:w="127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3 285</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2 438</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74%</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300</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9%</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521</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16%</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26</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1%</w:t>
            </w:r>
          </w:p>
        </w:tc>
      </w:tr>
      <w:tr w:rsidR="007431AE" w:rsidRPr="00EF2265" w:rsidTr="00E81927">
        <w:trPr>
          <w:trHeight w:val="269"/>
        </w:trPr>
        <w:tc>
          <w:tcPr>
            <w:tcW w:w="1149"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2016/2017</w:t>
            </w:r>
          </w:p>
        </w:tc>
        <w:tc>
          <w:tcPr>
            <w:tcW w:w="127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1 996</w:t>
            </w:r>
          </w:p>
        </w:tc>
        <w:tc>
          <w:tcPr>
            <w:tcW w:w="886" w:type="dxa"/>
            <w:shd w:val="clear" w:color="auto" w:fill="auto"/>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1 554</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78%</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236</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12%</w:t>
            </w:r>
          </w:p>
        </w:tc>
        <w:tc>
          <w:tcPr>
            <w:tcW w:w="886" w:type="dxa"/>
            <w:shd w:val="clear" w:color="auto" w:fill="auto"/>
            <w:noWrap/>
            <w:vAlign w:val="bottom"/>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26</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1%</w:t>
            </w:r>
          </w:p>
        </w:tc>
        <w:tc>
          <w:tcPr>
            <w:tcW w:w="886" w:type="dxa"/>
            <w:shd w:val="clear" w:color="auto" w:fill="auto"/>
            <w:noWrap/>
            <w:vAlign w:val="bottom"/>
            <w:hideMark/>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180</w:t>
            </w:r>
          </w:p>
        </w:tc>
        <w:tc>
          <w:tcPr>
            <w:tcW w:w="886" w:type="dxa"/>
            <w:shd w:val="clear" w:color="auto" w:fill="EEECE1" w:themeFill="background2"/>
            <w:noWrap/>
            <w:vAlign w:val="bottom"/>
            <w:hideMark/>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9%</w:t>
            </w:r>
          </w:p>
        </w:tc>
      </w:tr>
      <w:tr w:rsidR="007431AE" w:rsidRPr="00EF2265" w:rsidTr="00E81927">
        <w:trPr>
          <w:trHeight w:val="269"/>
        </w:trPr>
        <w:tc>
          <w:tcPr>
            <w:tcW w:w="1149" w:type="dxa"/>
            <w:shd w:val="clear" w:color="auto" w:fill="auto"/>
            <w:noWrap/>
            <w:vAlign w:val="bottom"/>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2017/2018</w:t>
            </w:r>
          </w:p>
        </w:tc>
        <w:tc>
          <w:tcPr>
            <w:tcW w:w="1276" w:type="dxa"/>
            <w:shd w:val="clear" w:color="auto" w:fill="auto"/>
            <w:vAlign w:val="bottom"/>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1 799</w:t>
            </w:r>
          </w:p>
        </w:tc>
        <w:tc>
          <w:tcPr>
            <w:tcW w:w="886" w:type="dxa"/>
            <w:shd w:val="clear" w:color="auto" w:fill="auto"/>
            <w:vAlign w:val="bottom"/>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44</w:t>
            </w:r>
          </w:p>
        </w:tc>
        <w:tc>
          <w:tcPr>
            <w:tcW w:w="886" w:type="dxa"/>
            <w:shd w:val="clear" w:color="auto" w:fill="EEECE1" w:themeFill="background2"/>
            <w:noWrap/>
            <w:vAlign w:val="bottom"/>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2%</w:t>
            </w:r>
          </w:p>
        </w:tc>
        <w:tc>
          <w:tcPr>
            <w:tcW w:w="886" w:type="dxa"/>
            <w:shd w:val="clear" w:color="auto" w:fill="auto"/>
            <w:noWrap/>
            <w:vAlign w:val="bottom"/>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156</w:t>
            </w:r>
          </w:p>
        </w:tc>
        <w:tc>
          <w:tcPr>
            <w:tcW w:w="886" w:type="dxa"/>
            <w:shd w:val="clear" w:color="auto" w:fill="EEECE1" w:themeFill="background2"/>
            <w:noWrap/>
            <w:vAlign w:val="bottom"/>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9%</w:t>
            </w:r>
          </w:p>
        </w:tc>
        <w:tc>
          <w:tcPr>
            <w:tcW w:w="886" w:type="dxa"/>
            <w:shd w:val="clear" w:color="auto" w:fill="auto"/>
            <w:noWrap/>
            <w:vAlign w:val="bottom"/>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42</w:t>
            </w:r>
          </w:p>
        </w:tc>
        <w:tc>
          <w:tcPr>
            <w:tcW w:w="886" w:type="dxa"/>
            <w:shd w:val="clear" w:color="auto" w:fill="EEECE1" w:themeFill="background2"/>
            <w:noWrap/>
            <w:vAlign w:val="bottom"/>
          </w:tcPr>
          <w:p w:rsidR="007431AE" w:rsidRPr="00EF2265" w:rsidRDefault="007431AE" w:rsidP="00E86605">
            <w:pPr>
              <w:jc w:val="left"/>
              <w:rPr>
                <w:rFonts w:ascii="Times New Roman" w:hAnsi="Times New Roman"/>
                <w:b/>
                <w:sz w:val="20"/>
                <w:szCs w:val="20"/>
              </w:rPr>
            </w:pPr>
            <w:r w:rsidRPr="00EF2265">
              <w:rPr>
                <w:rFonts w:ascii="Times New Roman" w:hAnsi="Times New Roman"/>
                <w:b/>
                <w:sz w:val="20"/>
                <w:szCs w:val="20"/>
              </w:rPr>
              <w:t>2%</w:t>
            </w:r>
          </w:p>
        </w:tc>
        <w:tc>
          <w:tcPr>
            <w:tcW w:w="886" w:type="dxa"/>
            <w:shd w:val="clear" w:color="auto" w:fill="auto"/>
            <w:noWrap/>
            <w:vAlign w:val="bottom"/>
          </w:tcPr>
          <w:p w:rsidR="007431AE" w:rsidRPr="00EF2265" w:rsidRDefault="007431AE" w:rsidP="00E86605">
            <w:pPr>
              <w:jc w:val="left"/>
              <w:rPr>
                <w:rFonts w:ascii="Times New Roman" w:hAnsi="Times New Roman"/>
                <w:color w:val="000000"/>
                <w:sz w:val="20"/>
                <w:szCs w:val="20"/>
              </w:rPr>
            </w:pPr>
            <w:r w:rsidRPr="00EF2265">
              <w:rPr>
                <w:rFonts w:ascii="Times New Roman" w:hAnsi="Times New Roman"/>
                <w:color w:val="000000"/>
                <w:sz w:val="20"/>
                <w:szCs w:val="20"/>
              </w:rPr>
              <w:t>1 557</w:t>
            </w:r>
          </w:p>
        </w:tc>
        <w:tc>
          <w:tcPr>
            <w:tcW w:w="886" w:type="dxa"/>
            <w:shd w:val="clear" w:color="auto" w:fill="EEECE1" w:themeFill="background2"/>
            <w:noWrap/>
            <w:vAlign w:val="bottom"/>
          </w:tcPr>
          <w:p w:rsidR="007431AE" w:rsidRPr="00EF2265" w:rsidRDefault="007431AE" w:rsidP="00E86605">
            <w:pPr>
              <w:jc w:val="left"/>
              <w:rPr>
                <w:rFonts w:ascii="Times New Roman" w:hAnsi="Times New Roman"/>
                <w:b/>
                <w:color w:val="000000"/>
                <w:sz w:val="20"/>
                <w:szCs w:val="20"/>
              </w:rPr>
            </w:pPr>
            <w:r w:rsidRPr="00EF2265">
              <w:rPr>
                <w:rFonts w:ascii="Times New Roman" w:hAnsi="Times New Roman"/>
                <w:b/>
                <w:color w:val="000000"/>
                <w:sz w:val="20"/>
                <w:szCs w:val="20"/>
              </w:rPr>
              <w:t>87%</w:t>
            </w:r>
          </w:p>
        </w:tc>
      </w:tr>
    </w:tbl>
    <w:p w:rsidR="007431AE" w:rsidRPr="00EF2265" w:rsidRDefault="007431AE" w:rsidP="00E86605">
      <w:pPr>
        <w:tabs>
          <w:tab w:val="left" w:pos="9356"/>
        </w:tabs>
        <w:jc w:val="left"/>
        <w:rPr>
          <w:rFonts w:ascii="Times New Roman" w:hAnsi="Times New Roman"/>
          <w:sz w:val="20"/>
          <w:szCs w:val="20"/>
          <w:lang w:eastAsia="sk-SK"/>
        </w:rPr>
      </w:pPr>
      <w:r w:rsidRPr="00EF2265">
        <w:rPr>
          <w:rFonts w:ascii="Times New Roman" w:hAnsi="Times New Roman"/>
          <w:sz w:val="20"/>
          <w:szCs w:val="20"/>
          <w:lang w:eastAsia="sk-SK"/>
        </w:rPr>
        <w:t>Stav k 31. 12. 2018</w:t>
      </w:r>
    </w:p>
    <w:p w:rsidR="007431AE" w:rsidRPr="00EF2265" w:rsidRDefault="007431AE" w:rsidP="00E86605">
      <w:pPr>
        <w:jc w:val="left"/>
        <w:rPr>
          <w:rFonts w:ascii="Times New Roman" w:hAnsi="Times New Roman"/>
          <w:sz w:val="20"/>
          <w:szCs w:val="20"/>
          <w:lang w:eastAsia="sk-SK"/>
        </w:rPr>
      </w:pP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Úspešnosť študentov počas prvého stupňa štúdia je uvedená v prvej časti tabuľky. Z prezentovaných údajov je zrejmé, že je potrebné úspešnosť študentov na prvom stupni riešiť systémovo na celej univerzite a aj preto bolo zvyšovanie úspešnosti študentov (hlavne prvého stupňa štúdia) jedným zo strategických cieľov STU v oblasti vzdelávania na roky 2012 – 2017. Treba ale uviesť, že úspešnosť študentov na technických univerzitách v okolitých krajinách sa pohybuje na úrovni 50 %. </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Jedným z opatrení, ktoré sa na STU darí uplatňovať, je tzv. </w:t>
      </w:r>
      <w:r w:rsidRPr="00EF2265">
        <w:rPr>
          <w:rFonts w:ascii="Times New Roman" w:hAnsi="Times New Roman"/>
          <w:b/>
          <w:sz w:val="20"/>
          <w:szCs w:val="20"/>
        </w:rPr>
        <w:t>študentský koučing, resp. študentský radca – vzájomné podporovanie sa študentov hlavne formou doučovania</w:t>
      </w:r>
      <w:r w:rsidRPr="00EF2265">
        <w:rPr>
          <w:rFonts w:ascii="Times New Roman" w:hAnsi="Times New Roman"/>
          <w:sz w:val="20"/>
          <w:szCs w:val="20"/>
        </w:rPr>
        <w:t>, do ktorého sa postupne zapojila väčšina fakúlt prostredníctvom študentských organizácií alebo jednotlivcov. V akademickom roku 2017/2018 doučovanie prebiehalo najmä vo vybraných predmetoch, ktoré sú pre študentov dlhodobo najproblematickejšie.</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Ako už bolo uvedené v inej časti správy, medzi najčastejšie príčiny neúspechu študentov na prvom stupni patria: nedostatočná príprava na strednej škole na štúdium technického zamerania </w:t>
      </w:r>
      <w:r w:rsidRPr="00EF2265">
        <w:rPr>
          <w:rFonts w:ascii="Times New Roman" w:hAnsi="Times New Roman"/>
          <w:b/>
          <w:sz w:val="20"/>
          <w:szCs w:val="20"/>
        </w:rPr>
        <w:t>(znižovanie rozsahu a úrovne výučby hlavne prírodovedných predmetov)</w:t>
      </w:r>
      <w:r w:rsidRPr="00EF2265">
        <w:rPr>
          <w:rFonts w:ascii="Times New Roman" w:hAnsi="Times New Roman"/>
          <w:sz w:val="20"/>
          <w:szCs w:val="20"/>
        </w:rPr>
        <w:t xml:space="preserve">, zmena prostredia a systému vzdelávania na univerzite, prenášanie predmetov a kreditov do vyšších rokov štúdia a pod. </w:t>
      </w:r>
    </w:p>
    <w:p w:rsidR="007431AE" w:rsidRPr="00EF2265" w:rsidRDefault="007431AE" w:rsidP="00E86605">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Naproti tomu </w:t>
      </w:r>
      <w:r w:rsidRPr="00EF2265">
        <w:rPr>
          <w:rFonts w:ascii="Times New Roman" w:hAnsi="Times New Roman"/>
          <w:b/>
          <w:sz w:val="20"/>
          <w:szCs w:val="20"/>
        </w:rPr>
        <w:t>úspešnosť štúdia na druhom stupni je vysoká</w:t>
      </w:r>
      <w:r w:rsidRPr="00EF2265">
        <w:rPr>
          <w:rFonts w:ascii="Times New Roman" w:hAnsi="Times New Roman"/>
          <w:sz w:val="20"/>
          <w:szCs w:val="20"/>
        </w:rPr>
        <w:t xml:space="preserve">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_Ref474778561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53</w:t>
      </w:r>
      <w:r w:rsidRPr="00EF2265">
        <w:rPr>
          <w:rFonts w:ascii="Times New Roman" w:hAnsi="Times New Roman"/>
          <w:sz w:val="20"/>
          <w:szCs w:val="20"/>
        </w:rPr>
        <w:fldChar w:fldCharType="end"/>
      </w:r>
      <w:r w:rsidRPr="00EF2265">
        <w:rPr>
          <w:rFonts w:ascii="Times New Roman" w:hAnsi="Times New Roman"/>
          <w:sz w:val="20"/>
          <w:szCs w:val="20"/>
        </w:rPr>
        <w:t>), dosahuje v priemere 85 % na celej univerzite. Je daná hlavne vyššou motiváciou študentov úspešne skončiť štúdium, bližším vzťahom študentov k študovanému študijnému programu ako aj kvalitnými odbornými znalosti, zručnosťami a návykmi získanými počas prvého stupňa štúdia.</w:t>
      </w:r>
    </w:p>
    <w:p w:rsidR="007431AE" w:rsidRPr="00EF2265" w:rsidRDefault="007431AE" w:rsidP="00E86605">
      <w:pPr>
        <w:tabs>
          <w:tab w:val="left" w:pos="9356"/>
        </w:tabs>
        <w:jc w:val="left"/>
        <w:rPr>
          <w:rFonts w:ascii="Times New Roman" w:hAnsi="Times New Roman"/>
          <w:sz w:val="20"/>
          <w:szCs w:val="20"/>
        </w:rPr>
      </w:pPr>
      <w:r w:rsidRPr="00EF2265">
        <w:rPr>
          <w:rFonts w:ascii="Times New Roman" w:hAnsi="Times New Roman"/>
          <w:sz w:val="20"/>
          <w:szCs w:val="20"/>
        </w:rPr>
        <w:t xml:space="preserve">Zo študijných výsledkov študentov prvého stupňa štúdia, ktoré sú reprezentované váženými študijnými priemermi (VŠP) je vidieť, že študenti na prvom stupni štúdia dosahujú v nižších rokoch štúdia väčšinou priemerné študijné výsledky, to je VŠP &lt;2,00 – 3,00) a najmä v prvom roku štúdia je väčšie zastúpenie študentov s VŠP &lt;3,00 – 4,00). Študijné výsledky študentov prvého stupňa sa výraznejšie zlepšujú vo vyšších rokoch štúdia (v treťom a štvrtom) ako uvádza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_Ref474778636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54</w:t>
      </w:r>
      <w:r w:rsidRPr="00EF2265">
        <w:rPr>
          <w:rFonts w:ascii="Times New Roman" w:hAnsi="Times New Roman"/>
          <w:sz w:val="20"/>
          <w:szCs w:val="20"/>
        </w:rPr>
        <w:fldChar w:fldCharType="end"/>
      </w:r>
      <w:r w:rsidRPr="00EF2265">
        <w:rPr>
          <w:rFonts w:ascii="Times New Roman" w:hAnsi="Times New Roman"/>
          <w:sz w:val="20"/>
          <w:szCs w:val="20"/>
        </w:rPr>
        <w:t>.</w:t>
      </w:r>
    </w:p>
    <w:p w:rsidR="007431AE" w:rsidRPr="00EF2265" w:rsidRDefault="007431AE" w:rsidP="00E86605">
      <w:pPr>
        <w:tabs>
          <w:tab w:val="left" w:pos="9356"/>
        </w:tabs>
        <w:jc w:val="left"/>
        <w:rPr>
          <w:rFonts w:ascii="Times New Roman" w:hAnsi="Times New Roman"/>
          <w:sz w:val="20"/>
          <w:szCs w:val="20"/>
        </w:rPr>
      </w:pPr>
    </w:p>
    <w:p w:rsidR="007431AE" w:rsidRPr="00EF2265" w:rsidRDefault="007431AE" w:rsidP="00E86605">
      <w:pPr>
        <w:tabs>
          <w:tab w:val="left" w:pos="9356"/>
        </w:tabs>
        <w:jc w:val="left"/>
        <w:rPr>
          <w:rFonts w:ascii="Times New Roman" w:hAnsi="Times New Roman"/>
          <w:sz w:val="20"/>
          <w:szCs w:val="20"/>
        </w:rPr>
      </w:pPr>
      <w:bookmarkStart w:id="262" w:name="_Ref474778636"/>
      <w:bookmarkStart w:id="263" w:name="_Toc534793989"/>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54</w:t>
      </w:r>
      <w:r w:rsidRPr="00EF2265">
        <w:rPr>
          <w:rFonts w:ascii="Times New Roman" w:hAnsi="Times New Roman"/>
          <w:sz w:val="20"/>
          <w:szCs w:val="20"/>
        </w:rPr>
        <w:fldChar w:fldCharType="end"/>
      </w:r>
      <w:bookmarkEnd w:id="262"/>
      <w:r w:rsidRPr="00EF2265">
        <w:rPr>
          <w:rFonts w:ascii="Times New Roman" w:hAnsi="Times New Roman"/>
          <w:sz w:val="20"/>
          <w:szCs w:val="20"/>
        </w:rPr>
        <w:t xml:space="preserve">: Študijné výsledky </w:t>
      </w:r>
      <w:r w:rsidRPr="00EF2265">
        <w:rPr>
          <w:rFonts w:ascii="Times New Roman" w:hAnsi="Times New Roman"/>
          <w:b/>
          <w:sz w:val="20"/>
          <w:szCs w:val="20"/>
        </w:rPr>
        <w:t xml:space="preserve">na prvom stupni štúdia </w:t>
      </w:r>
      <w:r w:rsidRPr="00EF2265">
        <w:rPr>
          <w:rFonts w:ascii="Times New Roman" w:hAnsi="Times New Roman"/>
          <w:sz w:val="20"/>
          <w:szCs w:val="20"/>
        </w:rPr>
        <w:t>v dennej forme v akademickom roku 2017/2018</w:t>
      </w:r>
      <w:bookmarkEnd w:id="263"/>
      <w:r w:rsidRPr="00EF2265">
        <w:rPr>
          <w:rFonts w:ascii="Times New Roman" w:hAnsi="Times New Roman"/>
          <w:sz w:val="20"/>
          <w:szCs w:val="20"/>
        </w:rPr>
        <w:t xml:space="preserve"> </w:t>
      </w:r>
    </w:p>
    <w:tbl>
      <w:tblPr>
        <w:tblW w:w="6177" w:type="dxa"/>
        <w:tblInd w:w="55" w:type="dxa"/>
        <w:tblLayout w:type="fixed"/>
        <w:tblCellMar>
          <w:left w:w="70" w:type="dxa"/>
          <w:right w:w="70" w:type="dxa"/>
        </w:tblCellMar>
        <w:tblLook w:val="04A0" w:firstRow="1" w:lastRow="0" w:firstColumn="1" w:lastColumn="0" w:noHBand="0" w:noVBand="1"/>
      </w:tblPr>
      <w:tblGrid>
        <w:gridCol w:w="1216"/>
        <w:gridCol w:w="1653"/>
        <w:gridCol w:w="1654"/>
        <w:gridCol w:w="1654"/>
      </w:tblGrid>
      <w:tr w:rsidR="007431AE" w:rsidRPr="00EF2265" w:rsidTr="00E81927">
        <w:trPr>
          <w:trHeight w:val="255"/>
        </w:trPr>
        <w:tc>
          <w:tcPr>
            <w:tcW w:w="12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ročník</w:t>
            </w:r>
          </w:p>
        </w:tc>
        <w:tc>
          <w:tcPr>
            <w:tcW w:w="496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vážený študijný priemer</w:t>
            </w:r>
          </w:p>
        </w:tc>
      </w:tr>
      <w:tr w:rsidR="007431AE" w:rsidRPr="00EF2265" w:rsidTr="00E81927">
        <w:trPr>
          <w:trHeight w:val="285"/>
        </w:trPr>
        <w:tc>
          <w:tcPr>
            <w:tcW w:w="1216" w:type="dxa"/>
            <w:vMerge/>
            <w:tcBorders>
              <w:top w:val="single" w:sz="4" w:space="0" w:color="auto"/>
              <w:left w:val="single" w:sz="4" w:space="0" w:color="auto"/>
              <w:bottom w:val="single" w:sz="4" w:space="0" w:color="000000"/>
              <w:right w:val="single" w:sz="4" w:space="0" w:color="auto"/>
            </w:tcBorders>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p>
        </w:tc>
        <w:tc>
          <w:tcPr>
            <w:tcW w:w="1653"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VŠP &lt;1,00-2,00)</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VŠP &lt;2,00-3,00)</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VŠP &lt;3,00-4,00)</w:t>
            </w:r>
          </w:p>
        </w:tc>
      </w:tr>
      <w:tr w:rsidR="007431AE" w:rsidRPr="00EF2265" w:rsidTr="00E81927">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 rok</w:t>
            </w:r>
          </w:p>
        </w:tc>
        <w:tc>
          <w:tcPr>
            <w:tcW w:w="1653"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14,97%</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35,72%</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49,31%</w:t>
            </w:r>
          </w:p>
        </w:tc>
      </w:tr>
      <w:tr w:rsidR="007431AE" w:rsidRPr="00EF2265" w:rsidTr="00E81927">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 rok</w:t>
            </w:r>
          </w:p>
        </w:tc>
        <w:tc>
          <w:tcPr>
            <w:tcW w:w="1653"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29,91%</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48,89%</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21,20%</w:t>
            </w:r>
          </w:p>
        </w:tc>
      </w:tr>
      <w:tr w:rsidR="007431AE" w:rsidRPr="00EF2265" w:rsidTr="00E81927">
        <w:trPr>
          <w:trHeight w:val="240"/>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3. rok</w:t>
            </w:r>
          </w:p>
        </w:tc>
        <w:tc>
          <w:tcPr>
            <w:tcW w:w="1653"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42,67%</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35,51%</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21,82%</w:t>
            </w:r>
          </w:p>
        </w:tc>
      </w:tr>
      <w:tr w:rsidR="007431AE" w:rsidRPr="00EF2265" w:rsidTr="00E81927">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4. rok</w:t>
            </w:r>
          </w:p>
        </w:tc>
        <w:tc>
          <w:tcPr>
            <w:tcW w:w="1653"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51,46%</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31,67%</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16,87%</w:t>
            </w:r>
          </w:p>
        </w:tc>
      </w:tr>
    </w:tbl>
    <w:p w:rsidR="007431AE" w:rsidRPr="00EF2265" w:rsidRDefault="007431AE" w:rsidP="00E86605">
      <w:pPr>
        <w:tabs>
          <w:tab w:val="left" w:pos="9356"/>
        </w:tabs>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Stav k 31. 8. 2018</w:t>
      </w:r>
    </w:p>
    <w:p w:rsidR="007431AE" w:rsidRPr="00EF2265" w:rsidRDefault="007431AE" w:rsidP="00E86605">
      <w:pPr>
        <w:tabs>
          <w:tab w:val="left" w:pos="9356"/>
        </w:tabs>
        <w:jc w:val="left"/>
        <w:rPr>
          <w:rFonts w:ascii="Times New Roman" w:eastAsia="Calibri" w:hAnsi="Times New Roman"/>
          <w:sz w:val="20"/>
          <w:szCs w:val="20"/>
        </w:rPr>
      </w:pPr>
    </w:p>
    <w:p w:rsidR="007431AE" w:rsidRPr="00EF2265" w:rsidRDefault="007431AE" w:rsidP="00E86605">
      <w:pPr>
        <w:tabs>
          <w:tab w:val="left" w:pos="9356"/>
        </w:tabs>
        <w:jc w:val="left"/>
        <w:rPr>
          <w:rFonts w:ascii="Times New Roman" w:hAnsi="Times New Roman"/>
          <w:sz w:val="20"/>
          <w:szCs w:val="20"/>
        </w:rPr>
      </w:pPr>
      <w:r w:rsidRPr="00EF2265">
        <w:rPr>
          <w:rFonts w:ascii="Times New Roman" w:hAnsi="Times New Roman"/>
          <w:sz w:val="20"/>
          <w:szCs w:val="20"/>
        </w:rPr>
        <w:t>Na druhom stupni štúdia naopak väčšina študentov dosahuje lepšie študijné výsledky, to je VŠP &lt;1,00 – 2,00), čo je zrejme dané už spomínanou vyššou motiváciu a záujmom študovať (</w:t>
      </w:r>
      <w:r w:rsidRPr="00EF2265">
        <w:rPr>
          <w:rFonts w:ascii="Times New Roman" w:hAnsi="Times New Roman"/>
          <w:sz w:val="20"/>
          <w:szCs w:val="20"/>
        </w:rPr>
        <w:fldChar w:fldCharType="begin"/>
      </w:r>
      <w:r w:rsidRPr="00EF2265">
        <w:rPr>
          <w:rFonts w:ascii="Times New Roman" w:hAnsi="Times New Roman"/>
          <w:sz w:val="20"/>
          <w:szCs w:val="20"/>
        </w:rPr>
        <w:instrText xml:space="preserve"> REF _Ref474778671 \h  \* MERGEFORMAT </w:instrText>
      </w:r>
      <w:r w:rsidRPr="00EF2265">
        <w:rPr>
          <w:rFonts w:ascii="Times New Roman" w:hAnsi="Times New Roman"/>
          <w:sz w:val="20"/>
          <w:szCs w:val="20"/>
        </w:rPr>
      </w:r>
      <w:r w:rsidRPr="00EF2265">
        <w:rPr>
          <w:rFonts w:ascii="Times New Roman" w:hAnsi="Times New Roman"/>
          <w:sz w:val="20"/>
          <w:szCs w:val="20"/>
        </w:rPr>
        <w:fldChar w:fldCharType="separate"/>
      </w:r>
      <w:r w:rsidR="001C349F" w:rsidRPr="00EF2265">
        <w:rPr>
          <w:rFonts w:ascii="Times New Roman" w:hAnsi="Times New Roman"/>
          <w:sz w:val="20"/>
          <w:szCs w:val="20"/>
        </w:rPr>
        <w:t xml:space="preserve">Tab. č. </w:t>
      </w:r>
      <w:r w:rsidR="001C349F">
        <w:rPr>
          <w:rFonts w:ascii="Times New Roman" w:hAnsi="Times New Roman"/>
          <w:sz w:val="20"/>
          <w:szCs w:val="20"/>
        </w:rPr>
        <w:t>55</w:t>
      </w:r>
      <w:r w:rsidRPr="00EF2265">
        <w:rPr>
          <w:rFonts w:ascii="Times New Roman" w:hAnsi="Times New Roman"/>
          <w:sz w:val="20"/>
          <w:szCs w:val="20"/>
        </w:rPr>
        <w:fldChar w:fldCharType="end"/>
      </w:r>
      <w:r w:rsidRPr="00EF2265">
        <w:rPr>
          <w:rFonts w:ascii="Times New Roman" w:hAnsi="Times New Roman"/>
          <w:sz w:val="20"/>
          <w:szCs w:val="20"/>
        </w:rPr>
        <w:t>)</w:t>
      </w:r>
    </w:p>
    <w:p w:rsidR="007431AE" w:rsidRPr="00EF2265" w:rsidRDefault="007431AE" w:rsidP="00E86605">
      <w:pPr>
        <w:tabs>
          <w:tab w:val="left" w:pos="9356"/>
        </w:tabs>
        <w:jc w:val="left"/>
        <w:rPr>
          <w:rFonts w:ascii="Times New Roman" w:hAnsi="Times New Roman"/>
          <w:sz w:val="20"/>
          <w:szCs w:val="20"/>
        </w:rPr>
      </w:pPr>
    </w:p>
    <w:p w:rsidR="007431AE" w:rsidRPr="00EF2265" w:rsidRDefault="007431AE" w:rsidP="00E86605">
      <w:pPr>
        <w:tabs>
          <w:tab w:val="left" w:pos="9356"/>
        </w:tabs>
        <w:jc w:val="left"/>
        <w:rPr>
          <w:rFonts w:ascii="Times New Roman" w:hAnsi="Times New Roman"/>
          <w:sz w:val="20"/>
          <w:szCs w:val="20"/>
        </w:rPr>
      </w:pPr>
      <w:bookmarkStart w:id="264" w:name="_Ref474778671"/>
      <w:bookmarkStart w:id="265" w:name="_Toc534793990"/>
      <w:r w:rsidRPr="00EF2265">
        <w:rPr>
          <w:rFonts w:ascii="Times New Roman" w:hAnsi="Times New Roman"/>
          <w:sz w:val="20"/>
          <w:szCs w:val="20"/>
        </w:rPr>
        <w:t xml:space="preserve">Tab. č. </w:t>
      </w:r>
      <w:r w:rsidRPr="00EF2265">
        <w:rPr>
          <w:rFonts w:ascii="Times New Roman" w:hAnsi="Times New Roman"/>
          <w:sz w:val="20"/>
          <w:szCs w:val="20"/>
        </w:rPr>
        <w:fldChar w:fldCharType="begin"/>
      </w:r>
      <w:r w:rsidRPr="00EF2265">
        <w:rPr>
          <w:rFonts w:ascii="Times New Roman" w:hAnsi="Times New Roman"/>
          <w:sz w:val="20"/>
          <w:szCs w:val="20"/>
        </w:rPr>
        <w:instrText xml:space="preserve"> SEQ Tabuľka_č. \* ARABIC </w:instrText>
      </w:r>
      <w:r w:rsidRPr="00EF2265">
        <w:rPr>
          <w:rFonts w:ascii="Times New Roman" w:hAnsi="Times New Roman"/>
          <w:sz w:val="20"/>
          <w:szCs w:val="20"/>
        </w:rPr>
        <w:fldChar w:fldCharType="separate"/>
      </w:r>
      <w:r w:rsidR="001C349F">
        <w:rPr>
          <w:rFonts w:ascii="Times New Roman" w:hAnsi="Times New Roman"/>
          <w:noProof/>
          <w:sz w:val="20"/>
          <w:szCs w:val="20"/>
        </w:rPr>
        <w:t>55</w:t>
      </w:r>
      <w:r w:rsidRPr="00EF2265">
        <w:rPr>
          <w:rFonts w:ascii="Times New Roman" w:hAnsi="Times New Roman"/>
          <w:sz w:val="20"/>
          <w:szCs w:val="20"/>
        </w:rPr>
        <w:fldChar w:fldCharType="end"/>
      </w:r>
      <w:bookmarkEnd w:id="264"/>
      <w:r w:rsidRPr="00EF2265">
        <w:rPr>
          <w:rFonts w:ascii="Times New Roman" w:hAnsi="Times New Roman"/>
          <w:sz w:val="20"/>
          <w:szCs w:val="20"/>
        </w:rPr>
        <w:t>: Študijné výsledky</w:t>
      </w:r>
      <w:r w:rsidRPr="00EF2265">
        <w:rPr>
          <w:rFonts w:ascii="Times New Roman" w:hAnsi="Times New Roman"/>
          <w:b/>
          <w:sz w:val="20"/>
          <w:szCs w:val="20"/>
        </w:rPr>
        <w:t xml:space="preserve"> na druhom stupni štúdia </w:t>
      </w:r>
      <w:r w:rsidRPr="00EF2265">
        <w:rPr>
          <w:rFonts w:ascii="Times New Roman" w:hAnsi="Times New Roman"/>
          <w:sz w:val="20"/>
          <w:szCs w:val="20"/>
        </w:rPr>
        <w:t>v dennej forme v akademickom roku 2017/2018</w:t>
      </w:r>
      <w:bookmarkEnd w:id="265"/>
    </w:p>
    <w:tbl>
      <w:tblPr>
        <w:tblW w:w="6177" w:type="dxa"/>
        <w:tblInd w:w="55" w:type="dxa"/>
        <w:tblLayout w:type="fixed"/>
        <w:tblCellMar>
          <w:left w:w="70" w:type="dxa"/>
          <w:right w:w="70" w:type="dxa"/>
        </w:tblCellMar>
        <w:tblLook w:val="04A0" w:firstRow="1" w:lastRow="0" w:firstColumn="1" w:lastColumn="0" w:noHBand="0" w:noVBand="1"/>
      </w:tblPr>
      <w:tblGrid>
        <w:gridCol w:w="1216"/>
        <w:gridCol w:w="1653"/>
        <w:gridCol w:w="1654"/>
        <w:gridCol w:w="1654"/>
      </w:tblGrid>
      <w:tr w:rsidR="007431AE" w:rsidRPr="00EF2265" w:rsidTr="00E81927">
        <w:trPr>
          <w:trHeight w:val="255"/>
        </w:trPr>
        <w:tc>
          <w:tcPr>
            <w:tcW w:w="12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ročník</w:t>
            </w:r>
          </w:p>
        </w:tc>
        <w:tc>
          <w:tcPr>
            <w:tcW w:w="496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vážený študijný priemer</w:t>
            </w:r>
          </w:p>
        </w:tc>
      </w:tr>
      <w:tr w:rsidR="007431AE" w:rsidRPr="00EF2265" w:rsidTr="00E81927">
        <w:trPr>
          <w:trHeight w:val="255"/>
        </w:trPr>
        <w:tc>
          <w:tcPr>
            <w:tcW w:w="1216" w:type="dxa"/>
            <w:vMerge/>
            <w:tcBorders>
              <w:top w:val="single" w:sz="4" w:space="0" w:color="auto"/>
              <w:left w:val="single" w:sz="4" w:space="0" w:color="auto"/>
              <w:bottom w:val="single" w:sz="4" w:space="0" w:color="auto"/>
              <w:right w:val="single" w:sz="4" w:space="0" w:color="auto"/>
            </w:tcBorders>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p>
        </w:tc>
        <w:tc>
          <w:tcPr>
            <w:tcW w:w="1653"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VŠP &lt;1,00-2,00)</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VŠP &lt;2,00-3,00)</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hAnsi="Times New Roman"/>
                <w:b/>
                <w:bCs/>
                <w:sz w:val="20"/>
                <w:szCs w:val="20"/>
              </w:rPr>
            </w:pPr>
            <w:r w:rsidRPr="00EF2265">
              <w:rPr>
                <w:rFonts w:ascii="Times New Roman" w:hAnsi="Times New Roman"/>
                <w:b/>
                <w:bCs/>
                <w:sz w:val="20"/>
                <w:szCs w:val="20"/>
              </w:rPr>
              <w:t>VŠP &lt;3,00-4,00)</w:t>
            </w:r>
          </w:p>
        </w:tc>
      </w:tr>
      <w:tr w:rsidR="007431AE" w:rsidRPr="00EF2265" w:rsidTr="00E81927">
        <w:trPr>
          <w:trHeight w:val="25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1. rok</w:t>
            </w:r>
          </w:p>
        </w:tc>
        <w:tc>
          <w:tcPr>
            <w:tcW w:w="1653"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59,67%</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32,17%</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8,16%</w:t>
            </w:r>
          </w:p>
        </w:tc>
      </w:tr>
      <w:tr w:rsidR="007431AE" w:rsidRPr="00EF2265" w:rsidTr="00E81927">
        <w:trPr>
          <w:trHeight w:val="28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7431AE" w:rsidRPr="00EF2265" w:rsidRDefault="007431AE" w:rsidP="00E86605">
            <w:pPr>
              <w:tabs>
                <w:tab w:val="left" w:pos="9356"/>
              </w:tabs>
              <w:jc w:val="left"/>
              <w:rPr>
                <w:rFonts w:ascii="Times New Roman" w:eastAsia="Times New Roman" w:hAnsi="Times New Roman"/>
                <w:b/>
                <w:bCs/>
                <w:sz w:val="20"/>
                <w:szCs w:val="20"/>
                <w:lang w:eastAsia="sk-SK"/>
              </w:rPr>
            </w:pPr>
            <w:r w:rsidRPr="00EF2265">
              <w:rPr>
                <w:rFonts w:ascii="Times New Roman" w:eastAsia="Times New Roman" w:hAnsi="Times New Roman"/>
                <w:b/>
                <w:bCs/>
                <w:sz w:val="20"/>
                <w:szCs w:val="20"/>
                <w:lang w:eastAsia="sk-SK"/>
              </w:rPr>
              <w:t>2. rok</w:t>
            </w:r>
          </w:p>
        </w:tc>
        <w:tc>
          <w:tcPr>
            <w:tcW w:w="1653"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72,66%</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19,15%</w:t>
            </w:r>
          </w:p>
        </w:tc>
        <w:tc>
          <w:tcPr>
            <w:tcW w:w="1654" w:type="dxa"/>
            <w:tcBorders>
              <w:top w:val="nil"/>
              <w:left w:val="nil"/>
              <w:bottom w:val="single" w:sz="4" w:space="0" w:color="auto"/>
              <w:right w:val="single" w:sz="4" w:space="0" w:color="auto"/>
            </w:tcBorders>
            <w:shd w:val="clear" w:color="auto" w:fill="auto"/>
            <w:noWrap/>
            <w:vAlign w:val="center"/>
            <w:hideMark/>
          </w:tcPr>
          <w:p w:rsidR="007431AE" w:rsidRPr="00EF2265" w:rsidRDefault="007431AE" w:rsidP="00E86605">
            <w:pPr>
              <w:jc w:val="left"/>
              <w:rPr>
                <w:rFonts w:ascii="Times New Roman" w:hAnsi="Times New Roman"/>
                <w:sz w:val="20"/>
                <w:szCs w:val="20"/>
              </w:rPr>
            </w:pPr>
            <w:r w:rsidRPr="00EF2265">
              <w:rPr>
                <w:rFonts w:ascii="Times New Roman" w:hAnsi="Times New Roman"/>
                <w:sz w:val="20"/>
                <w:szCs w:val="20"/>
              </w:rPr>
              <w:t>8,19%</w:t>
            </w:r>
          </w:p>
        </w:tc>
      </w:tr>
    </w:tbl>
    <w:p w:rsidR="007431AE" w:rsidRPr="00EF2265" w:rsidRDefault="007431AE" w:rsidP="00E86605">
      <w:pPr>
        <w:tabs>
          <w:tab w:val="left" w:pos="9356"/>
        </w:tabs>
        <w:jc w:val="left"/>
        <w:rPr>
          <w:rFonts w:ascii="Times New Roman" w:hAnsi="Times New Roman"/>
          <w:b/>
          <w:sz w:val="20"/>
          <w:szCs w:val="20"/>
        </w:rPr>
      </w:pPr>
      <w:r w:rsidRPr="00EF2265">
        <w:rPr>
          <w:rFonts w:ascii="Times New Roman" w:eastAsia="Times New Roman" w:hAnsi="Times New Roman"/>
          <w:sz w:val="20"/>
          <w:szCs w:val="20"/>
          <w:lang w:eastAsia="sk-SK"/>
        </w:rPr>
        <w:t>Stav k 31. 8. 2018</w:t>
      </w:r>
    </w:p>
    <w:p w:rsidR="00A428D5" w:rsidRPr="00EF2265" w:rsidRDefault="00A428D5" w:rsidP="00E86605">
      <w:pPr>
        <w:tabs>
          <w:tab w:val="left" w:pos="9356"/>
        </w:tabs>
        <w:jc w:val="left"/>
        <w:rPr>
          <w:rFonts w:ascii="Times New Roman" w:hAnsi="Times New Roman"/>
          <w:sz w:val="20"/>
          <w:szCs w:val="20"/>
        </w:rPr>
      </w:pPr>
    </w:p>
    <w:p w:rsidR="00A428D5" w:rsidRDefault="00A428D5" w:rsidP="00E86605">
      <w:pPr>
        <w:tabs>
          <w:tab w:val="left" w:pos="9356"/>
        </w:tabs>
        <w:jc w:val="left"/>
        <w:rPr>
          <w:rFonts w:ascii="Times New Roman" w:hAnsi="Times New Roman"/>
          <w:sz w:val="20"/>
          <w:szCs w:val="20"/>
        </w:rPr>
      </w:pPr>
    </w:p>
    <w:p w:rsidR="008F29B8" w:rsidRPr="00EF2265" w:rsidRDefault="008F29B8" w:rsidP="00E86605">
      <w:pPr>
        <w:tabs>
          <w:tab w:val="left" w:pos="9356"/>
        </w:tabs>
        <w:jc w:val="left"/>
        <w:rPr>
          <w:rFonts w:ascii="Times New Roman" w:hAnsi="Times New Roman"/>
          <w:sz w:val="20"/>
          <w:szCs w:val="20"/>
        </w:rPr>
      </w:pPr>
    </w:p>
    <w:p w:rsidR="00A428D5" w:rsidRPr="00EF2265" w:rsidRDefault="00A428D5" w:rsidP="00E86605">
      <w:pPr>
        <w:tabs>
          <w:tab w:val="left" w:pos="9356"/>
        </w:tabs>
        <w:jc w:val="left"/>
        <w:rPr>
          <w:rFonts w:ascii="Times New Roman" w:hAnsi="Times New Roman"/>
          <w:sz w:val="20"/>
          <w:szCs w:val="20"/>
        </w:rPr>
      </w:pPr>
    </w:p>
    <w:p w:rsidR="00A428D5" w:rsidRPr="00EF2265" w:rsidRDefault="00A428D5" w:rsidP="00E86605">
      <w:pPr>
        <w:tabs>
          <w:tab w:val="left" w:pos="9356"/>
        </w:tabs>
        <w:jc w:val="left"/>
        <w:rPr>
          <w:rFonts w:ascii="Times New Roman" w:hAnsi="Times New Roman"/>
          <w:sz w:val="20"/>
          <w:szCs w:val="20"/>
        </w:rPr>
      </w:pPr>
    </w:p>
    <w:p w:rsidR="00A428D5" w:rsidRPr="005812CB" w:rsidRDefault="00A428D5" w:rsidP="00E86605">
      <w:pPr>
        <w:pStyle w:val="Odsekzoznamu"/>
        <w:numPr>
          <w:ilvl w:val="1"/>
          <w:numId w:val="77"/>
        </w:numPr>
        <w:tabs>
          <w:tab w:val="left" w:pos="9356"/>
        </w:tabs>
        <w:rPr>
          <w:rFonts w:ascii="Times New Roman" w:hAnsi="Times New Roman"/>
          <w:b/>
          <w:sz w:val="20"/>
          <w:szCs w:val="20"/>
        </w:rPr>
      </w:pPr>
      <w:r w:rsidRPr="005812CB">
        <w:rPr>
          <w:rFonts w:ascii="Times New Roman" w:hAnsi="Times New Roman"/>
          <w:b/>
          <w:color w:val="auto"/>
          <w:sz w:val="20"/>
          <w:szCs w:val="20"/>
        </w:rPr>
        <w:lastRenderedPageBreak/>
        <w:t>Hodnotenie úrovne vedeckovýskumnej a umeleckej činnosti na STU za rok 2018 z pohľadu Vedeckej rady STU</w:t>
      </w:r>
      <w:r w:rsidRPr="005812CB">
        <w:rPr>
          <w:rFonts w:ascii="Times New Roman" w:hAnsi="Times New Roman"/>
          <w:b/>
          <w:sz w:val="20"/>
          <w:szCs w:val="20"/>
        </w:rPr>
        <w:t xml:space="preserve"> </w:t>
      </w:r>
    </w:p>
    <w:p w:rsidR="00A428D5" w:rsidRPr="00EF2265" w:rsidRDefault="00A428D5" w:rsidP="00E86605">
      <w:pPr>
        <w:jc w:val="left"/>
        <w:rPr>
          <w:rFonts w:ascii="Times New Roman" w:eastAsia="Times New Roman" w:hAnsi="Times New Roman"/>
          <w:sz w:val="20"/>
          <w:szCs w:val="20"/>
          <w:lang w:eastAsia="sk-SK"/>
        </w:rPr>
      </w:pPr>
      <w:r w:rsidRPr="00EF2265">
        <w:rPr>
          <w:rFonts w:ascii="Times New Roman" w:eastAsia="Times New Roman" w:hAnsi="Times New Roman"/>
          <w:sz w:val="20"/>
          <w:szCs w:val="20"/>
          <w:lang w:eastAsia="sk-SK"/>
        </w:rPr>
        <w:t>Dňa 23. 1. 2019 sa Vedecká rada na svojom zasadaní oboznámila so správou o vedeckovýskumnej a umeleckej činnosti STU za rok 2018, prerokovala ju a hodnotí úroveň Slovenskej technickej univerzity v oblasti vedy, techniky a umenia nasledovne:</w:t>
      </w:r>
    </w:p>
    <w:p w:rsidR="00A428D5" w:rsidRPr="00EF2265" w:rsidRDefault="00A428D5" w:rsidP="00E86605">
      <w:pPr>
        <w:pStyle w:val="Odsekzoznamu"/>
        <w:numPr>
          <w:ilvl w:val="0"/>
          <w:numId w:val="78"/>
        </w:numPr>
        <w:spacing w:after="0" w:line="240" w:lineRule="auto"/>
        <w:ind w:left="714" w:hanging="357"/>
        <w:rPr>
          <w:rFonts w:ascii="Times New Roman" w:hAnsi="Times New Roman"/>
          <w:sz w:val="20"/>
          <w:szCs w:val="20"/>
        </w:rPr>
      </w:pPr>
      <w:r w:rsidRPr="00EF2265">
        <w:rPr>
          <w:rFonts w:ascii="Times New Roman" w:hAnsi="Times New Roman"/>
          <w:sz w:val="20"/>
          <w:szCs w:val="20"/>
        </w:rPr>
        <w:t xml:space="preserve">Vedecká rada Slovenskej technickej univerzity v Bratislave hodnotí pozitívne úroveň činnosti STU v oblasti vedy, techniky a umenia v roku 2018. </w:t>
      </w:r>
    </w:p>
    <w:p w:rsidR="00A428D5" w:rsidRPr="00EF2265" w:rsidRDefault="00A428D5" w:rsidP="00E86605">
      <w:pPr>
        <w:pStyle w:val="Odsekzoznamu"/>
        <w:numPr>
          <w:ilvl w:val="0"/>
          <w:numId w:val="78"/>
        </w:numPr>
        <w:spacing w:after="0" w:line="240" w:lineRule="auto"/>
        <w:ind w:left="714" w:hanging="357"/>
        <w:rPr>
          <w:rFonts w:ascii="Times New Roman" w:hAnsi="Times New Roman"/>
          <w:sz w:val="20"/>
          <w:szCs w:val="20"/>
        </w:rPr>
      </w:pPr>
      <w:r w:rsidRPr="00EF2265">
        <w:rPr>
          <w:rFonts w:ascii="Times New Roman" w:hAnsi="Times New Roman"/>
          <w:sz w:val="20"/>
          <w:szCs w:val="20"/>
        </w:rPr>
        <w:t>STU patrí medzi najlepšie výskumné univerzity na Slovensku, čo dokumentujú aj výsledky STU vo svetových rebríčkoch vysokých škôl. Univerzita nechýba ani v jednom z najlepších troch rebríčkov na svete v QS, THE a Šanghajskom rebríčku. Najlepšie sa STU umiestnila v rebríčku QS World University Rankings® 2019 na 751-800 a Slovensko má v rebríčku okrem STU iba dve univerzity.</w:t>
      </w:r>
    </w:p>
    <w:p w:rsidR="00A428D5" w:rsidRPr="00EF2265" w:rsidRDefault="00A428D5" w:rsidP="00E86605">
      <w:pPr>
        <w:pStyle w:val="Odsekzoznamu"/>
        <w:ind w:left="714"/>
        <w:rPr>
          <w:rFonts w:ascii="Times New Roman" w:hAnsi="Times New Roman"/>
          <w:sz w:val="20"/>
          <w:szCs w:val="20"/>
        </w:rPr>
      </w:pPr>
      <w:r w:rsidRPr="00EF2265">
        <w:rPr>
          <w:rFonts w:ascii="Times New Roman" w:hAnsi="Times New Roman"/>
          <w:sz w:val="20"/>
          <w:szCs w:val="20"/>
        </w:rPr>
        <w:t>V Academic Ranking of World Universities STU je na 801-900 mieste a medzi najlepšími univerzitami figurujú okrem STU ešte dve univerzity zo Slovenska. Podobne je to aj v rebríčku Times Higher Education World University Rankings, kde sú uvedené tri slovenské univerzity a STU je jedna z nich.</w:t>
      </w:r>
    </w:p>
    <w:p w:rsidR="00A428D5" w:rsidRPr="00EF2265" w:rsidRDefault="00A428D5" w:rsidP="00E86605">
      <w:pPr>
        <w:pStyle w:val="Odsekzoznamu"/>
        <w:ind w:left="714"/>
        <w:rPr>
          <w:rFonts w:ascii="Times New Roman" w:hAnsi="Times New Roman"/>
          <w:sz w:val="20"/>
          <w:szCs w:val="20"/>
        </w:rPr>
      </w:pPr>
      <w:r w:rsidRPr="00EF2265">
        <w:rPr>
          <w:rFonts w:ascii="Times New Roman" w:hAnsi="Times New Roman"/>
          <w:sz w:val="20"/>
          <w:szCs w:val="20"/>
        </w:rPr>
        <w:t>V piatom ročníku The </w:t>
      </w:r>
      <w:hyperlink r:id="rId116" w:history="1">
        <w:r w:rsidRPr="00EF2265">
          <w:rPr>
            <w:rStyle w:val="Hypertextovprepojenie"/>
            <w:rFonts w:ascii="Times New Roman" w:hAnsi="Times New Roman"/>
            <w:color w:val="auto"/>
            <w:sz w:val="20"/>
            <w:szCs w:val="20"/>
          </w:rPr>
          <w:t>Best Global Universities</w:t>
        </w:r>
      </w:hyperlink>
      <w:r w:rsidRPr="00EF2265">
        <w:rPr>
          <w:rFonts w:ascii="Times New Roman" w:hAnsi="Times New Roman"/>
          <w:sz w:val="20"/>
          <w:szCs w:val="20"/>
        </w:rPr>
        <w:t xml:space="preserve"> rankingu sa medzi 1250 univerzitami umiestnili aj 3 univerzity zo Slovenska a jednou z nich je aj Slovenská technická univerzita v Bratislave. U.S. News </w:t>
      </w:r>
      <w:hyperlink r:id="rId117" w:history="1">
        <w:r w:rsidRPr="00EF2265">
          <w:rPr>
            <w:rStyle w:val="Hypertextovprepojenie"/>
            <w:rFonts w:ascii="Times New Roman" w:hAnsi="Times New Roman"/>
            <w:color w:val="auto"/>
            <w:sz w:val="20"/>
            <w:szCs w:val="20"/>
          </w:rPr>
          <w:t>Best Global Universities</w:t>
        </w:r>
      </w:hyperlink>
      <w:r w:rsidRPr="00EF2265">
        <w:rPr>
          <w:rFonts w:ascii="Times New Roman" w:hAnsi="Times New Roman"/>
          <w:sz w:val="20"/>
          <w:szCs w:val="20"/>
        </w:rPr>
        <w:t xml:space="preserve"> už 30 rokov porovnáva americké univerzity so svetom. </w:t>
      </w:r>
    </w:p>
    <w:p w:rsidR="00A428D5" w:rsidRPr="00EF2265" w:rsidRDefault="00A428D5" w:rsidP="00E86605">
      <w:pPr>
        <w:pStyle w:val="Odsekzoznamu"/>
        <w:numPr>
          <w:ilvl w:val="0"/>
          <w:numId w:val="78"/>
        </w:numPr>
        <w:spacing w:after="0" w:line="240" w:lineRule="auto"/>
        <w:ind w:left="714" w:hanging="357"/>
        <w:rPr>
          <w:rFonts w:ascii="Times New Roman" w:hAnsi="Times New Roman"/>
          <w:sz w:val="20"/>
          <w:szCs w:val="20"/>
        </w:rPr>
      </w:pPr>
      <w:r w:rsidRPr="00EF2265">
        <w:rPr>
          <w:rFonts w:ascii="Times New Roman" w:hAnsi="Times New Roman"/>
          <w:sz w:val="20"/>
          <w:szCs w:val="20"/>
        </w:rPr>
        <w:t xml:space="preserve">Odborná verejnosť vysoko pozitívne hodnotí STU v oblasti výskumu, čo deklarujú ocenenia, ktoré získali pracovníci STU za výsledky v oblasti vedy, ako napríklad Vyznamenanie sv. Gorazda, Ceny Literárneho fondu SR, Cena NATO vedeckého programu Science for Peace and Security – SPS, Cena Aurela Stodolu, atď. </w:t>
      </w:r>
    </w:p>
    <w:p w:rsidR="00A428D5" w:rsidRPr="00EF2265" w:rsidRDefault="00A428D5" w:rsidP="00E86605">
      <w:pPr>
        <w:pStyle w:val="Odsekzoznamu"/>
        <w:numPr>
          <w:ilvl w:val="0"/>
          <w:numId w:val="78"/>
        </w:numPr>
        <w:spacing w:after="0" w:line="240" w:lineRule="auto"/>
        <w:ind w:left="714" w:hanging="357"/>
        <w:rPr>
          <w:rFonts w:ascii="Times New Roman" w:hAnsi="Times New Roman"/>
          <w:sz w:val="20"/>
          <w:szCs w:val="20"/>
        </w:rPr>
      </w:pPr>
      <w:r w:rsidRPr="00EF2265">
        <w:rPr>
          <w:rFonts w:ascii="Times New Roman" w:hAnsi="Times New Roman"/>
          <w:sz w:val="20"/>
          <w:szCs w:val="20"/>
        </w:rPr>
        <w:t>STU potvrdila výnimočné postavenie (prvé, druhé alebo tretie miesto) medzi slovenskými verejnými vysokými školami, napríklad v domácich grantoch STU má 19 % podiel zo všetkých vysokých škôl, vo výskumných grantoch má STU 16 % podiel, na výskumných grantoch od iných subjektov 25 % podiel, v ostatných zahraničných grantoch 11 %, a v celkovej publikačnej činnosti 12 %.</w:t>
      </w:r>
    </w:p>
    <w:p w:rsidR="00A428D5" w:rsidRPr="00EF2265" w:rsidRDefault="00A428D5" w:rsidP="00E86605">
      <w:pPr>
        <w:pStyle w:val="Odsekzoznamu"/>
        <w:numPr>
          <w:ilvl w:val="0"/>
          <w:numId w:val="78"/>
        </w:numPr>
        <w:spacing w:after="0" w:line="240" w:lineRule="auto"/>
        <w:ind w:left="714" w:hanging="357"/>
        <w:rPr>
          <w:rFonts w:ascii="Times New Roman" w:hAnsi="Times New Roman"/>
          <w:sz w:val="20"/>
          <w:szCs w:val="20"/>
        </w:rPr>
      </w:pPr>
      <w:r w:rsidRPr="00EF2265">
        <w:rPr>
          <w:rFonts w:ascii="Times New Roman" w:hAnsi="Times New Roman"/>
          <w:sz w:val="20"/>
          <w:szCs w:val="20"/>
        </w:rPr>
        <w:t>Vedecká rada vysoko hodnotí zapojenie sa pracovníkov STU do riešenia výskumných projektov v rámci výziev HORIZONT 2020, kde medzi všetkými subjektmi na Slovensku STU zaujíma popredné priečky v počte financovaných projektov ako aj v objeme získaného príspevku z EK (215 podaných žiadostí, 24 úspešných a 67 nad prahom bodového hodnotenia, ale nefinancované, za roky 2014-2018).</w:t>
      </w:r>
    </w:p>
    <w:p w:rsidR="00A428D5" w:rsidRPr="00EF2265" w:rsidRDefault="00A428D5" w:rsidP="00E86605">
      <w:pPr>
        <w:pStyle w:val="Odsekzoznamu"/>
        <w:numPr>
          <w:ilvl w:val="0"/>
          <w:numId w:val="78"/>
        </w:numPr>
        <w:spacing w:after="0" w:line="240" w:lineRule="auto"/>
        <w:ind w:left="714" w:hanging="357"/>
        <w:rPr>
          <w:rFonts w:ascii="Times New Roman" w:hAnsi="Times New Roman"/>
          <w:sz w:val="20"/>
          <w:szCs w:val="20"/>
        </w:rPr>
      </w:pPr>
      <w:r w:rsidRPr="00EF2265">
        <w:rPr>
          <w:rFonts w:ascii="Times New Roman" w:hAnsi="Times New Roman"/>
          <w:sz w:val="20"/>
          <w:szCs w:val="20"/>
        </w:rPr>
        <w:t>Vedecká rada oceňuje cieľavedomý prístup univerzity v motivovaní pracovníkov s cieľom zvýšiť kvantitu, ale aj kvalitu vedecko-výskumných a umeleckých výstupov. Zvlášť dôležitá je podpora mladých výskumníkov, kde STU v dvoch grantových schémach pridelila 113 grantov mladým výskumníkom a 7 grantov excelentným tímom mladých výskumníkov. V roku 2018 bolo na STU zamestnaných 14 mladých výskumníkov v rámci schémy postdoktorandských pracovných pobytov.</w:t>
      </w:r>
    </w:p>
    <w:p w:rsidR="00A428D5" w:rsidRPr="00EF2265" w:rsidRDefault="00A428D5" w:rsidP="00E86605">
      <w:pPr>
        <w:pStyle w:val="Odsekzoznamu"/>
        <w:numPr>
          <w:ilvl w:val="0"/>
          <w:numId w:val="78"/>
        </w:numPr>
        <w:spacing w:after="0" w:line="240" w:lineRule="auto"/>
        <w:ind w:left="714" w:hanging="357"/>
        <w:rPr>
          <w:rFonts w:ascii="Times New Roman" w:hAnsi="Times New Roman"/>
          <w:sz w:val="20"/>
          <w:szCs w:val="20"/>
        </w:rPr>
      </w:pPr>
      <w:r w:rsidRPr="00EF2265">
        <w:rPr>
          <w:rFonts w:ascii="Times New Roman" w:hAnsi="Times New Roman"/>
          <w:sz w:val="20"/>
          <w:szCs w:val="20"/>
        </w:rPr>
        <w:t>Vedecká rada oceňuje aktivity STU v smere ochrany duševného vlastníctva v oblasti patentovej politiky (8 udelených patentov, na Úrad priemyselného vlastníctva SR bolo podaných 29 patentových prihlášok, 41 prihlášok úžitkových vzorov, 14 zapísaných úžitkových vzorov, 1 PCT prihláška a 2 prihlášky ochranných známok).</w:t>
      </w:r>
    </w:p>
    <w:p w:rsidR="00A428D5" w:rsidRPr="00EF2265" w:rsidRDefault="00A428D5" w:rsidP="00E86605">
      <w:pPr>
        <w:autoSpaceDE w:val="0"/>
        <w:autoSpaceDN w:val="0"/>
        <w:adjustRightInd w:val="0"/>
        <w:jc w:val="left"/>
        <w:rPr>
          <w:rFonts w:ascii="Times New Roman" w:hAnsi="Times New Roman"/>
          <w:sz w:val="20"/>
          <w:szCs w:val="20"/>
        </w:rPr>
      </w:pPr>
    </w:p>
    <w:p w:rsidR="00A428D5" w:rsidRPr="00EF2265" w:rsidRDefault="00A428D5" w:rsidP="00E86605">
      <w:pPr>
        <w:autoSpaceDE w:val="0"/>
        <w:autoSpaceDN w:val="0"/>
        <w:adjustRightInd w:val="0"/>
        <w:jc w:val="left"/>
        <w:rPr>
          <w:rFonts w:ascii="Times New Roman" w:hAnsi="Times New Roman"/>
          <w:sz w:val="20"/>
          <w:szCs w:val="20"/>
        </w:rPr>
      </w:pPr>
      <w:r w:rsidRPr="00EF2265">
        <w:rPr>
          <w:rFonts w:ascii="Times New Roman" w:hAnsi="Times New Roman"/>
          <w:sz w:val="20"/>
          <w:szCs w:val="20"/>
        </w:rPr>
        <w:t>Možno konštatovať, že úroveň vedy, techniky a umenia na Slovenskej technickej univerzite v Bratislave je na veľmi dobrej kvalitatívnej a kvantitatívnej úrovni, ktorá bola pozitívne hodnotená aj vonkajším prostredím. Takto si Slovenská technická univerzita v Bratislave v oblasti vedy, techniky a umenia plní poslanie dané jej Zákonom č. 131/2002 Z. z. o vysokých školách a o zmene a doplnení niektorých zákonov v znení neskorších predpisov a formulované Dlhodobým zámerom rozvoja STU.</w:t>
      </w:r>
    </w:p>
    <w:p w:rsidR="00A428D5" w:rsidRPr="00EF2265" w:rsidRDefault="00A428D5" w:rsidP="00E86605">
      <w:pPr>
        <w:pStyle w:val="Default"/>
        <w:rPr>
          <w:rFonts w:ascii="Times New Roman" w:hAnsi="Times New Roman" w:cs="Times New Roman"/>
          <w:sz w:val="20"/>
          <w:szCs w:val="20"/>
          <w:lang w:val="sk-SK"/>
        </w:rPr>
      </w:pPr>
    </w:p>
    <w:p w:rsidR="005812CB" w:rsidRDefault="005812CB" w:rsidP="00552ACE">
      <w:pPr>
        <w:jc w:val="left"/>
        <w:rPr>
          <w:rFonts w:ascii="Times New Roman" w:hAnsi="Times New Roman"/>
          <w:b/>
          <w:sz w:val="20"/>
          <w:szCs w:val="20"/>
        </w:rPr>
      </w:pPr>
    </w:p>
    <w:p w:rsidR="00552ACE" w:rsidRPr="00EF2265" w:rsidRDefault="00552ACE" w:rsidP="00552ACE">
      <w:pPr>
        <w:jc w:val="left"/>
        <w:rPr>
          <w:rFonts w:ascii="Times New Roman" w:hAnsi="Times New Roman"/>
          <w:b/>
          <w:color w:val="auto"/>
          <w:sz w:val="20"/>
          <w:szCs w:val="20"/>
        </w:rPr>
      </w:pPr>
      <w:r w:rsidRPr="00EF2265">
        <w:rPr>
          <w:rFonts w:ascii="Times New Roman" w:hAnsi="Times New Roman"/>
          <w:b/>
          <w:sz w:val="20"/>
          <w:szCs w:val="20"/>
        </w:rPr>
        <w:t>12.5.</w:t>
      </w:r>
      <w:r w:rsidRPr="00EF2265">
        <w:rPr>
          <w:rFonts w:ascii="Times New Roman" w:hAnsi="Times New Roman"/>
          <w:b/>
          <w:color w:val="auto"/>
          <w:sz w:val="20"/>
          <w:szCs w:val="20"/>
        </w:rPr>
        <w:t xml:space="preserve">Hodnotenie úrovne vzdelávacej činnosti na STU za akademický rok 2017-2018 z pohľadu </w:t>
      </w:r>
      <w:r w:rsidR="007355A7" w:rsidRPr="00EF2265">
        <w:rPr>
          <w:rFonts w:ascii="Times New Roman" w:hAnsi="Times New Roman"/>
          <w:b/>
          <w:color w:val="auto"/>
          <w:sz w:val="20"/>
          <w:szCs w:val="20"/>
        </w:rPr>
        <w:t>Vedeckej rady</w:t>
      </w:r>
    </w:p>
    <w:p w:rsidR="007355A7" w:rsidRPr="00EF2265" w:rsidRDefault="007355A7" w:rsidP="00552ACE">
      <w:pPr>
        <w:jc w:val="left"/>
        <w:rPr>
          <w:rFonts w:ascii="Times New Roman" w:hAnsi="Times New Roman"/>
          <w:color w:val="auto"/>
          <w:sz w:val="20"/>
          <w:szCs w:val="20"/>
        </w:rPr>
      </w:pPr>
    </w:p>
    <w:p w:rsidR="007355A7" w:rsidRPr="00EF2265" w:rsidRDefault="007355A7" w:rsidP="007355A7">
      <w:pPr>
        <w:tabs>
          <w:tab w:val="left" w:pos="9498"/>
        </w:tabs>
        <w:rPr>
          <w:rFonts w:ascii="Times New Roman" w:hAnsi="Times New Roman"/>
          <w:sz w:val="20"/>
          <w:szCs w:val="20"/>
        </w:rPr>
      </w:pPr>
      <w:r w:rsidRPr="00EF2265">
        <w:rPr>
          <w:rFonts w:ascii="Times New Roman" w:hAnsi="Times New Roman"/>
          <w:sz w:val="20"/>
          <w:szCs w:val="20"/>
        </w:rPr>
        <w:t xml:space="preserve">Slovenská technická univerzita v Bratislave (ďalej tiež „STU“ alebo „univerzita“) ponúka a realizuje vysokoškolské vzdelávanie v akreditovaných študijných programoch v študijných odboroch alebo v kombinácii študijných odborov v súlade so zákonom č. 131/2002 Z. z. o vysokých školách a o zmene a doplnení niektorých zákonov v znení neskorších predpisov (ďalej len „zákon“). Obsah študijných programov je systematicky inovovaný aktuálnymi výsledkami výskumnej a tvorivej činnosti a zároveň je snaha pružne ho prispôsobovať požiadavkám a záujmom spoločenskej praxe. </w:t>
      </w:r>
    </w:p>
    <w:p w:rsidR="007355A7" w:rsidRPr="00EF2265" w:rsidRDefault="007355A7" w:rsidP="007355A7">
      <w:pPr>
        <w:tabs>
          <w:tab w:val="left" w:pos="9356"/>
        </w:tabs>
        <w:rPr>
          <w:rFonts w:ascii="Times New Roman" w:hAnsi="Times New Roman"/>
          <w:sz w:val="20"/>
          <w:szCs w:val="20"/>
        </w:rPr>
      </w:pPr>
      <w:r w:rsidRPr="00EF2265">
        <w:rPr>
          <w:rFonts w:ascii="Times New Roman" w:hAnsi="Times New Roman"/>
          <w:sz w:val="20"/>
          <w:szCs w:val="20"/>
        </w:rPr>
        <w:t xml:space="preserve">Predložené Hodnotenie úrovne vzdelávacej činnosti na Slovenskej technickej univerzite v Bratislave za akademický rok 2017/2018 (ďalej len „správa“) prezentovanými skutočnosťami dokumentuje, ako STU v akad. </w:t>
      </w:r>
      <w:r w:rsidRPr="00EF2265">
        <w:rPr>
          <w:rFonts w:ascii="Times New Roman" w:hAnsi="Times New Roman"/>
          <w:sz w:val="20"/>
          <w:szCs w:val="20"/>
        </w:rPr>
        <w:lastRenderedPageBreak/>
        <w:t xml:space="preserve">roku 2017/2018 v oblasti vzdelávania plnila svoje poslanie, dané jej zákonom, rozvíjať harmonickú osobnosť, vedomosti, múdrosť, dobro a tvorivosť v človeku a prispievať k rozvoju vzdelanostnej spoločnosti. </w:t>
      </w:r>
    </w:p>
    <w:p w:rsidR="007355A7" w:rsidRPr="00EF2265" w:rsidRDefault="007355A7" w:rsidP="007355A7">
      <w:pPr>
        <w:tabs>
          <w:tab w:val="left" w:pos="9356"/>
        </w:tabs>
        <w:rPr>
          <w:rFonts w:ascii="Times New Roman" w:hAnsi="Times New Roman"/>
          <w:sz w:val="20"/>
          <w:szCs w:val="20"/>
        </w:rPr>
      </w:pPr>
    </w:p>
    <w:p w:rsidR="00921F29" w:rsidRDefault="00921F29" w:rsidP="007355A7">
      <w:pPr>
        <w:tabs>
          <w:tab w:val="left" w:pos="9356"/>
        </w:tabs>
        <w:rPr>
          <w:rFonts w:ascii="Times New Roman" w:hAnsi="Times New Roman"/>
          <w:b/>
          <w:sz w:val="20"/>
          <w:szCs w:val="20"/>
        </w:rPr>
      </w:pPr>
    </w:p>
    <w:p w:rsidR="007355A7" w:rsidRPr="00EF2265" w:rsidRDefault="007355A7" w:rsidP="007355A7">
      <w:pPr>
        <w:tabs>
          <w:tab w:val="left" w:pos="9356"/>
        </w:tabs>
        <w:rPr>
          <w:rFonts w:ascii="Times New Roman" w:hAnsi="Times New Roman"/>
          <w:b/>
          <w:sz w:val="20"/>
          <w:szCs w:val="20"/>
        </w:rPr>
      </w:pPr>
      <w:r w:rsidRPr="00EF2265">
        <w:rPr>
          <w:rFonts w:ascii="Times New Roman" w:hAnsi="Times New Roman"/>
          <w:b/>
          <w:sz w:val="20"/>
          <w:szCs w:val="20"/>
        </w:rPr>
        <w:t>Vzdelávacia činnosť na STU za akademický rok 2017/2018:</w:t>
      </w:r>
    </w:p>
    <w:p w:rsidR="007355A7" w:rsidRPr="00EF2265" w:rsidRDefault="007355A7" w:rsidP="007355A7">
      <w:pPr>
        <w:numPr>
          <w:ilvl w:val="0"/>
          <w:numId w:val="84"/>
        </w:numPr>
        <w:tabs>
          <w:tab w:val="left" w:pos="9356"/>
        </w:tabs>
        <w:spacing w:after="120"/>
        <w:ind w:left="426" w:hanging="426"/>
        <w:rPr>
          <w:rFonts w:ascii="Times New Roman" w:hAnsi="Times New Roman"/>
          <w:sz w:val="20"/>
          <w:szCs w:val="20"/>
        </w:rPr>
      </w:pPr>
      <w:r w:rsidRPr="00EF2265">
        <w:rPr>
          <w:rFonts w:ascii="Times New Roman" w:hAnsi="Times New Roman"/>
          <w:sz w:val="20"/>
          <w:szCs w:val="20"/>
        </w:rPr>
        <w:t xml:space="preserve">V akademickom roku 2017/2018 sa uskutočňovala výučba celkovo v </w:t>
      </w:r>
      <w:r w:rsidRPr="00EF2265">
        <w:rPr>
          <w:rFonts w:ascii="Times New Roman" w:hAnsi="Times New Roman"/>
          <w:b/>
          <w:sz w:val="20"/>
          <w:szCs w:val="20"/>
        </w:rPr>
        <w:t xml:space="preserve">170 študijných programoch </w:t>
      </w:r>
      <w:r w:rsidRPr="00EF2265">
        <w:rPr>
          <w:rFonts w:ascii="Times New Roman" w:hAnsi="Times New Roman"/>
          <w:sz w:val="20"/>
          <w:szCs w:val="20"/>
        </w:rPr>
        <w:t>(ďalej tiež „ŠP“)</w:t>
      </w:r>
      <w:r w:rsidRPr="00EF2265">
        <w:rPr>
          <w:rFonts w:ascii="Times New Roman" w:hAnsi="Times New Roman"/>
          <w:b/>
          <w:sz w:val="20"/>
          <w:szCs w:val="20"/>
        </w:rPr>
        <w:t xml:space="preserve"> v dennej forme štúdia</w:t>
      </w:r>
      <w:r w:rsidRPr="00EF2265">
        <w:rPr>
          <w:rFonts w:ascii="Times New Roman" w:hAnsi="Times New Roman"/>
          <w:sz w:val="20"/>
          <w:szCs w:val="20"/>
        </w:rPr>
        <w:t xml:space="preserve"> v štruktúre: </w:t>
      </w:r>
      <w:r w:rsidRPr="00EF2265">
        <w:rPr>
          <w:rFonts w:ascii="Times New Roman" w:hAnsi="Times New Roman"/>
          <w:b/>
          <w:sz w:val="20"/>
          <w:szCs w:val="20"/>
        </w:rPr>
        <w:t xml:space="preserve">55 ŠP na I. stupni, 57 ŠP na II. stupni a 58 ŠP na III. stupni. V externej forme štúdia a uskutočňovala výučba len na III. stupni v 68 ŠP vrátane dobiehajúcich študijných programov, </w:t>
      </w:r>
      <w:r w:rsidRPr="00EF2265">
        <w:rPr>
          <w:rFonts w:ascii="Times New Roman" w:hAnsi="Times New Roman"/>
          <w:sz w:val="20"/>
          <w:szCs w:val="20"/>
        </w:rPr>
        <w:t xml:space="preserve">ktorým boli práva pozastavené v súlade s § 113af ods. 9 zákona. Všetky študijné programy na STU boli ponúkané a uskutočňované v súlade so zákonom, pričom akreditácia študijných programov bola priebežne sledovaná, vyhodnocovaná a podľa potreby aj aktualizovaná. V celkovej štruktúre študijných programov na univerzite prevládajú študijné programy druhého a tretieho stupňa. </w:t>
      </w:r>
    </w:p>
    <w:p w:rsidR="007355A7" w:rsidRPr="00EF2265" w:rsidRDefault="007355A7" w:rsidP="007355A7">
      <w:pPr>
        <w:pStyle w:val="Odsekzoznamu"/>
        <w:numPr>
          <w:ilvl w:val="0"/>
          <w:numId w:val="84"/>
        </w:numPr>
        <w:tabs>
          <w:tab w:val="left" w:pos="9356"/>
        </w:tabs>
        <w:spacing w:after="120" w:line="240" w:lineRule="auto"/>
        <w:ind w:left="425" w:hanging="425"/>
        <w:contextualSpacing w:val="0"/>
        <w:jc w:val="both"/>
        <w:rPr>
          <w:rFonts w:ascii="Times New Roman" w:eastAsiaTheme="minorEastAsia" w:hAnsi="Times New Roman"/>
          <w:sz w:val="20"/>
          <w:szCs w:val="20"/>
          <w:lang w:eastAsia="en-US"/>
        </w:rPr>
      </w:pPr>
      <w:r w:rsidRPr="00EF2265">
        <w:rPr>
          <w:rFonts w:ascii="Times New Roman" w:eastAsiaTheme="minorEastAsia" w:hAnsi="Times New Roman"/>
          <w:sz w:val="20"/>
          <w:szCs w:val="20"/>
          <w:lang w:eastAsia="en-US"/>
        </w:rPr>
        <w:t>STU mala v akademickom roku 2017/2018 celkove priznaných práv pre</w:t>
      </w:r>
      <w:r w:rsidRPr="00EF2265">
        <w:rPr>
          <w:rFonts w:ascii="Times New Roman" w:eastAsiaTheme="minorEastAsia" w:hAnsi="Times New Roman"/>
          <w:b/>
          <w:sz w:val="20"/>
          <w:szCs w:val="20"/>
          <w:lang w:eastAsia="en-US"/>
        </w:rPr>
        <w:t xml:space="preserve"> 241 </w:t>
      </w:r>
      <w:r w:rsidRPr="00EF2265">
        <w:rPr>
          <w:rFonts w:ascii="Times New Roman" w:eastAsiaTheme="minorEastAsia" w:hAnsi="Times New Roman"/>
          <w:sz w:val="20"/>
          <w:szCs w:val="20"/>
          <w:lang w:eastAsia="en-US"/>
        </w:rPr>
        <w:t xml:space="preserve">študijných programov uskutočňovaných v slovenskom jazyku, resp. kombinácii slovenského a anglického jazyka (ďalej len </w:t>
      </w:r>
      <w:r w:rsidRPr="00EF2265">
        <w:rPr>
          <w:rFonts w:ascii="Times New Roman" w:eastAsiaTheme="minorEastAsia" w:hAnsi="Times New Roman"/>
          <w:b/>
          <w:sz w:val="20"/>
          <w:szCs w:val="20"/>
          <w:lang w:eastAsia="en-US"/>
        </w:rPr>
        <w:t>„štátny jazyk“</w:t>
      </w:r>
      <w:r w:rsidRPr="00EF2265">
        <w:rPr>
          <w:rFonts w:ascii="Times New Roman" w:eastAsiaTheme="minorEastAsia" w:hAnsi="Times New Roman"/>
          <w:sz w:val="20"/>
          <w:szCs w:val="20"/>
          <w:lang w:eastAsia="en-US"/>
        </w:rPr>
        <w:t>) a </w:t>
      </w:r>
      <w:r w:rsidRPr="00EF2265">
        <w:rPr>
          <w:rFonts w:ascii="Times New Roman" w:eastAsiaTheme="minorEastAsia" w:hAnsi="Times New Roman"/>
          <w:b/>
          <w:sz w:val="20"/>
          <w:szCs w:val="20"/>
          <w:lang w:eastAsia="en-US"/>
        </w:rPr>
        <w:t>161</w:t>
      </w:r>
      <w:r w:rsidRPr="00EF2265">
        <w:rPr>
          <w:rFonts w:ascii="Times New Roman" w:eastAsiaTheme="minorEastAsia" w:hAnsi="Times New Roman"/>
          <w:sz w:val="20"/>
          <w:szCs w:val="20"/>
          <w:lang w:eastAsia="en-US"/>
        </w:rPr>
        <w:t xml:space="preserve"> študijných programov</w:t>
      </w:r>
      <w:r w:rsidRPr="00EF2265">
        <w:rPr>
          <w:rFonts w:ascii="Times New Roman" w:eastAsiaTheme="minorEastAsia" w:hAnsi="Times New Roman"/>
          <w:b/>
          <w:sz w:val="20"/>
          <w:szCs w:val="20"/>
          <w:lang w:eastAsia="en-US"/>
        </w:rPr>
        <w:t xml:space="preserve"> výlučne v anglickom jazyku</w:t>
      </w:r>
      <w:r w:rsidRPr="00EF2265">
        <w:rPr>
          <w:rFonts w:ascii="Times New Roman" w:eastAsiaTheme="minorEastAsia" w:hAnsi="Times New Roman"/>
          <w:sz w:val="20"/>
          <w:szCs w:val="20"/>
          <w:lang w:eastAsia="en-US"/>
        </w:rPr>
        <w:t xml:space="preserve"> pre všetky tri stupne štúdia v dennej aj externej forme štúdia (na prvom a druhom stupni štúdia len v dennej forme) v </w:t>
      </w:r>
      <w:r w:rsidRPr="00EF2265">
        <w:rPr>
          <w:rFonts w:ascii="Times New Roman" w:eastAsiaTheme="minorEastAsia" w:hAnsi="Times New Roman"/>
          <w:b/>
          <w:sz w:val="20"/>
          <w:szCs w:val="20"/>
          <w:lang w:eastAsia="en-US"/>
        </w:rPr>
        <w:t>60 študijných odboroch</w:t>
      </w:r>
      <w:r w:rsidRPr="00EF2265">
        <w:rPr>
          <w:rFonts w:ascii="Times New Roman" w:eastAsiaTheme="minorEastAsia" w:hAnsi="Times New Roman"/>
          <w:sz w:val="20"/>
          <w:szCs w:val="20"/>
          <w:lang w:eastAsia="en-US"/>
        </w:rPr>
        <w:t xml:space="preserve">. </w:t>
      </w:r>
    </w:p>
    <w:p w:rsidR="007355A7" w:rsidRPr="00EF2265" w:rsidRDefault="007355A7" w:rsidP="007355A7">
      <w:pPr>
        <w:tabs>
          <w:tab w:val="left" w:pos="9356"/>
        </w:tabs>
        <w:spacing w:after="120"/>
        <w:ind w:left="426"/>
        <w:rPr>
          <w:rFonts w:ascii="Times New Roman" w:hAnsi="Times New Roman"/>
          <w:sz w:val="20"/>
          <w:szCs w:val="20"/>
        </w:rPr>
      </w:pPr>
      <w:r w:rsidRPr="00EF2265">
        <w:rPr>
          <w:rFonts w:ascii="Times New Roman" w:hAnsi="Times New Roman"/>
          <w:sz w:val="20"/>
          <w:szCs w:val="20"/>
        </w:rPr>
        <w:t xml:space="preserve">Na prvom stupni štúdia mala STU priznané práva pre </w:t>
      </w:r>
      <w:r w:rsidRPr="00EF2265">
        <w:rPr>
          <w:rFonts w:ascii="Times New Roman" w:hAnsi="Times New Roman"/>
          <w:b/>
          <w:sz w:val="20"/>
          <w:szCs w:val="20"/>
        </w:rPr>
        <w:t>61</w:t>
      </w:r>
      <w:r w:rsidRPr="00EF2265">
        <w:rPr>
          <w:rFonts w:ascii="Times New Roman" w:hAnsi="Times New Roman"/>
          <w:sz w:val="20"/>
          <w:szCs w:val="20"/>
        </w:rPr>
        <w:t xml:space="preserve"> študijných programov, na druhom stupni štúdia pre </w:t>
      </w:r>
      <w:r w:rsidRPr="00EF2265">
        <w:rPr>
          <w:rFonts w:ascii="Times New Roman" w:hAnsi="Times New Roman"/>
          <w:b/>
          <w:sz w:val="20"/>
          <w:szCs w:val="20"/>
        </w:rPr>
        <w:t>65</w:t>
      </w:r>
      <w:r w:rsidRPr="00EF2265">
        <w:rPr>
          <w:rFonts w:ascii="Times New Roman" w:hAnsi="Times New Roman"/>
          <w:sz w:val="20"/>
          <w:szCs w:val="20"/>
        </w:rPr>
        <w:t xml:space="preserve"> študijných programov, na treťom stupni štúdia pre </w:t>
      </w:r>
      <w:r w:rsidRPr="00EF2265">
        <w:rPr>
          <w:rFonts w:ascii="Times New Roman" w:hAnsi="Times New Roman"/>
          <w:b/>
          <w:sz w:val="20"/>
          <w:szCs w:val="20"/>
        </w:rPr>
        <w:t>58</w:t>
      </w:r>
      <w:r w:rsidRPr="00EF2265">
        <w:rPr>
          <w:rFonts w:ascii="Times New Roman" w:hAnsi="Times New Roman"/>
          <w:sz w:val="20"/>
          <w:szCs w:val="20"/>
        </w:rPr>
        <w:t xml:space="preserve"> študijných programov v dennej forme štúdia a </w:t>
      </w:r>
      <w:r w:rsidRPr="00EF2265">
        <w:rPr>
          <w:rFonts w:ascii="Times New Roman" w:hAnsi="Times New Roman"/>
          <w:b/>
          <w:sz w:val="20"/>
          <w:szCs w:val="20"/>
        </w:rPr>
        <w:t>57</w:t>
      </w:r>
      <w:r w:rsidRPr="00EF2265">
        <w:rPr>
          <w:rFonts w:ascii="Times New Roman" w:hAnsi="Times New Roman"/>
          <w:sz w:val="20"/>
          <w:szCs w:val="20"/>
        </w:rPr>
        <w:t xml:space="preserve"> v externej forme štúdia </w:t>
      </w:r>
      <w:r w:rsidRPr="00EF2265">
        <w:rPr>
          <w:rFonts w:ascii="Times New Roman" w:hAnsi="Times New Roman"/>
          <w:b/>
          <w:sz w:val="20"/>
          <w:szCs w:val="20"/>
        </w:rPr>
        <w:t>v štátnom jazyku</w:t>
      </w:r>
      <w:r w:rsidRPr="00EF2265">
        <w:rPr>
          <w:rFonts w:ascii="Times New Roman" w:hAnsi="Times New Roman"/>
          <w:sz w:val="20"/>
          <w:szCs w:val="20"/>
        </w:rPr>
        <w:t xml:space="preserve">. Z celkového počtu priznaných práv uskutočňovať študijný program v štátnom jazyku bolo </w:t>
      </w:r>
      <w:r w:rsidRPr="00EF2265">
        <w:rPr>
          <w:rFonts w:ascii="Times New Roman" w:hAnsi="Times New Roman"/>
          <w:b/>
          <w:sz w:val="20"/>
          <w:szCs w:val="20"/>
        </w:rPr>
        <w:t>97 nových</w:t>
      </w:r>
      <w:r w:rsidRPr="00EF2265">
        <w:rPr>
          <w:rFonts w:ascii="Times New Roman" w:hAnsi="Times New Roman"/>
          <w:sz w:val="20"/>
          <w:szCs w:val="20"/>
        </w:rPr>
        <w:t xml:space="preserve"> študijných programov, ktorým boli priznané práva v rámci ostatnej komplexnej akreditácie činností STU, prípadne po jej začatí a </w:t>
      </w:r>
      <w:r w:rsidRPr="00EF2265">
        <w:rPr>
          <w:rFonts w:ascii="Times New Roman" w:hAnsi="Times New Roman"/>
          <w:b/>
          <w:sz w:val="20"/>
          <w:szCs w:val="20"/>
        </w:rPr>
        <w:t>144</w:t>
      </w:r>
      <w:r w:rsidRPr="00EF2265">
        <w:rPr>
          <w:rFonts w:ascii="Times New Roman" w:hAnsi="Times New Roman"/>
          <w:sz w:val="20"/>
          <w:szCs w:val="20"/>
        </w:rPr>
        <w:t xml:space="preserve"> existujúcich študijných programov. </w:t>
      </w:r>
    </w:p>
    <w:p w:rsidR="007355A7" w:rsidRPr="00EF2265" w:rsidRDefault="007355A7" w:rsidP="007355A7">
      <w:pPr>
        <w:numPr>
          <w:ilvl w:val="0"/>
          <w:numId w:val="84"/>
        </w:numPr>
        <w:tabs>
          <w:tab w:val="left" w:pos="9356"/>
        </w:tabs>
        <w:spacing w:after="120"/>
        <w:ind w:left="426" w:hanging="426"/>
        <w:rPr>
          <w:rFonts w:ascii="Times New Roman" w:hAnsi="Times New Roman"/>
          <w:sz w:val="20"/>
          <w:szCs w:val="20"/>
        </w:rPr>
      </w:pPr>
      <w:r w:rsidRPr="00EF2265">
        <w:rPr>
          <w:rFonts w:ascii="Times New Roman" w:hAnsi="Times New Roman"/>
          <w:b/>
          <w:sz w:val="20"/>
          <w:szCs w:val="20"/>
        </w:rPr>
        <w:t>Celkový počet študentov na STU v akademickom roku 2017/2018 bol 11 748</w:t>
      </w:r>
      <w:r w:rsidRPr="00EF2265">
        <w:rPr>
          <w:rFonts w:ascii="Times New Roman" w:hAnsi="Times New Roman"/>
          <w:sz w:val="20"/>
          <w:szCs w:val="20"/>
        </w:rPr>
        <w:t xml:space="preserve">, z toho na prvom stupni </w:t>
      </w:r>
      <w:r w:rsidRPr="00EF2265">
        <w:rPr>
          <w:rFonts w:ascii="Times New Roman" w:hAnsi="Times New Roman"/>
          <w:b/>
          <w:sz w:val="20"/>
          <w:szCs w:val="20"/>
        </w:rPr>
        <w:t>7 136</w:t>
      </w:r>
      <w:r w:rsidRPr="00EF2265">
        <w:rPr>
          <w:rFonts w:ascii="Times New Roman" w:hAnsi="Times New Roman"/>
          <w:sz w:val="20"/>
          <w:szCs w:val="20"/>
        </w:rPr>
        <w:t xml:space="preserve">, na druhom stupni </w:t>
      </w:r>
      <w:r w:rsidRPr="00EF2265">
        <w:rPr>
          <w:rFonts w:ascii="Times New Roman" w:hAnsi="Times New Roman"/>
          <w:b/>
          <w:sz w:val="20"/>
          <w:szCs w:val="20"/>
        </w:rPr>
        <w:t xml:space="preserve">3 815 </w:t>
      </w:r>
      <w:r w:rsidRPr="00EF2265">
        <w:rPr>
          <w:rFonts w:ascii="Times New Roman" w:hAnsi="Times New Roman"/>
          <w:sz w:val="20"/>
          <w:szCs w:val="20"/>
        </w:rPr>
        <w:t xml:space="preserve">a na treťom stupni </w:t>
      </w:r>
      <w:r w:rsidRPr="00EF2265">
        <w:rPr>
          <w:rFonts w:ascii="Times New Roman" w:hAnsi="Times New Roman"/>
          <w:b/>
          <w:sz w:val="20"/>
          <w:szCs w:val="20"/>
        </w:rPr>
        <w:t xml:space="preserve">797, </w:t>
      </w:r>
      <w:r w:rsidRPr="00EF2265">
        <w:rPr>
          <w:rFonts w:ascii="Times New Roman" w:hAnsi="Times New Roman"/>
          <w:sz w:val="20"/>
          <w:szCs w:val="20"/>
        </w:rPr>
        <w:t xml:space="preserve">z toho </w:t>
      </w:r>
      <w:r w:rsidRPr="00EF2265">
        <w:rPr>
          <w:rFonts w:ascii="Times New Roman" w:hAnsi="Times New Roman"/>
          <w:b/>
          <w:sz w:val="20"/>
          <w:szCs w:val="20"/>
        </w:rPr>
        <w:t>576</w:t>
      </w:r>
      <w:r w:rsidRPr="00EF2265">
        <w:rPr>
          <w:rFonts w:ascii="Times New Roman" w:hAnsi="Times New Roman"/>
          <w:sz w:val="20"/>
          <w:szCs w:val="20"/>
        </w:rPr>
        <w:t xml:space="preserve"> v dennej forme a </w:t>
      </w:r>
      <w:r w:rsidRPr="00EF2265">
        <w:rPr>
          <w:rFonts w:ascii="Times New Roman" w:hAnsi="Times New Roman"/>
          <w:b/>
          <w:sz w:val="20"/>
          <w:szCs w:val="20"/>
        </w:rPr>
        <w:t>221</w:t>
      </w:r>
      <w:r w:rsidRPr="00EF2265">
        <w:rPr>
          <w:rFonts w:ascii="Times New Roman" w:hAnsi="Times New Roman"/>
          <w:sz w:val="20"/>
          <w:szCs w:val="20"/>
        </w:rPr>
        <w:t xml:space="preserve"> v externej forme štúdia. Celkové počty študentov na STU klesajú, čo vyplýva predovšetkým z demografického vývoja obyvateľstva SR a v nezanedbateľnej miere to súvisí aj s odchodom študentov študovať na vysoké školy v Českej republike. STU realizuje externú formu štúdia len na treťom stupni vzdelávania. V porovnaní s akademickým rokom 2016/2017 STU zaznamenala </w:t>
      </w:r>
      <w:r w:rsidRPr="00EF2265">
        <w:rPr>
          <w:rFonts w:ascii="Times New Roman" w:hAnsi="Times New Roman"/>
          <w:b/>
          <w:sz w:val="20"/>
          <w:szCs w:val="20"/>
        </w:rPr>
        <w:t>celkový pokles študentov o 10,4 %</w:t>
      </w:r>
      <w:r w:rsidRPr="00EF2265">
        <w:rPr>
          <w:rFonts w:ascii="Times New Roman" w:hAnsi="Times New Roman"/>
          <w:sz w:val="20"/>
          <w:szCs w:val="20"/>
        </w:rPr>
        <w:t>.</w:t>
      </w:r>
    </w:p>
    <w:p w:rsidR="007355A7" w:rsidRPr="00EF2265" w:rsidRDefault="007355A7" w:rsidP="007355A7">
      <w:pPr>
        <w:numPr>
          <w:ilvl w:val="0"/>
          <w:numId w:val="84"/>
        </w:numPr>
        <w:tabs>
          <w:tab w:val="left" w:pos="9356"/>
        </w:tabs>
        <w:spacing w:after="120"/>
        <w:ind w:left="426" w:hanging="426"/>
        <w:rPr>
          <w:rFonts w:ascii="Times New Roman" w:hAnsi="Times New Roman"/>
          <w:sz w:val="20"/>
          <w:szCs w:val="20"/>
        </w:rPr>
      </w:pPr>
      <w:r w:rsidRPr="00EF2265">
        <w:rPr>
          <w:rFonts w:ascii="Times New Roman" w:hAnsi="Times New Roman"/>
          <w:sz w:val="20"/>
          <w:szCs w:val="20"/>
        </w:rPr>
        <w:t xml:space="preserve">Ako zatiaľ dlhodobý negatívny aspekt na prvom stupni štúdia zostáva pomerne vysoký úbytok študentov po prvom roku štúdia. V akademickom roku 2017/2018 predstavoval celkový úbytok študentov po prvom roku štúdia </w:t>
      </w:r>
      <w:r w:rsidRPr="00EF2265">
        <w:rPr>
          <w:rFonts w:ascii="Times New Roman" w:hAnsi="Times New Roman"/>
          <w:b/>
          <w:sz w:val="20"/>
          <w:szCs w:val="20"/>
        </w:rPr>
        <w:t>48 %,</w:t>
      </w:r>
      <w:r w:rsidRPr="00EF2265">
        <w:rPr>
          <w:rFonts w:ascii="Times New Roman" w:hAnsi="Times New Roman"/>
          <w:sz w:val="20"/>
          <w:szCs w:val="20"/>
        </w:rPr>
        <w:t xml:space="preserve"> z toho 36 % po zimnom semestri a 12 % po letnom semestri, čo predstavuje </w:t>
      </w:r>
      <w:r w:rsidRPr="00EF2265">
        <w:rPr>
          <w:rFonts w:ascii="Times New Roman" w:hAnsi="Times New Roman"/>
          <w:b/>
          <w:sz w:val="20"/>
          <w:szCs w:val="20"/>
        </w:rPr>
        <w:t>nárast o 3 %</w:t>
      </w:r>
      <w:r w:rsidRPr="00EF2265">
        <w:rPr>
          <w:rFonts w:ascii="Times New Roman" w:hAnsi="Times New Roman"/>
          <w:sz w:val="20"/>
          <w:szCs w:val="20"/>
        </w:rPr>
        <w:t xml:space="preserve"> v porovnaní s akademickým rokom 2016/2017. Jedným z opatrení, ktoré sa od akademického roku 2011/2012 na STU uplatňuje, je tzv. </w:t>
      </w:r>
      <w:r w:rsidRPr="00EF2265">
        <w:rPr>
          <w:rFonts w:ascii="Times New Roman" w:hAnsi="Times New Roman"/>
          <w:b/>
          <w:sz w:val="20"/>
          <w:szCs w:val="20"/>
        </w:rPr>
        <w:t>študentský koučing – vzájomné podporovanie sa študentov hlavne formou doučovania</w:t>
      </w:r>
      <w:r w:rsidRPr="00EF2265">
        <w:rPr>
          <w:rFonts w:ascii="Times New Roman" w:hAnsi="Times New Roman"/>
          <w:sz w:val="20"/>
          <w:szCs w:val="20"/>
        </w:rPr>
        <w:t>, do ktorého sa postupne zapojila väčšina fakúlt prostredníctvom študentských organizácií pôsobiacich v rámci STU alebo jednotlivcov.</w:t>
      </w:r>
    </w:p>
    <w:p w:rsidR="007355A7" w:rsidRPr="00EF2265" w:rsidRDefault="007355A7" w:rsidP="007355A7">
      <w:pPr>
        <w:pStyle w:val="Odsekzoznamu"/>
        <w:numPr>
          <w:ilvl w:val="0"/>
          <w:numId w:val="84"/>
        </w:numPr>
        <w:tabs>
          <w:tab w:val="left" w:pos="9356"/>
        </w:tabs>
        <w:spacing w:after="120" w:line="240" w:lineRule="auto"/>
        <w:ind w:left="426" w:hanging="426"/>
        <w:contextualSpacing w:val="0"/>
        <w:jc w:val="both"/>
        <w:rPr>
          <w:rFonts w:ascii="Times New Roman" w:hAnsi="Times New Roman"/>
          <w:sz w:val="20"/>
          <w:szCs w:val="20"/>
        </w:rPr>
      </w:pPr>
      <w:r w:rsidRPr="00EF2265">
        <w:rPr>
          <w:rFonts w:ascii="Times New Roman" w:hAnsi="Times New Roman"/>
          <w:b/>
          <w:sz w:val="20"/>
          <w:szCs w:val="20"/>
        </w:rPr>
        <w:t>Z dlhodobého hľadiska je zrejmý výrazne celoslovenský záber STU</w:t>
      </w:r>
      <w:r w:rsidRPr="00EF2265">
        <w:rPr>
          <w:rFonts w:ascii="Times New Roman" w:hAnsi="Times New Roman"/>
          <w:sz w:val="20"/>
          <w:szCs w:val="20"/>
        </w:rPr>
        <w:t xml:space="preserve"> – v priemere </w:t>
      </w:r>
      <w:r w:rsidRPr="00EF2265">
        <w:rPr>
          <w:rFonts w:ascii="Times New Roman" w:hAnsi="Times New Roman"/>
          <w:b/>
          <w:sz w:val="20"/>
          <w:szCs w:val="20"/>
        </w:rPr>
        <w:t>4/5 študentov</w:t>
      </w:r>
      <w:r w:rsidRPr="00EF2265">
        <w:rPr>
          <w:rFonts w:ascii="Times New Roman" w:hAnsi="Times New Roman"/>
          <w:sz w:val="20"/>
          <w:szCs w:val="20"/>
        </w:rPr>
        <w:t xml:space="preserve"> STU sú z mimo Bratislavského kraja. Okresy Bratislava I až V sú zastúpené </w:t>
      </w:r>
      <w:r w:rsidRPr="00EF2265">
        <w:rPr>
          <w:rFonts w:ascii="Times New Roman" w:hAnsi="Times New Roman"/>
          <w:b/>
          <w:sz w:val="20"/>
          <w:szCs w:val="20"/>
        </w:rPr>
        <w:t xml:space="preserve">13,2 % </w:t>
      </w:r>
      <w:r w:rsidRPr="00EF2265">
        <w:rPr>
          <w:rFonts w:ascii="Times New Roman" w:hAnsi="Times New Roman"/>
          <w:sz w:val="20"/>
          <w:szCs w:val="20"/>
        </w:rPr>
        <w:t>študentov z celkového počtu študentov STU.</w:t>
      </w:r>
    </w:p>
    <w:p w:rsidR="007355A7" w:rsidRPr="00EF2265" w:rsidRDefault="007355A7" w:rsidP="007355A7">
      <w:pPr>
        <w:pStyle w:val="Odsekzoznamu"/>
        <w:numPr>
          <w:ilvl w:val="0"/>
          <w:numId w:val="84"/>
        </w:numPr>
        <w:tabs>
          <w:tab w:val="left" w:pos="9356"/>
        </w:tabs>
        <w:spacing w:after="120" w:line="240" w:lineRule="auto"/>
        <w:ind w:left="426" w:hanging="426"/>
        <w:contextualSpacing w:val="0"/>
        <w:jc w:val="both"/>
        <w:rPr>
          <w:rFonts w:ascii="Times New Roman" w:hAnsi="Times New Roman"/>
          <w:sz w:val="20"/>
          <w:szCs w:val="20"/>
        </w:rPr>
      </w:pPr>
      <w:r w:rsidRPr="00EF2265">
        <w:rPr>
          <w:rFonts w:ascii="Times New Roman" w:hAnsi="Times New Roman"/>
          <w:sz w:val="20"/>
          <w:szCs w:val="20"/>
        </w:rPr>
        <w:t>Percento zahraničných študentov riadneho štúdia z celkového počtu študentov STU je aj napriek miernemu nárastu (</w:t>
      </w:r>
      <w:r w:rsidRPr="00EF2265">
        <w:rPr>
          <w:rFonts w:ascii="Times New Roman" w:hAnsi="Times New Roman"/>
          <w:b/>
          <w:sz w:val="20"/>
          <w:szCs w:val="20"/>
        </w:rPr>
        <w:t>0,4 %</w:t>
      </w:r>
      <w:r w:rsidRPr="00EF2265">
        <w:rPr>
          <w:rFonts w:ascii="Times New Roman" w:hAnsi="Times New Roman"/>
          <w:sz w:val="20"/>
          <w:szCs w:val="20"/>
        </w:rPr>
        <w:t xml:space="preserve"> v porovnaní s akademickým rokom 2016/2017) dlhodobo nízke, v akademickom roku 2017/2018 predstavuje </w:t>
      </w:r>
      <w:r w:rsidRPr="00EF2265">
        <w:rPr>
          <w:rFonts w:ascii="Times New Roman" w:hAnsi="Times New Roman"/>
          <w:b/>
          <w:sz w:val="20"/>
          <w:szCs w:val="20"/>
        </w:rPr>
        <w:t>3,3 %</w:t>
      </w:r>
      <w:r w:rsidRPr="00EF2265">
        <w:rPr>
          <w:rFonts w:ascii="Times New Roman" w:hAnsi="Times New Roman"/>
          <w:sz w:val="20"/>
          <w:szCs w:val="20"/>
        </w:rPr>
        <w:t xml:space="preserve"> z celkového počtu študentov STU.</w:t>
      </w:r>
    </w:p>
    <w:p w:rsidR="007355A7" w:rsidRPr="00EF2265" w:rsidRDefault="007355A7" w:rsidP="007355A7">
      <w:pPr>
        <w:pStyle w:val="Odsekzoznamu"/>
        <w:numPr>
          <w:ilvl w:val="0"/>
          <w:numId w:val="84"/>
        </w:numPr>
        <w:tabs>
          <w:tab w:val="left" w:pos="9356"/>
        </w:tabs>
        <w:spacing w:after="120" w:line="240" w:lineRule="auto"/>
        <w:ind w:left="426" w:hanging="426"/>
        <w:contextualSpacing w:val="0"/>
        <w:jc w:val="both"/>
        <w:rPr>
          <w:rFonts w:ascii="Times New Roman" w:hAnsi="Times New Roman"/>
          <w:sz w:val="20"/>
          <w:szCs w:val="20"/>
        </w:rPr>
      </w:pPr>
      <w:r w:rsidRPr="00EF2265">
        <w:rPr>
          <w:rFonts w:ascii="Times New Roman" w:hAnsi="Times New Roman"/>
          <w:sz w:val="20"/>
          <w:szCs w:val="20"/>
        </w:rPr>
        <w:t xml:space="preserve">V posudzovanom akademickom roku bol zaznamenaný </w:t>
      </w:r>
      <w:r w:rsidRPr="00EF2265">
        <w:rPr>
          <w:rFonts w:ascii="Times New Roman" w:hAnsi="Times New Roman"/>
          <w:b/>
          <w:sz w:val="20"/>
          <w:szCs w:val="20"/>
        </w:rPr>
        <w:t>nárast prijatých</w:t>
      </w:r>
      <w:r w:rsidRPr="00EF2265">
        <w:rPr>
          <w:rFonts w:ascii="Times New Roman" w:hAnsi="Times New Roman"/>
          <w:sz w:val="20"/>
          <w:szCs w:val="20"/>
        </w:rPr>
        <w:t xml:space="preserve"> študentov</w:t>
      </w:r>
      <w:r w:rsidRPr="00EF2265">
        <w:rPr>
          <w:rFonts w:ascii="Times New Roman" w:hAnsi="Times New Roman"/>
          <w:b/>
          <w:sz w:val="20"/>
          <w:szCs w:val="20"/>
        </w:rPr>
        <w:t xml:space="preserve"> o 21 % </w:t>
      </w:r>
      <w:r w:rsidRPr="00EF2265">
        <w:rPr>
          <w:rFonts w:ascii="Times New Roman" w:hAnsi="Times New Roman"/>
          <w:sz w:val="20"/>
          <w:szCs w:val="20"/>
        </w:rPr>
        <w:t xml:space="preserve">a  </w:t>
      </w:r>
      <w:r w:rsidRPr="00EF2265">
        <w:rPr>
          <w:rFonts w:ascii="Times New Roman" w:hAnsi="Times New Roman"/>
          <w:b/>
          <w:sz w:val="20"/>
          <w:szCs w:val="20"/>
        </w:rPr>
        <w:t xml:space="preserve">vyslaných </w:t>
      </w:r>
      <w:r w:rsidRPr="00EF2265">
        <w:rPr>
          <w:rFonts w:ascii="Times New Roman" w:hAnsi="Times New Roman"/>
          <w:sz w:val="20"/>
          <w:szCs w:val="20"/>
        </w:rPr>
        <w:t xml:space="preserve">študentov </w:t>
      </w:r>
      <w:r w:rsidRPr="00EF2265">
        <w:rPr>
          <w:rFonts w:ascii="Times New Roman" w:hAnsi="Times New Roman"/>
          <w:b/>
          <w:sz w:val="20"/>
          <w:szCs w:val="20"/>
        </w:rPr>
        <w:t>o</w:t>
      </w:r>
      <w:r w:rsidRPr="00EF2265">
        <w:rPr>
          <w:rFonts w:ascii="Times New Roman" w:hAnsi="Times New Roman"/>
          <w:sz w:val="20"/>
          <w:szCs w:val="20"/>
        </w:rPr>
        <w:t xml:space="preserve"> </w:t>
      </w:r>
      <w:r w:rsidRPr="00EF2265">
        <w:rPr>
          <w:rFonts w:ascii="Times New Roman" w:hAnsi="Times New Roman"/>
          <w:b/>
          <w:sz w:val="20"/>
          <w:szCs w:val="20"/>
        </w:rPr>
        <w:t>3 %</w:t>
      </w:r>
      <w:r w:rsidRPr="00EF2265">
        <w:rPr>
          <w:rFonts w:ascii="Times New Roman" w:hAnsi="Times New Roman"/>
          <w:sz w:val="20"/>
          <w:szCs w:val="20"/>
        </w:rPr>
        <w:t xml:space="preserve"> v rámci medzinárodných akademických mobilít oproti akademickému roku 2016/2017. Z dlhodobého hľadiska je však možné konštatovať nárast, v porovnaní s akademickým rokom 2011/2012 v akademickom roku 2017/2018 vzrástol evidovaný počet vyslaných študentov STU </w:t>
      </w:r>
      <w:r w:rsidRPr="00EF2265">
        <w:rPr>
          <w:rFonts w:ascii="Times New Roman" w:hAnsi="Times New Roman"/>
          <w:b/>
          <w:sz w:val="20"/>
          <w:szCs w:val="20"/>
        </w:rPr>
        <w:t>o 21 %</w:t>
      </w:r>
      <w:r w:rsidRPr="00EF2265">
        <w:rPr>
          <w:rFonts w:ascii="Times New Roman" w:hAnsi="Times New Roman"/>
          <w:sz w:val="20"/>
          <w:szCs w:val="20"/>
        </w:rPr>
        <w:t xml:space="preserve"> a počet prijatých zahraničných študentov na STU </w:t>
      </w:r>
      <w:r w:rsidRPr="00EF2265">
        <w:rPr>
          <w:rFonts w:ascii="Times New Roman" w:hAnsi="Times New Roman"/>
          <w:b/>
          <w:sz w:val="20"/>
          <w:szCs w:val="20"/>
        </w:rPr>
        <w:t>o 159 %.</w:t>
      </w:r>
    </w:p>
    <w:p w:rsidR="007355A7" w:rsidRPr="00EF2265" w:rsidRDefault="007355A7" w:rsidP="007355A7">
      <w:pPr>
        <w:pStyle w:val="Odsekzoznamu"/>
        <w:numPr>
          <w:ilvl w:val="0"/>
          <w:numId w:val="84"/>
        </w:numPr>
        <w:tabs>
          <w:tab w:val="left" w:pos="9356"/>
          <w:tab w:val="left" w:pos="9498"/>
        </w:tabs>
        <w:spacing w:after="120" w:line="240" w:lineRule="auto"/>
        <w:ind w:left="425" w:hanging="426"/>
        <w:contextualSpacing w:val="0"/>
        <w:jc w:val="both"/>
        <w:rPr>
          <w:rFonts w:ascii="Times New Roman" w:hAnsi="Times New Roman"/>
          <w:sz w:val="20"/>
          <w:szCs w:val="20"/>
        </w:rPr>
      </w:pPr>
      <w:r w:rsidRPr="00EF2265">
        <w:rPr>
          <w:rFonts w:ascii="Times New Roman" w:hAnsi="Times New Roman"/>
          <w:b/>
          <w:sz w:val="20"/>
          <w:szCs w:val="20"/>
        </w:rPr>
        <w:t>V prijímacom konaní 2018/2019 sa do prvých ročníkov celkovo zapísalo 5 215 nových študentov;</w:t>
      </w:r>
      <w:r w:rsidRPr="00EF2265">
        <w:rPr>
          <w:rFonts w:ascii="Times New Roman" w:hAnsi="Times New Roman"/>
          <w:sz w:val="20"/>
          <w:szCs w:val="20"/>
        </w:rPr>
        <w:t xml:space="preserve"> na prvom stupni štúdia </w:t>
      </w:r>
      <w:r w:rsidRPr="00EF2265">
        <w:rPr>
          <w:rFonts w:ascii="Times New Roman" w:hAnsi="Times New Roman"/>
          <w:b/>
          <w:sz w:val="20"/>
          <w:szCs w:val="20"/>
        </w:rPr>
        <w:t>3 345</w:t>
      </w:r>
      <w:r w:rsidRPr="00EF2265">
        <w:rPr>
          <w:rFonts w:ascii="Times New Roman" w:hAnsi="Times New Roman"/>
          <w:sz w:val="20"/>
          <w:szCs w:val="20"/>
        </w:rPr>
        <w:t xml:space="preserve"> študentov, </w:t>
      </w:r>
      <w:r w:rsidRPr="00EF2265">
        <w:rPr>
          <w:rFonts w:ascii="Times New Roman" w:hAnsi="Times New Roman"/>
          <w:b/>
          <w:sz w:val="20"/>
          <w:szCs w:val="20"/>
        </w:rPr>
        <w:t>1 661</w:t>
      </w:r>
      <w:r w:rsidRPr="00EF2265">
        <w:rPr>
          <w:rFonts w:ascii="Times New Roman" w:hAnsi="Times New Roman"/>
          <w:sz w:val="20"/>
          <w:szCs w:val="20"/>
        </w:rPr>
        <w:t xml:space="preserve"> študentov na druhom stupni štúdia a na treťom stupni štúdia </w:t>
      </w:r>
      <w:r w:rsidRPr="00EF2265">
        <w:rPr>
          <w:rFonts w:ascii="Times New Roman" w:hAnsi="Times New Roman"/>
          <w:b/>
          <w:sz w:val="20"/>
          <w:szCs w:val="20"/>
        </w:rPr>
        <w:t>209</w:t>
      </w:r>
      <w:r w:rsidRPr="00EF2265">
        <w:rPr>
          <w:rFonts w:ascii="Times New Roman" w:hAnsi="Times New Roman"/>
          <w:sz w:val="20"/>
          <w:szCs w:val="20"/>
        </w:rPr>
        <w:t xml:space="preserve"> študentov, z toho </w:t>
      </w:r>
      <w:r w:rsidRPr="00EF2265">
        <w:rPr>
          <w:rFonts w:ascii="Times New Roman" w:hAnsi="Times New Roman"/>
          <w:b/>
          <w:sz w:val="20"/>
          <w:szCs w:val="20"/>
        </w:rPr>
        <w:t>175</w:t>
      </w:r>
      <w:r w:rsidRPr="00EF2265">
        <w:rPr>
          <w:rFonts w:ascii="Times New Roman" w:hAnsi="Times New Roman"/>
          <w:sz w:val="20"/>
          <w:szCs w:val="20"/>
        </w:rPr>
        <w:t xml:space="preserve"> v dennej forme a </w:t>
      </w:r>
      <w:r w:rsidRPr="00EF2265">
        <w:rPr>
          <w:rFonts w:ascii="Times New Roman" w:hAnsi="Times New Roman"/>
          <w:b/>
          <w:sz w:val="20"/>
          <w:szCs w:val="20"/>
        </w:rPr>
        <w:t>34</w:t>
      </w:r>
      <w:r w:rsidRPr="00EF2265">
        <w:rPr>
          <w:rFonts w:ascii="Times New Roman" w:hAnsi="Times New Roman"/>
          <w:sz w:val="20"/>
          <w:szCs w:val="20"/>
        </w:rPr>
        <w:t xml:space="preserve"> v  externej forme. Oproti akademickému roku 2017/2018 to znamená </w:t>
      </w:r>
      <w:r w:rsidRPr="00EF2265">
        <w:rPr>
          <w:rFonts w:ascii="Times New Roman" w:hAnsi="Times New Roman"/>
          <w:b/>
          <w:sz w:val="20"/>
          <w:szCs w:val="20"/>
        </w:rPr>
        <w:t>nárast o 4,2 %</w:t>
      </w:r>
      <w:r w:rsidRPr="00EF2265">
        <w:rPr>
          <w:rFonts w:ascii="Times New Roman" w:hAnsi="Times New Roman"/>
          <w:sz w:val="20"/>
          <w:szCs w:val="20"/>
        </w:rPr>
        <w:t xml:space="preserve"> na prvom stupni štúdia, na druhom stupni štúdia </w:t>
      </w:r>
      <w:r w:rsidRPr="00EF2265">
        <w:rPr>
          <w:rFonts w:ascii="Times New Roman" w:hAnsi="Times New Roman"/>
          <w:b/>
          <w:sz w:val="20"/>
          <w:szCs w:val="20"/>
        </w:rPr>
        <w:t>pokles o 6,6 %</w:t>
      </w:r>
      <w:r w:rsidRPr="00EF2265">
        <w:rPr>
          <w:rFonts w:ascii="Times New Roman" w:hAnsi="Times New Roman"/>
          <w:sz w:val="20"/>
          <w:szCs w:val="20"/>
        </w:rPr>
        <w:t xml:space="preserve"> a na treťom stupni štúdia </w:t>
      </w:r>
      <w:r w:rsidRPr="00EF2265">
        <w:rPr>
          <w:rFonts w:ascii="Times New Roman" w:hAnsi="Times New Roman"/>
          <w:b/>
          <w:sz w:val="20"/>
          <w:szCs w:val="20"/>
        </w:rPr>
        <w:t>mierny nárast o 2,5 %</w:t>
      </w:r>
      <w:r w:rsidRPr="00EF2265">
        <w:rPr>
          <w:rFonts w:ascii="Times New Roman" w:hAnsi="Times New Roman"/>
          <w:sz w:val="20"/>
          <w:szCs w:val="20"/>
        </w:rPr>
        <w:t>.</w:t>
      </w:r>
    </w:p>
    <w:p w:rsidR="007355A7" w:rsidRPr="00EF2265" w:rsidRDefault="007355A7" w:rsidP="007355A7">
      <w:pPr>
        <w:tabs>
          <w:tab w:val="left" w:pos="9356"/>
        </w:tabs>
        <w:spacing w:after="120"/>
        <w:ind w:left="425"/>
        <w:rPr>
          <w:rFonts w:ascii="Times New Roman" w:hAnsi="Times New Roman"/>
          <w:sz w:val="20"/>
          <w:szCs w:val="20"/>
        </w:rPr>
      </w:pPr>
      <w:r w:rsidRPr="00EF2265">
        <w:rPr>
          <w:rFonts w:ascii="Times New Roman" w:hAnsi="Times New Roman"/>
          <w:sz w:val="20"/>
          <w:szCs w:val="20"/>
        </w:rPr>
        <w:t xml:space="preserve">Dlhodobo klesajúci počet zapísaných študentov na prvom stupni štúdia je spôsobený hlavne demografickým vývojom obyvateľstva SR a s tým súvisiacim </w:t>
      </w:r>
      <w:r w:rsidRPr="00EF2265">
        <w:rPr>
          <w:rFonts w:ascii="Times New Roman" w:hAnsi="Times New Roman"/>
          <w:b/>
          <w:sz w:val="20"/>
          <w:szCs w:val="20"/>
        </w:rPr>
        <w:t>poklesom maturantov SR, pričom za posledných 12 rokov tento pokles predstavuje až 31,9 %</w:t>
      </w:r>
      <w:r w:rsidRPr="00EF2265">
        <w:rPr>
          <w:rFonts w:ascii="Times New Roman" w:hAnsi="Times New Roman"/>
          <w:sz w:val="20"/>
          <w:szCs w:val="20"/>
        </w:rPr>
        <w:t xml:space="preserve">. Negatívnym faktorom pre slovenské vysoké </w:t>
      </w:r>
      <w:r w:rsidRPr="00EF2265">
        <w:rPr>
          <w:rFonts w:ascii="Times New Roman" w:hAnsi="Times New Roman"/>
          <w:sz w:val="20"/>
          <w:szCs w:val="20"/>
        </w:rPr>
        <w:lastRenderedPageBreak/>
        <w:t>školy je, ako už bolo uvedené, stále narastajúci počet študentov odchádzajúcich študovať na vysoké školy v Českej republike.</w:t>
      </w:r>
    </w:p>
    <w:p w:rsidR="007355A7" w:rsidRPr="00EF2265" w:rsidRDefault="007355A7" w:rsidP="007355A7">
      <w:pPr>
        <w:tabs>
          <w:tab w:val="left" w:pos="9356"/>
        </w:tabs>
        <w:spacing w:after="120"/>
        <w:ind w:left="426"/>
        <w:rPr>
          <w:rFonts w:ascii="Times New Roman" w:hAnsi="Times New Roman"/>
          <w:sz w:val="20"/>
          <w:szCs w:val="20"/>
        </w:rPr>
      </w:pPr>
      <w:r w:rsidRPr="00EF2265">
        <w:rPr>
          <w:rFonts w:ascii="Times New Roman" w:hAnsi="Times New Roman"/>
          <w:sz w:val="20"/>
          <w:szCs w:val="20"/>
        </w:rPr>
        <w:t>Pokles zapísaných študentov na druhom stupni štúdia je v podstatnej miere zapríčinený tým</w:t>
      </w:r>
      <w:r w:rsidRPr="00EF2265">
        <w:rPr>
          <w:rFonts w:ascii="Times New Roman" w:hAnsi="Times New Roman"/>
          <w:sz w:val="20"/>
          <w:szCs w:val="20"/>
          <w:shd w:val="clear" w:color="auto" w:fill="FFFFFF"/>
        </w:rPr>
        <w:t>, že pomerne veľa študentov STU (</w:t>
      </w:r>
      <w:r w:rsidRPr="00EF2265">
        <w:rPr>
          <w:rFonts w:ascii="Times New Roman" w:hAnsi="Times New Roman"/>
          <w:b/>
          <w:sz w:val="20"/>
          <w:szCs w:val="20"/>
          <w:shd w:val="clear" w:color="auto" w:fill="FFFFFF"/>
        </w:rPr>
        <w:t>43 %</w:t>
      </w:r>
      <w:r w:rsidRPr="00EF2265">
        <w:rPr>
          <w:rFonts w:ascii="Times New Roman" w:hAnsi="Times New Roman"/>
          <w:sz w:val="20"/>
          <w:szCs w:val="20"/>
          <w:shd w:val="clear" w:color="auto" w:fill="FFFFFF"/>
        </w:rPr>
        <w:t xml:space="preserve">) v poslednom roku štúdia na prvom stupni </w:t>
      </w:r>
      <w:r w:rsidRPr="00EF2265">
        <w:rPr>
          <w:rFonts w:ascii="Times New Roman" w:hAnsi="Times New Roman"/>
          <w:b/>
          <w:sz w:val="20"/>
          <w:szCs w:val="20"/>
          <w:shd w:val="clear" w:color="auto" w:fill="FFFFFF"/>
        </w:rPr>
        <w:t>„zostáva“ v štúdiu a štúdium neskončia v štandardnej dĺžke štúdia, resp. skončia štúdium neúspešne</w:t>
      </w:r>
      <w:r w:rsidRPr="00EF2265">
        <w:rPr>
          <w:rFonts w:ascii="Times New Roman" w:hAnsi="Times New Roman"/>
          <w:b/>
          <w:sz w:val="20"/>
          <w:szCs w:val="20"/>
        </w:rPr>
        <w:t>.</w:t>
      </w:r>
    </w:p>
    <w:p w:rsidR="007355A7" w:rsidRPr="00EF2265" w:rsidRDefault="007355A7" w:rsidP="007355A7">
      <w:pPr>
        <w:numPr>
          <w:ilvl w:val="0"/>
          <w:numId w:val="84"/>
        </w:numPr>
        <w:tabs>
          <w:tab w:val="left" w:pos="9356"/>
        </w:tabs>
        <w:spacing w:after="120"/>
        <w:ind w:left="426" w:hanging="426"/>
        <w:rPr>
          <w:rFonts w:ascii="Times New Roman" w:hAnsi="Times New Roman"/>
          <w:sz w:val="20"/>
          <w:szCs w:val="20"/>
        </w:rPr>
      </w:pPr>
      <w:r w:rsidRPr="00EF2265">
        <w:rPr>
          <w:rFonts w:ascii="Times New Roman" w:hAnsi="Times New Roman"/>
          <w:b/>
          <w:sz w:val="20"/>
          <w:szCs w:val="20"/>
        </w:rPr>
        <w:t>Percento zapísaných študentov na STU z celkového počtu maturantov v SR v porovnaní s akademickým rokom 2017/2018 vzrástlo</w:t>
      </w:r>
      <w:r w:rsidRPr="00EF2265">
        <w:rPr>
          <w:rFonts w:ascii="Times New Roman" w:hAnsi="Times New Roman"/>
          <w:sz w:val="20"/>
          <w:szCs w:val="20"/>
        </w:rPr>
        <w:t xml:space="preserve"> </w:t>
      </w:r>
      <w:r w:rsidRPr="00EF2265">
        <w:rPr>
          <w:rFonts w:ascii="Times New Roman" w:hAnsi="Times New Roman"/>
          <w:b/>
          <w:sz w:val="20"/>
          <w:szCs w:val="20"/>
        </w:rPr>
        <w:t>o</w:t>
      </w:r>
      <w:r w:rsidRPr="00EF2265">
        <w:rPr>
          <w:rFonts w:ascii="Times New Roman" w:hAnsi="Times New Roman"/>
          <w:sz w:val="20"/>
          <w:szCs w:val="20"/>
        </w:rPr>
        <w:t> </w:t>
      </w:r>
      <w:r w:rsidRPr="00EF2265">
        <w:rPr>
          <w:rFonts w:ascii="Times New Roman" w:hAnsi="Times New Roman"/>
          <w:b/>
          <w:sz w:val="20"/>
          <w:szCs w:val="20"/>
        </w:rPr>
        <w:t xml:space="preserve">0,5 %, čo predstavuje 5,1 % </w:t>
      </w:r>
      <w:r w:rsidRPr="00EF2265">
        <w:rPr>
          <w:rFonts w:ascii="Times New Roman" w:hAnsi="Times New Roman"/>
          <w:sz w:val="20"/>
          <w:szCs w:val="20"/>
        </w:rPr>
        <w:t xml:space="preserve">v akademickom roku 2018/2019. </w:t>
      </w:r>
    </w:p>
    <w:p w:rsidR="007355A7" w:rsidRPr="00EF2265" w:rsidRDefault="007355A7" w:rsidP="007355A7">
      <w:pPr>
        <w:numPr>
          <w:ilvl w:val="0"/>
          <w:numId w:val="84"/>
        </w:numPr>
        <w:tabs>
          <w:tab w:val="left" w:pos="9356"/>
        </w:tabs>
        <w:spacing w:after="120"/>
        <w:ind w:left="426" w:hanging="426"/>
        <w:rPr>
          <w:rFonts w:ascii="Times New Roman" w:hAnsi="Times New Roman"/>
          <w:sz w:val="20"/>
          <w:szCs w:val="20"/>
        </w:rPr>
      </w:pPr>
      <w:r w:rsidRPr="00EF2265">
        <w:rPr>
          <w:rFonts w:ascii="Times New Roman" w:hAnsi="Times New Roman"/>
          <w:sz w:val="20"/>
          <w:szCs w:val="20"/>
        </w:rPr>
        <w:t xml:space="preserve">Na prvom stupni štúdia záujem uchádzačov o štúdium ako aj počet prijatých uchádzačov presahuje plánované kapacity, ale tento fakt sa nepremieta do počtu </w:t>
      </w:r>
      <w:r w:rsidRPr="00EF2265">
        <w:rPr>
          <w:rFonts w:ascii="Times New Roman" w:hAnsi="Times New Roman"/>
          <w:b/>
          <w:sz w:val="20"/>
          <w:szCs w:val="20"/>
        </w:rPr>
        <w:t xml:space="preserve">skutočne zapísaných študentov. Pomer zapísaných študentov z prijatých uchádzačov bol v akademickom roku 2018/2019 na úrovni 67 %, </w:t>
      </w:r>
      <w:r w:rsidRPr="00EF2265">
        <w:rPr>
          <w:rFonts w:ascii="Times New Roman" w:hAnsi="Times New Roman"/>
          <w:sz w:val="20"/>
          <w:szCs w:val="20"/>
        </w:rPr>
        <w:t xml:space="preserve">oproti akademickému roku 2017/2018 bol zaznamenaný pokles </w:t>
      </w:r>
      <w:r w:rsidRPr="00EF2265">
        <w:rPr>
          <w:rFonts w:ascii="Times New Roman" w:hAnsi="Times New Roman"/>
          <w:b/>
          <w:sz w:val="20"/>
          <w:szCs w:val="20"/>
        </w:rPr>
        <w:t>o 1 %.</w:t>
      </w:r>
    </w:p>
    <w:p w:rsidR="007355A7" w:rsidRPr="00EF2265" w:rsidRDefault="007355A7" w:rsidP="007355A7">
      <w:pPr>
        <w:numPr>
          <w:ilvl w:val="0"/>
          <w:numId w:val="84"/>
        </w:numPr>
        <w:tabs>
          <w:tab w:val="left" w:pos="9356"/>
        </w:tabs>
        <w:spacing w:after="120"/>
        <w:ind w:left="426" w:hanging="426"/>
        <w:rPr>
          <w:rFonts w:ascii="Times New Roman" w:hAnsi="Times New Roman"/>
          <w:sz w:val="20"/>
          <w:szCs w:val="20"/>
        </w:rPr>
      </w:pPr>
      <w:r w:rsidRPr="00EF2265">
        <w:rPr>
          <w:rFonts w:ascii="Times New Roman" w:hAnsi="Times New Roman"/>
          <w:sz w:val="20"/>
          <w:szCs w:val="20"/>
        </w:rPr>
        <w:t xml:space="preserve">V rámci STU sa na druhý stupeň štúdia </w:t>
      </w:r>
      <w:r w:rsidRPr="00EF2265">
        <w:rPr>
          <w:rFonts w:ascii="Times New Roman" w:hAnsi="Times New Roman"/>
          <w:b/>
          <w:sz w:val="20"/>
          <w:szCs w:val="20"/>
        </w:rPr>
        <w:t xml:space="preserve">zapísalo </w:t>
      </w:r>
      <w:r w:rsidRPr="00EF2265">
        <w:rPr>
          <w:rFonts w:ascii="Times New Roman" w:hAnsi="Times New Roman"/>
          <w:b/>
          <w:sz w:val="20"/>
          <w:szCs w:val="20"/>
          <w:shd w:val="clear" w:color="auto" w:fill="FFFFFF"/>
        </w:rPr>
        <w:t xml:space="preserve">89 </w:t>
      </w:r>
      <w:r w:rsidRPr="00EF2265">
        <w:rPr>
          <w:rFonts w:ascii="Times New Roman" w:hAnsi="Times New Roman"/>
          <w:b/>
          <w:sz w:val="20"/>
          <w:szCs w:val="20"/>
        </w:rPr>
        <w:t>% študentov z prijatých uchádzačov</w:t>
      </w:r>
      <w:r w:rsidRPr="00EF2265">
        <w:rPr>
          <w:rFonts w:ascii="Times New Roman" w:hAnsi="Times New Roman"/>
          <w:sz w:val="20"/>
          <w:szCs w:val="20"/>
        </w:rPr>
        <w:t xml:space="preserve">, čo predstavuje pokles oproti akademickému roku 2017/2018 </w:t>
      </w:r>
      <w:r w:rsidRPr="00EF2265">
        <w:rPr>
          <w:rFonts w:ascii="Times New Roman" w:hAnsi="Times New Roman"/>
          <w:b/>
          <w:sz w:val="20"/>
          <w:szCs w:val="20"/>
        </w:rPr>
        <w:t>o 1 %</w:t>
      </w:r>
      <w:r w:rsidRPr="00EF2265">
        <w:rPr>
          <w:rFonts w:ascii="Times New Roman" w:hAnsi="Times New Roman"/>
          <w:sz w:val="20"/>
          <w:szCs w:val="20"/>
        </w:rPr>
        <w:t>.</w:t>
      </w:r>
    </w:p>
    <w:p w:rsidR="007355A7" w:rsidRPr="00EF2265" w:rsidRDefault="007355A7" w:rsidP="007355A7">
      <w:pPr>
        <w:pStyle w:val="Odsekzoznamu"/>
        <w:numPr>
          <w:ilvl w:val="0"/>
          <w:numId w:val="84"/>
        </w:numPr>
        <w:tabs>
          <w:tab w:val="left" w:pos="9356"/>
        </w:tabs>
        <w:spacing w:after="120" w:line="240" w:lineRule="auto"/>
        <w:ind w:left="426" w:hanging="426"/>
        <w:contextualSpacing w:val="0"/>
        <w:jc w:val="both"/>
        <w:rPr>
          <w:rFonts w:ascii="Times New Roman" w:hAnsi="Times New Roman"/>
          <w:sz w:val="20"/>
          <w:szCs w:val="20"/>
        </w:rPr>
      </w:pPr>
      <w:r w:rsidRPr="00EF2265">
        <w:rPr>
          <w:rFonts w:ascii="Times New Roman" w:hAnsi="Times New Roman"/>
          <w:b/>
          <w:sz w:val="20"/>
          <w:szCs w:val="20"/>
        </w:rPr>
        <w:t xml:space="preserve">STU </w:t>
      </w:r>
      <w:r w:rsidRPr="00EF2265">
        <w:rPr>
          <w:rFonts w:ascii="Times New Roman" w:hAnsi="Times New Roman"/>
          <w:sz w:val="20"/>
          <w:szCs w:val="20"/>
        </w:rPr>
        <w:t>je nositeľom ocenení</w:t>
      </w:r>
      <w:r w:rsidRPr="00EF2265">
        <w:rPr>
          <w:rFonts w:ascii="Times New Roman" w:hAnsi="Times New Roman"/>
          <w:b/>
          <w:sz w:val="20"/>
          <w:szCs w:val="20"/>
        </w:rPr>
        <w:t xml:space="preserve"> ECTS Label </w:t>
      </w:r>
      <w:r w:rsidRPr="00EF2265">
        <w:rPr>
          <w:rFonts w:ascii="Times New Roman" w:hAnsi="Times New Roman"/>
          <w:sz w:val="20"/>
          <w:szCs w:val="20"/>
        </w:rPr>
        <w:t xml:space="preserve">(ako jedna z troch univerzít v Slovenskej republike) </w:t>
      </w:r>
      <w:r w:rsidRPr="00EF2265">
        <w:rPr>
          <w:rFonts w:ascii="Times New Roman" w:hAnsi="Times New Roman"/>
          <w:b/>
          <w:sz w:val="20"/>
          <w:szCs w:val="20"/>
        </w:rPr>
        <w:t xml:space="preserve">a DS Label </w:t>
      </w:r>
      <w:r w:rsidRPr="00EF2265">
        <w:rPr>
          <w:rFonts w:ascii="Times New Roman" w:hAnsi="Times New Roman"/>
          <w:sz w:val="20"/>
          <w:szCs w:val="20"/>
        </w:rPr>
        <w:t>(ako jedna z piatich univerzít v Slovenskej republike).</w:t>
      </w:r>
    </w:p>
    <w:p w:rsidR="007355A7" w:rsidRPr="00EF2265" w:rsidRDefault="007355A7" w:rsidP="007355A7">
      <w:pPr>
        <w:numPr>
          <w:ilvl w:val="0"/>
          <w:numId w:val="84"/>
        </w:numPr>
        <w:shd w:val="clear" w:color="auto" w:fill="FFFFFF"/>
        <w:tabs>
          <w:tab w:val="left" w:pos="9356"/>
        </w:tabs>
        <w:spacing w:after="120"/>
        <w:ind w:left="426" w:hanging="426"/>
        <w:rPr>
          <w:rFonts w:ascii="Times New Roman" w:hAnsi="Times New Roman"/>
          <w:sz w:val="20"/>
          <w:szCs w:val="20"/>
        </w:rPr>
      </w:pPr>
      <w:r w:rsidRPr="00EF2265">
        <w:rPr>
          <w:rFonts w:ascii="Times New Roman" w:hAnsi="Times New Roman"/>
          <w:sz w:val="20"/>
          <w:szCs w:val="20"/>
          <w:shd w:val="clear" w:color="auto" w:fill="FFFFFF"/>
        </w:rPr>
        <w:t xml:space="preserve">V akademickom roku 2017/2018 na STU úspešne </w:t>
      </w:r>
      <w:r w:rsidRPr="00EF2265">
        <w:rPr>
          <w:rFonts w:ascii="Times New Roman" w:hAnsi="Times New Roman"/>
          <w:b/>
          <w:sz w:val="20"/>
          <w:szCs w:val="20"/>
          <w:shd w:val="clear" w:color="auto" w:fill="FFFFFF"/>
        </w:rPr>
        <w:t>skončilo štúdium 3 456 absolventov</w:t>
      </w:r>
      <w:r w:rsidRPr="00EF2265">
        <w:rPr>
          <w:rFonts w:ascii="Times New Roman" w:hAnsi="Times New Roman"/>
          <w:sz w:val="20"/>
          <w:szCs w:val="20"/>
          <w:shd w:val="clear" w:color="auto" w:fill="FFFFFF"/>
        </w:rPr>
        <w:t xml:space="preserve">, z toho na prvom stupni </w:t>
      </w:r>
      <w:r w:rsidRPr="00EF2265">
        <w:rPr>
          <w:rFonts w:ascii="Times New Roman" w:hAnsi="Times New Roman"/>
          <w:b/>
          <w:sz w:val="20"/>
          <w:szCs w:val="20"/>
          <w:shd w:val="clear" w:color="auto" w:fill="FFFFFF"/>
        </w:rPr>
        <w:t>1 533</w:t>
      </w:r>
      <w:r w:rsidRPr="00EF2265">
        <w:rPr>
          <w:rFonts w:ascii="Times New Roman" w:hAnsi="Times New Roman"/>
          <w:sz w:val="20"/>
          <w:szCs w:val="20"/>
          <w:shd w:val="clear" w:color="auto" w:fill="FFFFFF"/>
        </w:rPr>
        <w:t xml:space="preserve"> absolventov, na druhom stupni </w:t>
      </w:r>
      <w:r w:rsidRPr="00EF2265">
        <w:rPr>
          <w:rFonts w:ascii="Times New Roman" w:hAnsi="Times New Roman"/>
          <w:b/>
          <w:sz w:val="20"/>
          <w:szCs w:val="20"/>
          <w:shd w:val="clear" w:color="auto" w:fill="FFFFFF"/>
        </w:rPr>
        <w:t>1 780</w:t>
      </w:r>
      <w:r w:rsidRPr="00EF2265">
        <w:rPr>
          <w:rFonts w:ascii="Times New Roman" w:hAnsi="Times New Roman"/>
          <w:sz w:val="20"/>
          <w:szCs w:val="20"/>
          <w:shd w:val="clear" w:color="auto" w:fill="FFFFFF"/>
        </w:rPr>
        <w:t xml:space="preserve"> absolventov a na treťom stupni </w:t>
      </w:r>
      <w:r w:rsidRPr="00EF2265">
        <w:rPr>
          <w:rFonts w:ascii="Times New Roman" w:hAnsi="Times New Roman"/>
          <w:b/>
          <w:sz w:val="20"/>
          <w:szCs w:val="20"/>
          <w:shd w:val="clear" w:color="auto" w:fill="FFFFFF"/>
        </w:rPr>
        <w:t>143</w:t>
      </w:r>
      <w:r w:rsidRPr="00EF2265">
        <w:rPr>
          <w:rFonts w:ascii="Times New Roman" w:hAnsi="Times New Roman"/>
          <w:sz w:val="20"/>
          <w:szCs w:val="20"/>
          <w:shd w:val="clear" w:color="auto" w:fill="FFFFFF"/>
        </w:rPr>
        <w:t xml:space="preserve"> absolventov, z toho </w:t>
      </w:r>
      <w:r w:rsidRPr="00EF2265">
        <w:rPr>
          <w:rFonts w:ascii="Times New Roman" w:hAnsi="Times New Roman"/>
          <w:b/>
          <w:sz w:val="20"/>
          <w:szCs w:val="20"/>
          <w:shd w:val="clear" w:color="auto" w:fill="FFFFFF"/>
        </w:rPr>
        <w:t>117</w:t>
      </w:r>
      <w:r w:rsidRPr="00EF2265">
        <w:rPr>
          <w:rFonts w:ascii="Times New Roman" w:hAnsi="Times New Roman"/>
          <w:sz w:val="20"/>
          <w:szCs w:val="20"/>
          <w:shd w:val="clear" w:color="auto" w:fill="FFFFFF"/>
        </w:rPr>
        <w:t xml:space="preserve"> v dennej forme a </w:t>
      </w:r>
      <w:r w:rsidRPr="00EF2265">
        <w:rPr>
          <w:rFonts w:ascii="Times New Roman" w:hAnsi="Times New Roman"/>
          <w:b/>
          <w:sz w:val="20"/>
          <w:szCs w:val="20"/>
          <w:shd w:val="clear" w:color="auto" w:fill="FFFFFF"/>
        </w:rPr>
        <w:t>26</w:t>
      </w:r>
      <w:r w:rsidRPr="00EF2265">
        <w:rPr>
          <w:rFonts w:ascii="Times New Roman" w:hAnsi="Times New Roman"/>
          <w:sz w:val="20"/>
          <w:szCs w:val="20"/>
          <w:shd w:val="clear" w:color="auto" w:fill="FFFFFF"/>
        </w:rPr>
        <w:t xml:space="preserve"> v externej forme štúdia</w:t>
      </w:r>
      <w:r w:rsidRPr="00EF2265">
        <w:rPr>
          <w:rFonts w:ascii="Times New Roman" w:hAnsi="Times New Roman"/>
          <w:sz w:val="20"/>
          <w:szCs w:val="20"/>
        </w:rPr>
        <w:t xml:space="preserve">. STU od svojho vzniku do konca roku 2018 poskytla vysokoškolské vzdelanie </w:t>
      </w:r>
      <w:r w:rsidRPr="00EF2265">
        <w:rPr>
          <w:rFonts w:ascii="Times New Roman" w:hAnsi="Times New Roman"/>
          <w:b/>
          <w:sz w:val="20"/>
          <w:szCs w:val="20"/>
          <w:shd w:val="clear" w:color="auto" w:fill="FFFFFF"/>
        </w:rPr>
        <w:t xml:space="preserve">162 569 absolventom, </w:t>
      </w:r>
      <w:r w:rsidRPr="00EF2265">
        <w:rPr>
          <w:rFonts w:ascii="Times New Roman" w:hAnsi="Times New Roman"/>
          <w:sz w:val="20"/>
          <w:szCs w:val="20"/>
          <w:shd w:val="clear" w:color="auto" w:fill="FFFFFF"/>
        </w:rPr>
        <w:t xml:space="preserve">z toho </w:t>
      </w:r>
      <w:r w:rsidRPr="00EF2265">
        <w:rPr>
          <w:rFonts w:ascii="Times New Roman" w:hAnsi="Times New Roman"/>
          <w:b/>
          <w:sz w:val="20"/>
          <w:szCs w:val="20"/>
          <w:shd w:val="clear" w:color="auto" w:fill="FFFFFF"/>
        </w:rPr>
        <w:t>39 599</w:t>
      </w:r>
      <w:r w:rsidRPr="00EF2265">
        <w:rPr>
          <w:rFonts w:ascii="Times New Roman" w:hAnsi="Times New Roman"/>
          <w:sz w:val="20"/>
          <w:szCs w:val="20"/>
          <w:shd w:val="clear" w:color="auto" w:fill="FFFFFF"/>
        </w:rPr>
        <w:t xml:space="preserve"> na prvom stupni, </w:t>
      </w:r>
      <w:r w:rsidRPr="00EF2265">
        <w:rPr>
          <w:rFonts w:ascii="Times New Roman" w:hAnsi="Times New Roman"/>
          <w:b/>
          <w:sz w:val="20"/>
          <w:szCs w:val="20"/>
          <w:shd w:val="clear" w:color="auto" w:fill="FFFFFF"/>
        </w:rPr>
        <w:t>119 388</w:t>
      </w:r>
      <w:r w:rsidRPr="00EF2265">
        <w:rPr>
          <w:rFonts w:ascii="Times New Roman" w:hAnsi="Times New Roman"/>
          <w:sz w:val="20"/>
          <w:szCs w:val="20"/>
          <w:shd w:val="clear" w:color="auto" w:fill="FFFFFF"/>
        </w:rPr>
        <w:t xml:space="preserve"> na druhom stupni a </w:t>
      </w:r>
      <w:r w:rsidRPr="00EF2265">
        <w:rPr>
          <w:rFonts w:ascii="Times New Roman" w:hAnsi="Times New Roman"/>
          <w:b/>
          <w:sz w:val="20"/>
          <w:szCs w:val="20"/>
          <w:shd w:val="clear" w:color="auto" w:fill="FFFFFF"/>
        </w:rPr>
        <w:t>3 582</w:t>
      </w:r>
      <w:r w:rsidRPr="00EF2265">
        <w:rPr>
          <w:rFonts w:ascii="Times New Roman" w:hAnsi="Times New Roman"/>
          <w:sz w:val="20"/>
          <w:szCs w:val="20"/>
          <w:shd w:val="clear" w:color="auto" w:fill="FFFFFF"/>
        </w:rPr>
        <w:t xml:space="preserve"> na treťom stupni štúdia.</w:t>
      </w:r>
      <w:r w:rsidRPr="00EF2265">
        <w:rPr>
          <w:rFonts w:ascii="Times New Roman" w:hAnsi="Times New Roman"/>
          <w:sz w:val="20"/>
          <w:szCs w:val="20"/>
        </w:rPr>
        <w:t xml:space="preserve"> </w:t>
      </w:r>
    </w:p>
    <w:p w:rsidR="007355A7" w:rsidRPr="00EF2265" w:rsidRDefault="007355A7" w:rsidP="007355A7">
      <w:pPr>
        <w:numPr>
          <w:ilvl w:val="0"/>
          <w:numId w:val="84"/>
        </w:numPr>
        <w:shd w:val="clear" w:color="auto" w:fill="FFFFFF"/>
        <w:tabs>
          <w:tab w:val="left" w:pos="9356"/>
        </w:tabs>
        <w:spacing w:after="120"/>
        <w:ind w:left="426" w:hanging="426"/>
        <w:rPr>
          <w:rFonts w:ascii="Times New Roman" w:hAnsi="Times New Roman"/>
          <w:sz w:val="20"/>
          <w:szCs w:val="20"/>
        </w:rPr>
      </w:pPr>
      <w:r w:rsidRPr="00EF2265">
        <w:rPr>
          <w:rFonts w:ascii="Times New Roman" w:hAnsi="Times New Roman"/>
          <w:sz w:val="20"/>
          <w:szCs w:val="20"/>
        </w:rPr>
        <w:t>Pozitívne možno vnímať pozíciu STU medzi vysokými školami na Slovensku získanú atraktívnosťou a kvalitou poskytovaného vysokoškolského vzdelávania. Je to vidieť aj z percenta evidovaných nezamestnaných absolventov vysokých škôl, ktoré si STU udržiava dlhodobo medzi najnižšími v porovnaní s ostatnými verejnými vysokými školami na Slovensku. STU sa tak radí medzi najúspešnejšie univerzity na Slovensku, čo sa týka uplatniteľnosti absolventov.</w:t>
      </w:r>
    </w:p>
    <w:p w:rsidR="007355A7" w:rsidRPr="00EF2265" w:rsidRDefault="007355A7" w:rsidP="007355A7">
      <w:pPr>
        <w:numPr>
          <w:ilvl w:val="0"/>
          <w:numId w:val="84"/>
        </w:numPr>
        <w:shd w:val="clear" w:color="auto" w:fill="FFFFFF"/>
        <w:tabs>
          <w:tab w:val="left" w:pos="9356"/>
        </w:tabs>
        <w:spacing w:after="120"/>
        <w:ind w:left="426" w:hanging="426"/>
        <w:rPr>
          <w:rFonts w:ascii="Times New Roman" w:hAnsi="Times New Roman"/>
          <w:sz w:val="20"/>
          <w:szCs w:val="20"/>
        </w:rPr>
      </w:pPr>
      <w:r w:rsidRPr="00EF2265">
        <w:rPr>
          <w:rFonts w:ascii="Times New Roman" w:hAnsi="Times New Roman"/>
          <w:sz w:val="20"/>
          <w:szCs w:val="20"/>
        </w:rPr>
        <w:t xml:space="preserve">Dlhodobo pozitívnym trendom vo vzdelávaní na STU je spolupráca s praxou, o čom svedčia mnohé ocenenia študentov STU.  </w:t>
      </w:r>
    </w:p>
    <w:p w:rsidR="007355A7" w:rsidRPr="00EF2265" w:rsidRDefault="007355A7" w:rsidP="007355A7">
      <w:pPr>
        <w:numPr>
          <w:ilvl w:val="0"/>
          <w:numId w:val="84"/>
        </w:numPr>
        <w:shd w:val="clear" w:color="auto" w:fill="FFFFFF"/>
        <w:tabs>
          <w:tab w:val="left" w:pos="9356"/>
        </w:tabs>
        <w:spacing w:after="120"/>
        <w:ind w:left="426" w:hanging="426"/>
        <w:rPr>
          <w:rFonts w:ascii="Times New Roman" w:hAnsi="Times New Roman"/>
          <w:sz w:val="20"/>
          <w:szCs w:val="20"/>
        </w:rPr>
      </w:pPr>
      <w:r w:rsidRPr="00EF2265">
        <w:rPr>
          <w:rFonts w:ascii="Times New Roman" w:hAnsi="Times New Roman"/>
          <w:sz w:val="20"/>
          <w:szCs w:val="20"/>
        </w:rPr>
        <w:t xml:space="preserve">Študenti STU získali v akademickom roku 2017/2018 </w:t>
      </w:r>
      <w:r w:rsidRPr="00EF2265">
        <w:rPr>
          <w:rFonts w:ascii="Times New Roman" w:hAnsi="Times New Roman"/>
          <w:b/>
          <w:sz w:val="20"/>
          <w:szCs w:val="20"/>
        </w:rPr>
        <w:t xml:space="preserve">spolu 176 významných ocenení na národnej úrovni mimo univerzity a 41 ocenení na medzinárodnej úrovni. </w:t>
      </w:r>
      <w:r w:rsidRPr="00EF2265">
        <w:rPr>
          <w:rFonts w:ascii="Times New Roman" w:hAnsi="Times New Roman"/>
          <w:sz w:val="20"/>
          <w:szCs w:val="20"/>
          <w:shd w:val="clear" w:color="auto" w:fill="FFFFFF"/>
        </w:rPr>
        <w:t xml:space="preserve">Počet študentov, ktorí získali niektoré z ocenení v rámci STU, bol v hodnotenom akademickom roku </w:t>
      </w:r>
      <w:r w:rsidRPr="00EF2265">
        <w:rPr>
          <w:rFonts w:ascii="Times New Roman" w:hAnsi="Times New Roman"/>
          <w:b/>
          <w:sz w:val="20"/>
          <w:szCs w:val="20"/>
          <w:shd w:val="clear" w:color="auto" w:fill="FFFFFF"/>
        </w:rPr>
        <w:t>487</w:t>
      </w:r>
      <w:r w:rsidRPr="00EF2265">
        <w:rPr>
          <w:rFonts w:ascii="Times New Roman" w:hAnsi="Times New Roman"/>
          <w:sz w:val="20"/>
          <w:szCs w:val="20"/>
          <w:shd w:val="clear" w:color="auto" w:fill="FFFFFF"/>
        </w:rPr>
        <w:t xml:space="preserve">. </w:t>
      </w:r>
    </w:p>
    <w:p w:rsidR="007355A7" w:rsidRPr="00EF2265" w:rsidRDefault="007355A7" w:rsidP="007355A7">
      <w:pPr>
        <w:numPr>
          <w:ilvl w:val="0"/>
          <w:numId w:val="84"/>
        </w:numPr>
        <w:shd w:val="clear" w:color="auto" w:fill="FFFFFF"/>
        <w:tabs>
          <w:tab w:val="left" w:pos="9356"/>
        </w:tabs>
        <w:spacing w:after="120"/>
        <w:ind w:left="426" w:hanging="426"/>
        <w:rPr>
          <w:rFonts w:ascii="Times New Roman" w:hAnsi="Times New Roman"/>
          <w:sz w:val="20"/>
          <w:szCs w:val="20"/>
        </w:rPr>
      </w:pPr>
      <w:r w:rsidRPr="00EF2265">
        <w:rPr>
          <w:rFonts w:ascii="Times New Roman" w:hAnsi="Times New Roman"/>
          <w:sz w:val="20"/>
          <w:szCs w:val="20"/>
        </w:rPr>
        <w:t>V rámci Študentskej vedeckej odbornej činnosti alebo Študentskej tvorivej vedeckej odbornej a umeleckej činnosti (tiež ako ŠVOČ) bolo v akademickom roku 2017/2018 prezentovaných</w:t>
      </w:r>
      <w:r w:rsidRPr="00EF2265">
        <w:rPr>
          <w:rFonts w:ascii="Times New Roman" w:hAnsi="Times New Roman"/>
          <w:b/>
          <w:sz w:val="20"/>
          <w:szCs w:val="20"/>
        </w:rPr>
        <w:t xml:space="preserve"> 700 prác v 79 sekciách, do ktorých sa zapojilo 811 študentov STU.</w:t>
      </w:r>
    </w:p>
    <w:p w:rsidR="007355A7" w:rsidRPr="00EF2265" w:rsidRDefault="007355A7" w:rsidP="007355A7">
      <w:pPr>
        <w:numPr>
          <w:ilvl w:val="0"/>
          <w:numId w:val="84"/>
        </w:numPr>
        <w:shd w:val="clear" w:color="auto" w:fill="FFFFFF"/>
        <w:tabs>
          <w:tab w:val="left" w:pos="9356"/>
        </w:tabs>
        <w:spacing w:after="120"/>
        <w:ind w:left="426" w:hanging="426"/>
        <w:rPr>
          <w:rFonts w:ascii="Times New Roman" w:hAnsi="Times New Roman"/>
          <w:sz w:val="20"/>
          <w:szCs w:val="20"/>
        </w:rPr>
      </w:pPr>
      <w:r w:rsidRPr="00EF2265">
        <w:rPr>
          <w:rFonts w:ascii="Times New Roman" w:hAnsi="Times New Roman"/>
          <w:sz w:val="20"/>
          <w:szCs w:val="20"/>
        </w:rPr>
        <w:t xml:space="preserve">STU spolu s TU Wien zabezpečuje akreditované 2-ročné kombinované dištančné vzdelávanie Professional MBA Automotive Industry v anglickom jazyku podporované e-learningovým prostredím. </w:t>
      </w:r>
      <w:r w:rsidRPr="00EF2265">
        <w:rPr>
          <w:rFonts w:ascii="Times New Roman" w:hAnsi="Times New Roman"/>
          <w:b/>
          <w:sz w:val="20"/>
          <w:szCs w:val="20"/>
        </w:rPr>
        <w:t>Medzi viac ako 130 frekventantmi a absolventmi boli a sú manažéri z významných výrobných i nevýrobných globálnych spoločností 23 štátov Ázie, Európy, Afriky a Severnej Ameriky.</w:t>
      </w:r>
    </w:p>
    <w:p w:rsidR="007355A7" w:rsidRPr="00EF2265" w:rsidRDefault="007355A7" w:rsidP="007355A7">
      <w:pPr>
        <w:numPr>
          <w:ilvl w:val="0"/>
          <w:numId w:val="84"/>
        </w:numPr>
        <w:shd w:val="clear" w:color="auto" w:fill="FFFFFF"/>
        <w:tabs>
          <w:tab w:val="left" w:pos="9356"/>
        </w:tabs>
        <w:spacing w:after="120"/>
        <w:ind w:left="425" w:hanging="425"/>
        <w:rPr>
          <w:rFonts w:ascii="Times New Roman" w:hAnsi="Times New Roman"/>
          <w:sz w:val="20"/>
          <w:szCs w:val="20"/>
        </w:rPr>
      </w:pPr>
      <w:r w:rsidRPr="00EF2265">
        <w:rPr>
          <w:rFonts w:ascii="Times New Roman" w:hAnsi="Times New Roman"/>
          <w:snapToGrid w:val="0"/>
          <w:sz w:val="20"/>
          <w:szCs w:val="20"/>
        </w:rPr>
        <w:t xml:space="preserve">V rámci Univerzity tretieho veku študovalo v akademickom roku 2017/2018 na STU </w:t>
      </w:r>
      <w:r w:rsidRPr="00EF2265">
        <w:rPr>
          <w:rFonts w:ascii="Times New Roman" w:hAnsi="Times New Roman"/>
          <w:b/>
          <w:snapToGrid w:val="0"/>
          <w:sz w:val="20"/>
          <w:szCs w:val="20"/>
        </w:rPr>
        <w:t>997 frekventantov</w:t>
      </w:r>
      <w:r w:rsidRPr="00EF2265">
        <w:rPr>
          <w:rFonts w:ascii="Times New Roman" w:hAnsi="Times New Roman"/>
          <w:snapToGrid w:val="0"/>
          <w:sz w:val="20"/>
          <w:szCs w:val="20"/>
        </w:rPr>
        <w:t>, osvedčenia o absolvovaní boli udelené</w:t>
      </w:r>
      <w:r w:rsidRPr="00EF2265">
        <w:rPr>
          <w:rFonts w:ascii="Times New Roman" w:hAnsi="Times New Roman"/>
          <w:b/>
          <w:snapToGrid w:val="0"/>
          <w:sz w:val="20"/>
          <w:szCs w:val="20"/>
        </w:rPr>
        <w:t xml:space="preserve"> 204 absolventom.</w:t>
      </w:r>
    </w:p>
    <w:p w:rsidR="007355A7" w:rsidRPr="00EF2265" w:rsidRDefault="007355A7" w:rsidP="007355A7">
      <w:pPr>
        <w:numPr>
          <w:ilvl w:val="0"/>
          <w:numId w:val="84"/>
        </w:numPr>
        <w:shd w:val="clear" w:color="auto" w:fill="FFFFFF"/>
        <w:tabs>
          <w:tab w:val="left" w:pos="9356"/>
        </w:tabs>
        <w:spacing w:after="120"/>
        <w:ind w:left="426" w:hanging="426"/>
        <w:rPr>
          <w:rFonts w:ascii="Times New Roman" w:hAnsi="Times New Roman"/>
          <w:sz w:val="20"/>
          <w:szCs w:val="20"/>
        </w:rPr>
      </w:pPr>
      <w:r w:rsidRPr="00EF2265">
        <w:rPr>
          <w:rFonts w:ascii="Times New Roman" w:hAnsi="Times New Roman"/>
          <w:sz w:val="20"/>
          <w:szCs w:val="20"/>
        </w:rPr>
        <w:t xml:space="preserve">V rámci priamej sociálnej podpory študentov v akademickom roku 2017/2018 STU poskytla </w:t>
      </w:r>
      <w:r w:rsidRPr="00EF2265">
        <w:rPr>
          <w:rFonts w:ascii="Times New Roman" w:hAnsi="Times New Roman"/>
          <w:b/>
          <w:sz w:val="20"/>
          <w:szCs w:val="20"/>
        </w:rPr>
        <w:t>3 173</w:t>
      </w:r>
      <w:r w:rsidRPr="00EF2265">
        <w:rPr>
          <w:rFonts w:ascii="Times New Roman" w:hAnsi="Times New Roman"/>
          <w:sz w:val="20"/>
          <w:szCs w:val="20"/>
        </w:rPr>
        <w:t xml:space="preserve"> </w:t>
      </w:r>
      <w:r w:rsidRPr="00EF2265">
        <w:rPr>
          <w:rFonts w:ascii="Times New Roman" w:hAnsi="Times New Roman"/>
          <w:b/>
          <w:sz w:val="20"/>
          <w:szCs w:val="20"/>
        </w:rPr>
        <w:t>študentom</w:t>
      </w:r>
      <w:r w:rsidRPr="00EF2265">
        <w:rPr>
          <w:rFonts w:ascii="Times New Roman" w:hAnsi="Times New Roman"/>
          <w:sz w:val="20"/>
          <w:szCs w:val="20"/>
        </w:rPr>
        <w:t xml:space="preserve"> STU motivačné štipendium odborové v celkovej výške </w:t>
      </w:r>
      <w:r w:rsidRPr="00EF2265">
        <w:rPr>
          <w:rFonts w:ascii="Times New Roman" w:hAnsi="Times New Roman"/>
          <w:b/>
          <w:sz w:val="20"/>
          <w:szCs w:val="20"/>
        </w:rPr>
        <w:t>1 306 012 €</w:t>
      </w:r>
      <w:r w:rsidRPr="00EF2265">
        <w:rPr>
          <w:rFonts w:ascii="Times New Roman" w:hAnsi="Times New Roman"/>
          <w:sz w:val="20"/>
          <w:szCs w:val="20"/>
        </w:rPr>
        <w:t xml:space="preserve">, </w:t>
      </w:r>
      <w:r w:rsidRPr="00EF2265">
        <w:rPr>
          <w:rFonts w:ascii="Times New Roman" w:hAnsi="Times New Roman"/>
          <w:b/>
          <w:sz w:val="20"/>
          <w:szCs w:val="20"/>
        </w:rPr>
        <w:t>856</w:t>
      </w:r>
      <w:r w:rsidRPr="00EF2265">
        <w:rPr>
          <w:rFonts w:ascii="Times New Roman" w:hAnsi="Times New Roman"/>
          <w:sz w:val="20"/>
          <w:szCs w:val="20"/>
        </w:rPr>
        <w:t> </w:t>
      </w:r>
      <w:r w:rsidRPr="00EF2265">
        <w:rPr>
          <w:rFonts w:ascii="Times New Roman" w:hAnsi="Times New Roman"/>
          <w:b/>
          <w:sz w:val="20"/>
          <w:szCs w:val="20"/>
        </w:rPr>
        <w:t>študentom</w:t>
      </w:r>
      <w:r w:rsidRPr="00EF2265">
        <w:rPr>
          <w:rFonts w:ascii="Times New Roman" w:hAnsi="Times New Roman"/>
          <w:sz w:val="20"/>
          <w:szCs w:val="20"/>
        </w:rPr>
        <w:t xml:space="preserve"> STU motivačné štipendiá za vynikajúce študijné výsledky v celkovej výške </w:t>
      </w:r>
      <w:r w:rsidRPr="00EF2265">
        <w:rPr>
          <w:rFonts w:ascii="Times New Roman" w:hAnsi="Times New Roman"/>
          <w:b/>
          <w:sz w:val="20"/>
          <w:szCs w:val="20"/>
        </w:rPr>
        <w:t>466 526 €</w:t>
      </w:r>
      <w:r w:rsidRPr="00EF2265">
        <w:rPr>
          <w:rFonts w:ascii="Times New Roman" w:hAnsi="Times New Roman"/>
          <w:sz w:val="20"/>
          <w:szCs w:val="20"/>
        </w:rPr>
        <w:t xml:space="preserve">. Ďalších </w:t>
      </w:r>
      <w:r w:rsidRPr="00EF2265">
        <w:rPr>
          <w:rFonts w:ascii="Times New Roman" w:hAnsi="Times New Roman"/>
          <w:b/>
          <w:sz w:val="20"/>
          <w:szCs w:val="20"/>
        </w:rPr>
        <w:t>113 331 €</w:t>
      </w:r>
      <w:r w:rsidRPr="00EF2265">
        <w:rPr>
          <w:rFonts w:ascii="Times New Roman" w:hAnsi="Times New Roman"/>
          <w:sz w:val="20"/>
          <w:szCs w:val="20"/>
        </w:rPr>
        <w:t xml:space="preserve"> bolo poskytnutých v rámci motivačných štipendií za mimoriadne výsledky spolu </w:t>
      </w:r>
      <w:r w:rsidRPr="00EF2265">
        <w:rPr>
          <w:rFonts w:ascii="Times New Roman" w:hAnsi="Times New Roman"/>
          <w:b/>
          <w:sz w:val="20"/>
          <w:szCs w:val="20"/>
        </w:rPr>
        <w:t>671 študentom</w:t>
      </w:r>
      <w:r w:rsidRPr="00EF2265">
        <w:rPr>
          <w:rFonts w:ascii="Times New Roman" w:hAnsi="Times New Roman"/>
          <w:sz w:val="20"/>
          <w:szCs w:val="20"/>
        </w:rPr>
        <w:t xml:space="preserve"> </w:t>
      </w:r>
      <w:r w:rsidRPr="00EF2265">
        <w:rPr>
          <w:rFonts w:ascii="Times New Roman" w:hAnsi="Times New Roman"/>
          <w:b/>
          <w:sz w:val="20"/>
          <w:szCs w:val="20"/>
        </w:rPr>
        <w:t>STU</w:t>
      </w:r>
      <w:r w:rsidRPr="00EF2265">
        <w:rPr>
          <w:rFonts w:ascii="Times New Roman" w:hAnsi="Times New Roman"/>
          <w:sz w:val="20"/>
          <w:szCs w:val="20"/>
        </w:rPr>
        <w:t xml:space="preserve"> a </w:t>
      </w:r>
      <w:r w:rsidRPr="00EF2265">
        <w:rPr>
          <w:rFonts w:ascii="Times New Roman" w:hAnsi="Times New Roman"/>
          <w:b/>
          <w:sz w:val="20"/>
          <w:szCs w:val="20"/>
        </w:rPr>
        <w:t>175 415 €</w:t>
      </w:r>
      <w:r w:rsidRPr="00EF2265">
        <w:rPr>
          <w:rFonts w:ascii="Times New Roman" w:hAnsi="Times New Roman"/>
          <w:sz w:val="20"/>
          <w:szCs w:val="20"/>
        </w:rPr>
        <w:t xml:space="preserve"> v rámci mimoriadnych štipendií z vlastných zdrojov STU </w:t>
      </w:r>
      <w:r w:rsidRPr="00EF2265">
        <w:rPr>
          <w:rFonts w:ascii="Times New Roman" w:hAnsi="Times New Roman"/>
          <w:b/>
          <w:sz w:val="20"/>
          <w:szCs w:val="20"/>
        </w:rPr>
        <w:t>617 študentom, resp. absolventom STU</w:t>
      </w:r>
      <w:r w:rsidRPr="00EF2265">
        <w:rPr>
          <w:rFonts w:ascii="Times New Roman" w:hAnsi="Times New Roman"/>
          <w:sz w:val="20"/>
          <w:szCs w:val="20"/>
        </w:rPr>
        <w:t xml:space="preserve">. Rektor STU rozhodol o priznaní </w:t>
      </w:r>
      <w:r w:rsidRPr="00EF2265">
        <w:rPr>
          <w:rFonts w:ascii="Times New Roman" w:hAnsi="Times New Roman"/>
          <w:b/>
          <w:sz w:val="20"/>
          <w:szCs w:val="20"/>
        </w:rPr>
        <w:t>136</w:t>
      </w:r>
      <w:r w:rsidRPr="00EF2265">
        <w:rPr>
          <w:rFonts w:ascii="Times New Roman" w:hAnsi="Times New Roman"/>
          <w:sz w:val="20"/>
          <w:szCs w:val="20"/>
        </w:rPr>
        <w:t xml:space="preserve"> motivačných, resp. mimoriadnych štipendií z vlastných zdrojov STU v celkovej výške </w:t>
      </w:r>
      <w:r w:rsidRPr="00EF2265">
        <w:rPr>
          <w:rFonts w:ascii="Times New Roman" w:hAnsi="Times New Roman"/>
          <w:b/>
          <w:sz w:val="20"/>
          <w:szCs w:val="20"/>
        </w:rPr>
        <w:t>39 746 €</w:t>
      </w:r>
      <w:r w:rsidRPr="00EF2265">
        <w:rPr>
          <w:rFonts w:ascii="Times New Roman" w:hAnsi="Times New Roman"/>
          <w:sz w:val="20"/>
          <w:szCs w:val="20"/>
        </w:rPr>
        <w:t>,</w:t>
      </w:r>
      <w:r w:rsidRPr="00EF2265">
        <w:rPr>
          <w:rFonts w:ascii="Times New Roman" w:hAnsi="Times New Roman"/>
          <w:b/>
          <w:sz w:val="20"/>
          <w:szCs w:val="20"/>
        </w:rPr>
        <w:t xml:space="preserve"> </w:t>
      </w:r>
      <w:r w:rsidRPr="00EF2265">
        <w:rPr>
          <w:rFonts w:ascii="Times New Roman" w:hAnsi="Times New Roman"/>
          <w:sz w:val="20"/>
          <w:szCs w:val="20"/>
        </w:rPr>
        <w:t>ktoré boli poskytnuté zo štipendijného fondu rektora .</w:t>
      </w:r>
    </w:p>
    <w:p w:rsidR="007355A7" w:rsidRPr="00EF2265" w:rsidRDefault="007355A7" w:rsidP="007355A7">
      <w:pPr>
        <w:pStyle w:val="Odsekzoznamu"/>
        <w:numPr>
          <w:ilvl w:val="0"/>
          <w:numId w:val="84"/>
        </w:numPr>
        <w:tabs>
          <w:tab w:val="left" w:pos="9356"/>
        </w:tabs>
        <w:spacing w:after="120" w:line="240" w:lineRule="auto"/>
        <w:ind w:left="426" w:hanging="426"/>
        <w:jc w:val="both"/>
        <w:rPr>
          <w:rFonts w:ascii="Times New Roman" w:eastAsiaTheme="minorEastAsia" w:hAnsi="Times New Roman"/>
          <w:sz w:val="20"/>
          <w:szCs w:val="20"/>
          <w:lang w:eastAsia="en-US"/>
        </w:rPr>
      </w:pPr>
      <w:r w:rsidRPr="00EF2265">
        <w:rPr>
          <w:rFonts w:ascii="Times New Roman" w:eastAsiaTheme="minorEastAsia" w:hAnsi="Times New Roman"/>
          <w:b/>
          <w:sz w:val="20"/>
          <w:szCs w:val="20"/>
          <w:lang w:eastAsia="en-US"/>
        </w:rPr>
        <w:t xml:space="preserve">Kontrola kvality vzdelávacieho procesu na STU prebiehala </w:t>
      </w:r>
      <w:r w:rsidRPr="00EF2265">
        <w:rPr>
          <w:rFonts w:ascii="Times New Roman" w:eastAsiaTheme="minorEastAsia" w:hAnsi="Times New Roman"/>
          <w:sz w:val="20"/>
          <w:szCs w:val="20"/>
          <w:lang w:eastAsia="en-US"/>
        </w:rPr>
        <w:t xml:space="preserve">aj v akademickom roku 2017/2018 </w:t>
      </w:r>
      <w:r w:rsidRPr="00EF2265">
        <w:rPr>
          <w:rFonts w:ascii="Times New Roman" w:eastAsiaTheme="minorEastAsia" w:hAnsi="Times New Roman"/>
          <w:b/>
          <w:sz w:val="20"/>
          <w:szCs w:val="20"/>
          <w:lang w:eastAsia="en-US"/>
        </w:rPr>
        <w:t>prostredníctvom hospitácií</w:t>
      </w:r>
      <w:r w:rsidRPr="00EF2265">
        <w:rPr>
          <w:rFonts w:ascii="Times New Roman" w:eastAsiaTheme="minorEastAsia" w:hAnsi="Times New Roman"/>
          <w:sz w:val="20"/>
          <w:szCs w:val="20"/>
          <w:lang w:eastAsia="en-US"/>
        </w:rPr>
        <w:t>, ktoré boli zamerané predovšetkým na zhodnotenie kvality pedagogickej činnosti konkrétnych učiteľov. Hospitácie boli zabezpečované vedeniami fakúlt, vedúcimi ústavov, resp. katedier ako aj garantmi študijných programov. Záznamy z hospitácií boli prerokované na zasadnutiach príslušných garantujúcich pracovísk, resp. na vedeniach fakúlt.</w:t>
      </w:r>
    </w:p>
    <w:p w:rsidR="007355A7" w:rsidRPr="00EF2265" w:rsidRDefault="007355A7" w:rsidP="007355A7">
      <w:pPr>
        <w:numPr>
          <w:ilvl w:val="0"/>
          <w:numId w:val="84"/>
        </w:numPr>
        <w:shd w:val="clear" w:color="auto" w:fill="FFFFFF"/>
        <w:tabs>
          <w:tab w:val="left" w:pos="9356"/>
        </w:tabs>
        <w:ind w:left="426" w:hanging="426"/>
        <w:rPr>
          <w:rFonts w:ascii="Times New Roman" w:hAnsi="Times New Roman"/>
          <w:sz w:val="20"/>
          <w:szCs w:val="20"/>
        </w:rPr>
      </w:pPr>
      <w:r w:rsidRPr="00EF2265">
        <w:rPr>
          <w:rFonts w:ascii="Times New Roman" w:hAnsi="Times New Roman"/>
          <w:sz w:val="20"/>
          <w:szCs w:val="20"/>
        </w:rPr>
        <w:lastRenderedPageBreak/>
        <w:t xml:space="preserve">Pozitívne možno hodnotiť </w:t>
      </w:r>
      <w:r w:rsidRPr="00EF2265">
        <w:rPr>
          <w:rFonts w:ascii="Times New Roman" w:hAnsi="Times New Roman"/>
          <w:b/>
          <w:sz w:val="20"/>
          <w:szCs w:val="20"/>
        </w:rPr>
        <w:t>vyššiu účasť študentov niektorých fakúlt na anonymných anketách</w:t>
      </w:r>
      <w:r w:rsidRPr="00EF2265">
        <w:rPr>
          <w:rFonts w:ascii="Times New Roman" w:hAnsi="Times New Roman"/>
          <w:sz w:val="20"/>
          <w:szCs w:val="20"/>
        </w:rPr>
        <w:t xml:space="preserve"> ku kvalite výučby a učiteľov, ktorá je výsledkom zavedenia viacerých motivačných opatrení, vyššou informovanosťou študentov, resp. ankety boli realizované v rámci zápisov študentov do ďalšej časti štúdia.</w:t>
      </w:r>
    </w:p>
    <w:p w:rsidR="007355A7" w:rsidRPr="00EF2265" w:rsidRDefault="007355A7" w:rsidP="00552ACE">
      <w:pPr>
        <w:jc w:val="left"/>
        <w:rPr>
          <w:rFonts w:ascii="Times New Roman" w:hAnsi="Times New Roman"/>
          <w:color w:val="auto"/>
          <w:sz w:val="20"/>
          <w:szCs w:val="20"/>
        </w:rPr>
      </w:pPr>
    </w:p>
    <w:p w:rsidR="007431AE" w:rsidRPr="00EF2265" w:rsidRDefault="007431AE" w:rsidP="008A6A7F">
      <w:pPr>
        <w:tabs>
          <w:tab w:val="left" w:pos="9356"/>
        </w:tabs>
        <w:rPr>
          <w:rFonts w:ascii="Times New Roman" w:hAnsi="Times New Roman"/>
          <w:sz w:val="20"/>
          <w:szCs w:val="20"/>
        </w:rPr>
      </w:pPr>
    </w:p>
    <w:p w:rsidR="008A6A7F" w:rsidRPr="00EF2265" w:rsidRDefault="008A6A7F" w:rsidP="008A6A7F">
      <w:pPr>
        <w:tabs>
          <w:tab w:val="left" w:pos="9356"/>
        </w:tabs>
        <w:rPr>
          <w:rFonts w:ascii="Times New Roman" w:hAnsi="Times New Roman"/>
          <w:sz w:val="20"/>
          <w:szCs w:val="20"/>
        </w:rPr>
      </w:pPr>
    </w:p>
    <w:p w:rsidR="008A6A7F" w:rsidRPr="003E0B2C" w:rsidRDefault="008A6A7F" w:rsidP="008A6A7F">
      <w:pPr>
        <w:pStyle w:val="Odsekzoznamu"/>
        <w:numPr>
          <w:ilvl w:val="0"/>
          <w:numId w:val="77"/>
        </w:numPr>
        <w:tabs>
          <w:tab w:val="left" w:pos="9356"/>
        </w:tabs>
        <w:rPr>
          <w:rFonts w:ascii="Times New Roman" w:hAnsi="Times New Roman"/>
          <w:b/>
          <w:sz w:val="24"/>
          <w:szCs w:val="24"/>
        </w:rPr>
      </w:pPr>
      <w:r w:rsidRPr="003E0B2C">
        <w:rPr>
          <w:rFonts w:ascii="Times New Roman" w:hAnsi="Times New Roman"/>
          <w:b/>
          <w:sz w:val="24"/>
          <w:szCs w:val="24"/>
        </w:rPr>
        <w:t>Sumár</w:t>
      </w:r>
    </w:p>
    <w:p w:rsidR="00483C7F" w:rsidRPr="00EF2265" w:rsidRDefault="00483C7F" w:rsidP="00360A34">
      <w:pPr>
        <w:jc w:val="left"/>
        <w:rPr>
          <w:rFonts w:ascii="Times New Roman" w:hAnsi="Times New Roman"/>
          <w:sz w:val="20"/>
          <w:szCs w:val="20"/>
        </w:rPr>
      </w:pPr>
      <w:r w:rsidRPr="00EF2265">
        <w:rPr>
          <w:rFonts w:ascii="Times New Roman" w:hAnsi="Times New Roman"/>
          <w:sz w:val="20"/>
          <w:szCs w:val="20"/>
        </w:rPr>
        <w:t>V roku 2018 oslávila Slovenská technická univerzita v Bratislave 81. výročie založenia. V akademickom roku 2017/2018 sa uskutočňovala výučba celkovo v </w:t>
      </w:r>
      <w:r w:rsidRPr="00EF2265">
        <w:rPr>
          <w:rFonts w:ascii="Times New Roman" w:hAnsi="Times New Roman"/>
          <w:b/>
          <w:sz w:val="20"/>
          <w:szCs w:val="20"/>
        </w:rPr>
        <w:t>170 študijných programoch v dennej forme štúdia v štátnom jazyku</w:t>
      </w:r>
      <w:r w:rsidRPr="00EF2265">
        <w:rPr>
          <w:rFonts w:ascii="Times New Roman" w:hAnsi="Times New Roman"/>
          <w:sz w:val="20"/>
          <w:szCs w:val="20"/>
        </w:rPr>
        <w:t xml:space="preserve"> v štruktúre: </w:t>
      </w:r>
      <w:r w:rsidRPr="00EF2265">
        <w:rPr>
          <w:rFonts w:ascii="Times New Roman" w:hAnsi="Times New Roman"/>
          <w:b/>
          <w:sz w:val="20"/>
          <w:szCs w:val="20"/>
        </w:rPr>
        <w:t xml:space="preserve">55 </w:t>
      </w:r>
      <w:r w:rsidRPr="00EF2265">
        <w:rPr>
          <w:rFonts w:ascii="Times New Roman" w:hAnsi="Times New Roman"/>
          <w:sz w:val="20"/>
          <w:szCs w:val="20"/>
        </w:rPr>
        <w:t>ŠP na I. stupni</w:t>
      </w:r>
      <w:r w:rsidRPr="00EF2265">
        <w:rPr>
          <w:rFonts w:ascii="Times New Roman" w:hAnsi="Times New Roman"/>
          <w:b/>
          <w:sz w:val="20"/>
          <w:szCs w:val="20"/>
        </w:rPr>
        <w:t xml:space="preserve">, 57 </w:t>
      </w:r>
      <w:r w:rsidRPr="00EF2265">
        <w:rPr>
          <w:rFonts w:ascii="Times New Roman" w:hAnsi="Times New Roman"/>
          <w:sz w:val="20"/>
          <w:szCs w:val="20"/>
        </w:rPr>
        <w:t>ŠP na II. stupni,</w:t>
      </w:r>
      <w:r w:rsidRPr="00EF2265">
        <w:rPr>
          <w:rFonts w:ascii="Times New Roman" w:hAnsi="Times New Roman"/>
          <w:b/>
          <w:sz w:val="20"/>
          <w:szCs w:val="20"/>
        </w:rPr>
        <w:t xml:space="preserve"> 58 </w:t>
      </w:r>
      <w:r w:rsidRPr="00EF2265">
        <w:rPr>
          <w:rFonts w:ascii="Times New Roman" w:hAnsi="Times New Roman"/>
          <w:sz w:val="20"/>
          <w:szCs w:val="20"/>
        </w:rPr>
        <w:t xml:space="preserve">ŠP na III. stupni vysokoškolského vzdelávania. Z uvedenej štruktúry je zrejmá širšia ponuka a orientácia fakúlt na študijné programy druhého a tretieho stupňa štúdia. Väčšina študijných programov na STU bola uskutočňovaná v štátnom jazyku, aj napriek rozšírenej ponuke študijných programov v anglickom jazyku. </w:t>
      </w:r>
      <w:r w:rsidRPr="00EF2265">
        <w:rPr>
          <w:rFonts w:ascii="Times New Roman" w:hAnsi="Times New Roman"/>
          <w:b/>
          <w:bCs/>
          <w:sz w:val="20"/>
          <w:szCs w:val="20"/>
        </w:rPr>
        <w:t>V priebehu akademic</w:t>
      </w:r>
      <w:r w:rsidR="00360A34" w:rsidRPr="00EF2265">
        <w:rPr>
          <w:rFonts w:ascii="Times New Roman" w:hAnsi="Times New Roman"/>
          <w:b/>
          <w:bCs/>
          <w:sz w:val="20"/>
          <w:szCs w:val="20"/>
        </w:rPr>
        <w:t xml:space="preserve">kého roka 2017/2018 bolo podané </w:t>
      </w:r>
      <w:r w:rsidRPr="00EF2265">
        <w:rPr>
          <w:rFonts w:ascii="Times New Roman" w:hAnsi="Times New Roman"/>
          <w:b/>
          <w:sz w:val="20"/>
          <w:szCs w:val="20"/>
        </w:rPr>
        <w:t xml:space="preserve">11 žiadostí o akreditáciu 19 nových študijných programov, </w:t>
      </w:r>
      <w:r w:rsidRPr="00EF2265">
        <w:rPr>
          <w:rFonts w:ascii="Times New Roman" w:hAnsi="Times New Roman"/>
          <w:sz w:val="20"/>
          <w:szCs w:val="20"/>
        </w:rPr>
        <w:t>ktorým ministerka školstva, vedy, výskumu a športu Slovenskej republiky po kladnom vyjadrení Akreditačnej komisie priznala práva, pričom 13 študijných programov bolo bakalárskych, z toho jeden profesijne orientovaný uskutočňovaný na SjF, 3 študijné programy boli inžinierske a 3 študijné programy doktorandské, z toho jeden spoločný doktorandský študijný program uskutočňovaný na FCHPT v spolupráci s Univerzitou Tomáše Bati ve Zlíně,</w:t>
      </w:r>
      <w:r w:rsidR="00360A34" w:rsidRPr="00EF2265">
        <w:rPr>
          <w:rFonts w:ascii="Times New Roman" w:hAnsi="Times New Roman"/>
          <w:sz w:val="20"/>
          <w:szCs w:val="20"/>
        </w:rPr>
        <w:t xml:space="preserve"> </w:t>
      </w:r>
      <w:r w:rsidRPr="00EF2265">
        <w:rPr>
          <w:rFonts w:ascii="Times New Roman" w:hAnsi="Times New Roman"/>
          <w:b/>
          <w:sz w:val="20"/>
          <w:szCs w:val="20"/>
        </w:rPr>
        <w:t xml:space="preserve">22 žiadostí o reakreditáciu 34 študijných programov </w:t>
      </w:r>
      <w:r w:rsidRPr="00EF2265">
        <w:rPr>
          <w:rFonts w:ascii="Times New Roman" w:hAnsi="Times New Roman"/>
          <w:sz w:val="20"/>
          <w:szCs w:val="20"/>
        </w:rPr>
        <w:t xml:space="preserve">(32 inžinierskych a 2 bakalárskych), ktorým boli priznané práva s časovým obmedzením na štandardnú dĺžku štúdia z dôvodu, že išlo o nové študijné programy, </w:t>
      </w:r>
      <w:r w:rsidRPr="00EF2265">
        <w:rPr>
          <w:rFonts w:ascii="Times New Roman" w:hAnsi="Times New Roman"/>
          <w:b/>
          <w:sz w:val="20"/>
          <w:szCs w:val="20"/>
        </w:rPr>
        <w:t>37 žiadostí o zmenu v poskytovaní 62 študijných programov</w:t>
      </w:r>
      <w:r w:rsidRPr="00EF2265">
        <w:rPr>
          <w:rFonts w:ascii="Times New Roman" w:hAnsi="Times New Roman"/>
          <w:sz w:val="20"/>
          <w:szCs w:val="20"/>
        </w:rPr>
        <w:t>, ktoré sa týkali najmä zmien v garantovaní, v personálnom zabezpečení, v odporúčaných študijných plánoch, resp. pridanie výučbových stredísk, v ktorých sa bude zabezpečovať vybraná časť predmetov študijných programov,</w:t>
      </w:r>
      <w:r w:rsidR="00360A34" w:rsidRPr="00EF2265">
        <w:rPr>
          <w:rFonts w:ascii="Times New Roman" w:hAnsi="Times New Roman"/>
          <w:sz w:val="20"/>
          <w:szCs w:val="20"/>
        </w:rPr>
        <w:t xml:space="preserve"> </w:t>
      </w:r>
      <w:r w:rsidRPr="00EF2265">
        <w:rPr>
          <w:rFonts w:ascii="Times New Roman" w:hAnsi="Times New Roman"/>
          <w:sz w:val="20"/>
          <w:szCs w:val="20"/>
        </w:rPr>
        <w:t xml:space="preserve">podklady k iniciácii </w:t>
      </w:r>
      <w:r w:rsidRPr="00EF2265">
        <w:rPr>
          <w:rFonts w:ascii="Times New Roman" w:hAnsi="Times New Roman"/>
          <w:b/>
          <w:sz w:val="20"/>
          <w:szCs w:val="20"/>
        </w:rPr>
        <w:t>4</w:t>
      </w:r>
      <w:r w:rsidRPr="00EF2265">
        <w:rPr>
          <w:rFonts w:ascii="Times New Roman" w:hAnsi="Times New Roman"/>
          <w:sz w:val="20"/>
          <w:szCs w:val="20"/>
        </w:rPr>
        <w:t xml:space="preserve"> doktorandských študijných programov,</w:t>
      </w:r>
      <w:r w:rsidR="00360A34" w:rsidRPr="00EF2265">
        <w:rPr>
          <w:rFonts w:ascii="Times New Roman" w:hAnsi="Times New Roman"/>
          <w:sz w:val="20"/>
          <w:szCs w:val="20"/>
        </w:rPr>
        <w:t xml:space="preserve"> </w:t>
      </w:r>
      <w:r w:rsidRPr="00EF2265">
        <w:rPr>
          <w:rFonts w:ascii="Times New Roman" w:hAnsi="Times New Roman"/>
          <w:b/>
          <w:sz w:val="20"/>
          <w:szCs w:val="20"/>
        </w:rPr>
        <w:t xml:space="preserve">5 správ </w:t>
      </w:r>
      <w:r w:rsidRPr="00EF2265">
        <w:rPr>
          <w:rFonts w:ascii="Times New Roman" w:hAnsi="Times New Roman"/>
          <w:sz w:val="20"/>
          <w:szCs w:val="20"/>
        </w:rPr>
        <w:t xml:space="preserve">o výsledku prijatých opatrení na odstránenie nedostatkov </w:t>
      </w:r>
      <w:r w:rsidRPr="00EF2265">
        <w:rPr>
          <w:rFonts w:ascii="Times New Roman" w:hAnsi="Times New Roman"/>
          <w:b/>
          <w:sz w:val="20"/>
          <w:szCs w:val="20"/>
        </w:rPr>
        <w:t xml:space="preserve">13 </w:t>
      </w:r>
      <w:r w:rsidRPr="00EF2265">
        <w:rPr>
          <w:rFonts w:ascii="Times New Roman" w:hAnsi="Times New Roman"/>
          <w:sz w:val="20"/>
          <w:szCs w:val="20"/>
        </w:rPr>
        <w:t xml:space="preserve">študijných programov. </w:t>
      </w:r>
    </w:p>
    <w:p w:rsidR="00483C7F" w:rsidRPr="00EF2265" w:rsidRDefault="00483C7F" w:rsidP="00483C7F">
      <w:pPr>
        <w:tabs>
          <w:tab w:val="left" w:pos="9356"/>
        </w:tabs>
        <w:spacing w:after="120"/>
        <w:ind w:right="68"/>
        <w:jc w:val="left"/>
        <w:rPr>
          <w:rFonts w:ascii="Times New Roman" w:hAnsi="Times New Roman"/>
          <w:sz w:val="20"/>
          <w:szCs w:val="20"/>
        </w:rPr>
      </w:pPr>
    </w:p>
    <w:p w:rsidR="00483C7F" w:rsidRPr="00EF2265" w:rsidRDefault="00483C7F" w:rsidP="00483C7F">
      <w:pPr>
        <w:tabs>
          <w:tab w:val="left" w:pos="9356"/>
        </w:tabs>
        <w:spacing w:after="120"/>
        <w:ind w:right="68"/>
        <w:jc w:val="left"/>
        <w:rPr>
          <w:rFonts w:ascii="Times New Roman" w:hAnsi="Times New Roman"/>
          <w:sz w:val="20"/>
          <w:szCs w:val="20"/>
        </w:rPr>
      </w:pPr>
      <w:r w:rsidRPr="00EF2265">
        <w:rPr>
          <w:rFonts w:ascii="Times New Roman" w:hAnsi="Times New Roman"/>
          <w:sz w:val="20"/>
          <w:szCs w:val="20"/>
        </w:rPr>
        <w:t xml:space="preserve">STU v akademickom roku 2017/2018 oznámila MŠVVaŠ SR ku dňu 31. 3. 2018 </w:t>
      </w:r>
      <w:r w:rsidRPr="00EF2265">
        <w:rPr>
          <w:rFonts w:ascii="Times New Roman" w:hAnsi="Times New Roman"/>
          <w:b/>
          <w:sz w:val="20"/>
          <w:szCs w:val="20"/>
        </w:rPr>
        <w:t>zrušenie 17 dobiehajúcich doktorandských študijných programov v externej forme štúdia</w:t>
      </w:r>
      <w:r w:rsidRPr="00EF2265">
        <w:rPr>
          <w:rFonts w:ascii="Times New Roman" w:hAnsi="Times New Roman"/>
          <w:sz w:val="20"/>
          <w:szCs w:val="20"/>
        </w:rPr>
        <w:t xml:space="preserve">, v ktorých prestala poskytovať vysokoškolské vzdelávanie a </w:t>
      </w:r>
      <w:r w:rsidRPr="00EF2265">
        <w:rPr>
          <w:rFonts w:ascii="Times New Roman" w:hAnsi="Times New Roman"/>
          <w:b/>
          <w:sz w:val="20"/>
          <w:szCs w:val="20"/>
        </w:rPr>
        <w:t>skončenie platnosti</w:t>
      </w:r>
      <w:r w:rsidRPr="00EF2265">
        <w:rPr>
          <w:rFonts w:ascii="Times New Roman" w:hAnsi="Times New Roman"/>
          <w:sz w:val="20"/>
          <w:szCs w:val="20"/>
        </w:rPr>
        <w:t xml:space="preserve"> </w:t>
      </w:r>
      <w:r w:rsidRPr="00EF2265">
        <w:rPr>
          <w:rFonts w:ascii="Times New Roman" w:hAnsi="Times New Roman"/>
          <w:b/>
          <w:sz w:val="20"/>
          <w:szCs w:val="20"/>
        </w:rPr>
        <w:t>78 študijných programov</w:t>
      </w:r>
      <w:r w:rsidRPr="00EF2265">
        <w:rPr>
          <w:rFonts w:ascii="Times New Roman" w:hAnsi="Times New Roman"/>
          <w:sz w:val="20"/>
          <w:szCs w:val="20"/>
        </w:rPr>
        <w:t>, ktorým boli v rámci komplexnej akreditácie činností STU práva odňaté.</w:t>
      </w:r>
    </w:p>
    <w:p w:rsidR="00483C7F" w:rsidRPr="00EF2265" w:rsidRDefault="00483C7F" w:rsidP="00133520">
      <w:pPr>
        <w:tabs>
          <w:tab w:val="left" w:pos="9356"/>
        </w:tabs>
        <w:spacing w:after="120"/>
        <w:jc w:val="left"/>
        <w:rPr>
          <w:rFonts w:ascii="Times New Roman" w:hAnsi="Times New Roman"/>
          <w:sz w:val="20"/>
          <w:szCs w:val="20"/>
        </w:rPr>
      </w:pPr>
      <w:r w:rsidRPr="00EF2265">
        <w:rPr>
          <w:rFonts w:ascii="Times New Roman" w:hAnsi="Times New Roman"/>
          <w:sz w:val="20"/>
          <w:szCs w:val="20"/>
        </w:rPr>
        <w:t xml:space="preserve">STU mala na konci akademického roka 2017/2018 priznané práva celkovo pre </w:t>
      </w:r>
      <w:r w:rsidRPr="00EF2265">
        <w:rPr>
          <w:rFonts w:ascii="Times New Roman" w:hAnsi="Times New Roman"/>
          <w:b/>
          <w:sz w:val="20"/>
          <w:szCs w:val="20"/>
        </w:rPr>
        <w:t xml:space="preserve">241 </w:t>
      </w:r>
      <w:r w:rsidRPr="00EF2265">
        <w:rPr>
          <w:rFonts w:ascii="Times New Roman" w:hAnsi="Times New Roman"/>
          <w:sz w:val="20"/>
          <w:szCs w:val="20"/>
        </w:rPr>
        <w:t>študijných programov v štátnom jazyku uskutočňovania (</w:t>
      </w:r>
      <w:r w:rsidRPr="00EF2265">
        <w:rPr>
          <w:rFonts w:ascii="Times New Roman" w:hAnsi="Times New Roman"/>
          <w:b/>
          <w:sz w:val="20"/>
          <w:szCs w:val="20"/>
        </w:rPr>
        <w:t xml:space="preserve">slovenskom, resp. v kombinácii slovenského a anglického jazyka) </w:t>
      </w:r>
      <w:r w:rsidRPr="00EF2265">
        <w:rPr>
          <w:rFonts w:ascii="Times New Roman" w:hAnsi="Times New Roman"/>
          <w:sz w:val="20"/>
          <w:szCs w:val="20"/>
        </w:rPr>
        <w:t xml:space="preserve">a </w:t>
      </w:r>
      <w:r w:rsidRPr="00EF2265">
        <w:rPr>
          <w:rFonts w:ascii="Times New Roman" w:hAnsi="Times New Roman"/>
          <w:b/>
          <w:sz w:val="20"/>
          <w:szCs w:val="20"/>
        </w:rPr>
        <w:t xml:space="preserve">161 </w:t>
      </w:r>
      <w:r w:rsidRPr="00EF2265">
        <w:rPr>
          <w:rFonts w:ascii="Times New Roman" w:hAnsi="Times New Roman"/>
          <w:sz w:val="20"/>
          <w:szCs w:val="20"/>
        </w:rPr>
        <w:t>študijných programov v jazyku uskutočňovania</w:t>
      </w:r>
      <w:r w:rsidRPr="00EF2265">
        <w:rPr>
          <w:rFonts w:ascii="Times New Roman" w:hAnsi="Times New Roman"/>
          <w:b/>
          <w:sz w:val="20"/>
          <w:szCs w:val="20"/>
        </w:rPr>
        <w:t xml:space="preserve"> anglickom </w:t>
      </w:r>
      <w:r w:rsidRPr="00EF2265">
        <w:rPr>
          <w:rFonts w:ascii="Times New Roman" w:hAnsi="Times New Roman"/>
          <w:sz w:val="20"/>
          <w:szCs w:val="20"/>
        </w:rPr>
        <w:t>vo všetkých troch stupňoch štúdia v dennej aj v externej forme štúdia v </w:t>
      </w:r>
      <w:r w:rsidRPr="00EF2265">
        <w:rPr>
          <w:rFonts w:ascii="Times New Roman" w:hAnsi="Times New Roman"/>
          <w:b/>
          <w:sz w:val="20"/>
          <w:szCs w:val="20"/>
        </w:rPr>
        <w:t>60 študijných odboroch</w:t>
      </w:r>
      <w:r w:rsidRPr="00EF2265">
        <w:rPr>
          <w:rFonts w:ascii="Times New Roman" w:hAnsi="Times New Roman"/>
          <w:sz w:val="20"/>
          <w:szCs w:val="20"/>
        </w:rPr>
        <w:t xml:space="preserve">. Na prvom a druhom stupni štúdia mala priznané práva len pre dennú formu štúdia, na treťom stupni štúdia pre dennú aj externú formu štúdia. Z celkového počtu priznaných práv uskutočňovať študijné programy v štátnom jazyku mala STU </w:t>
      </w:r>
      <w:r w:rsidRPr="00EF2265">
        <w:rPr>
          <w:rFonts w:ascii="Times New Roman" w:hAnsi="Times New Roman"/>
          <w:b/>
          <w:sz w:val="20"/>
          <w:szCs w:val="20"/>
        </w:rPr>
        <w:t xml:space="preserve">97 nových </w:t>
      </w:r>
      <w:r w:rsidRPr="00EF2265">
        <w:rPr>
          <w:rFonts w:ascii="Times New Roman" w:hAnsi="Times New Roman"/>
          <w:sz w:val="20"/>
          <w:szCs w:val="20"/>
        </w:rPr>
        <w:t>študijných programov s časovým obmedzením na štandardnú dĺžku štúdia, ktoré boli akreditované v rámci komplexnej akreditácie činností STU alebo po jej začatí</w:t>
      </w:r>
      <w:r w:rsidRPr="00EF2265">
        <w:rPr>
          <w:rFonts w:ascii="Times New Roman" w:hAnsi="Times New Roman"/>
          <w:b/>
          <w:sz w:val="20"/>
          <w:szCs w:val="20"/>
        </w:rPr>
        <w:t xml:space="preserve"> a 144 existujúcich </w:t>
      </w:r>
      <w:r w:rsidRPr="00EF2265">
        <w:rPr>
          <w:rFonts w:ascii="Times New Roman" w:hAnsi="Times New Roman"/>
          <w:sz w:val="20"/>
          <w:szCs w:val="20"/>
        </w:rPr>
        <w:t xml:space="preserve">študijných programov. STU v posudzovanom akademickom roku uskutočňovala štúdium aj v </w:t>
      </w:r>
      <w:r w:rsidRPr="00EF2265">
        <w:rPr>
          <w:rFonts w:ascii="Times New Roman" w:hAnsi="Times New Roman"/>
          <w:b/>
          <w:sz w:val="20"/>
          <w:szCs w:val="20"/>
        </w:rPr>
        <w:t>26 dobiehajúcich doktorandských študijných programoch v externej forme štúdia</w:t>
      </w:r>
      <w:r w:rsidRPr="00EF2265">
        <w:rPr>
          <w:rFonts w:ascii="Times New Roman" w:hAnsi="Times New Roman"/>
          <w:sz w:val="20"/>
          <w:szCs w:val="20"/>
        </w:rPr>
        <w:t>, ktoré boli akreditované podľa predpisov platných do 31.12.2012 a ktorým boli práva pozastavené 1. 9. 2016. STU je povinná dobiehajúce študijné programy zrušiť najneskôr do 31. 8. 2021 okrem prípadov, ak zodpovedajúce právo nebude odňaté skôr.</w:t>
      </w:r>
      <w:r w:rsidR="00133520" w:rsidRPr="00EF2265">
        <w:rPr>
          <w:rFonts w:ascii="Times New Roman" w:hAnsi="Times New Roman"/>
          <w:sz w:val="20"/>
          <w:szCs w:val="20"/>
        </w:rPr>
        <w:t xml:space="preserve"> </w:t>
      </w:r>
      <w:r w:rsidRPr="00EF2265">
        <w:rPr>
          <w:rFonts w:ascii="Times New Roman" w:hAnsi="Times New Roman"/>
          <w:sz w:val="20"/>
          <w:szCs w:val="20"/>
        </w:rPr>
        <w:t xml:space="preserve">STU mala v akademickom roku 2017/2018 celkovo </w:t>
      </w:r>
      <w:r w:rsidRPr="00EF2265">
        <w:rPr>
          <w:rFonts w:ascii="Times New Roman" w:hAnsi="Times New Roman"/>
          <w:b/>
          <w:sz w:val="20"/>
          <w:szCs w:val="20"/>
        </w:rPr>
        <w:t>11 748 študentov</w:t>
      </w:r>
      <w:r w:rsidRPr="00EF2265">
        <w:rPr>
          <w:rFonts w:ascii="Times New Roman" w:hAnsi="Times New Roman"/>
          <w:sz w:val="20"/>
          <w:szCs w:val="20"/>
        </w:rPr>
        <w:t xml:space="preserve">; </w:t>
      </w:r>
      <w:r w:rsidRPr="00EF2265">
        <w:rPr>
          <w:rFonts w:ascii="Times New Roman" w:hAnsi="Times New Roman"/>
          <w:b/>
          <w:sz w:val="20"/>
          <w:szCs w:val="20"/>
        </w:rPr>
        <w:t xml:space="preserve">7 136 na prvom stupni, 3 815 na druhom stupni a 797 na treťom stupni štúdia, z toho 576 v dennej forme a 221 v externej forme </w:t>
      </w:r>
      <w:r w:rsidRPr="00EF2265">
        <w:rPr>
          <w:rFonts w:ascii="Times New Roman" w:hAnsi="Times New Roman"/>
          <w:sz w:val="20"/>
          <w:szCs w:val="20"/>
        </w:rPr>
        <w:t xml:space="preserve">(stav k 31. 10. 2017). </w:t>
      </w:r>
      <w:r w:rsidRPr="00EF2265">
        <w:rPr>
          <w:rFonts w:ascii="Times New Roman" w:hAnsi="Times New Roman"/>
          <w:b/>
          <w:sz w:val="20"/>
          <w:szCs w:val="20"/>
        </w:rPr>
        <w:t>V dennej forme</w:t>
      </w:r>
      <w:r w:rsidRPr="00EF2265">
        <w:rPr>
          <w:rFonts w:ascii="Times New Roman" w:hAnsi="Times New Roman"/>
          <w:sz w:val="20"/>
          <w:szCs w:val="20"/>
        </w:rPr>
        <w:t xml:space="preserve"> sa na všetkých troch stupňoch štúdia zaznamenal v akademickom roku 2017/2018 medziročný pokles študentov </w:t>
      </w:r>
      <w:r w:rsidRPr="00EF2265">
        <w:rPr>
          <w:rFonts w:ascii="Times New Roman" w:hAnsi="Times New Roman"/>
          <w:b/>
          <w:sz w:val="20"/>
          <w:szCs w:val="20"/>
        </w:rPr>
        <w:t xml:space="preserve">11 % na prvom stupni a po 9 % na druhom a treťom stupni </w:t>
      </w:r>
      <w:r w:rsidRPr="00EF2265">
        <w:rPr>
          <w:rFonts w:ascii="Times New Roman" w:hAnsi="Times New Roman"/>
          <w:sz w:val="20"/>
          <w:szCs w:val="20"/>
        </w:rPr>
        <w:t>štúdia.</w:t>
      </w:r>
      <w:r w:rsidRPr="00EF2265">
        <w:rPr>
          <w:rFonts w:ascii="Times New Roman" w:hAnsi="Times New Roman"/>
          <w:b/>
          <w:sz w:val="20"/>
          <w:szCs w:val="20"/>
        </w:rPr>
        <w:t xml:space="preserve"> </w:t>
      </w:r>
      <w:r w:rsidRPr="00EF2265">
        <w:rPr>
          <w:rFonts w:ascii="Times New Roman" w:hAnsi="Times New Roman"/>
          <w:sz w:val="20"/>
          <w:szCs w:val="20"/>
        </w:rPr>
        <w:t xml:space="preserve">Celkove je medziročný pokles študentov v akademickom roku 2017/2018 v dennej forme </w:t>
      </w:r>
      <w:r w:rsidRPr="00EF2265">
        <w:rPr>
          <w:rFonts w:ascii="Times New Roman" w:hAnsi="Times New Roman"/>
          <w:b/>
          <w:sz w:val="20"/>
          <w:szCs w:val="20"/>
        </w:rPr>
        <w:t>10 %</w:t>
      </w:r>
      <w:r w:rsidRPr="00EF2265">
        <w:rPr>
          <w:rFonts w:ascii="Times New Roman" w:hAnsi="Times New Roman"/>
          <w:sz w:val="20"/>
          <w:szCs w:val="20"/>
        </w:rPr>
        <w:t xml:space="preserve">. Je to dôsledok celkového poklesu počtu študentov v súvislosti s klesajúcim demografickým vývojom v Slovenskej republike a tiež dlhodobo narastajúci záujem maturantov o štúdium v zahraničí, a to najmä v Českej republike. </w:t>
      </w:r>
      <w:r w:rsidRPr="00EF2265">
        <w:rPr>
          <w:rFonts w:ascii="Times New Roman" w:hAnsi="Times New Roman"/>
          <w:b/>
          <w:bCs/>
          <w:sz w:val="20"/>
          <w:szCs w:val="20"/>
        </w:rPr>
        <w:t>V  externej forme</w:t>
      </w:r>
      <w:r w:rsidRPr="00EF2265">
        <w:rPr>
          <w:rFonts w:ascii="Times New Roman" w:hAnsi="Times New Roman"/>
          <w:sz w:val="20"/>
          <w:szCs w:val="20"/>
        </w:rPr>
        <w:t xml:space="preserve"> štúdia je zrejmý výrazný pokles počtu študentov na všetkých troch stupňoch štúdia. Celkovo sa znížil počet študentov v externej forme štúdia za sledovaných 7 rokov o 71,2 %, pričom od akademického roku 2015/2016 sa na STU uskutočňuje externá forma štúdia len na treťom stupni štúdia.</w:t>
      </w:r>
    </w:p>
    <w:p w:rsidR="00483C7F" w:rsidRPr="00EF2265" w:rsidRDefault="00483C7F" w:rsidP="00483C7F">
      <w:pPr>
        <w:tabs>
          <w:tab w:val="left" w:pos="9356"/>
        </w:tabs>
        <w:spacing w:after="120"/>
        <w:jc w:val="left"/>
        <w:rPr>
          <w:rFonts w:ascii="Times New Roman" w:hAnsi="Times New Roman"/>
          <w:sz w:val="20"/>
          <w:szCs w:val="20"/>
        </w:rPr>
      </w:pPr>
      <w:r w:rsidRPr="00EF2265">
        <w:rPr>
          <w:rFonts w:ascii="Times New Roman" w:hAnsi="Times New Roman"/>
          <w:sz w:val="20"/>
          <w:szCs w:val="20"/>
        </w:rPr>
        <w:t>S</w:t>
      </w:r>
      <w:r w:rsidR="001D71C0" w:rsidRPr="00EF2265">
        <w:rPr>
          <w:rFonts w:ascii="Times New Roman" w:hAnsi="Times New Roman"/>
          <w:sz w:val="20"/>
          <w:szCs w:val="20"/>
        </w:rPr>
        <w:t>TU</w:t>
      </w:r>
      <w:r w:rsidRPr="00EF2265">
        <w:rPr>
          <w:rFonts w:ascii="Times New Roman" w:hAnsi="Times New Roman"/>
          <w:sz w:val="20"/>
          <w:szCs w:val="20"/>
        </w:rPr>
        <w:t xml:space="preserve"> dlhoročne patrí medzi popredné výskumné univerzity na Slovensku. Potvrdzujú to aj svetové rebríčky univerzít. Iba 3 univerzity zo Slovenska sa umiestili v troch najprestížnejších rebríčkoch (</w:t>
      </w:r>
      <w:r w:rsidRPr="00EF2265">
        <w:rPr>
          <w:rFonts w:ascii="Times New Roman" w:hAnsi="Times New Roman"/>
          <w:sz w:val="20"/>
          <w:szCs w:val="20"/>
          <w:lang w:eastAsia="sk-SK"/>
        </w:rPr>
        <w:t xml:space="preserve">QS World University Rankings®, </w:t>
      </w:r>
      <w:r w:rsidRPr="00EF2265">
        <w:rPr>
          <w:rFonts w:ascii="Times New Roman" w:eastAsia="Times New Roman" w:hAnsi="Times New Roman"/>
          <w:sz w:val="20"/>
          <w:szCs w:val="20"/>
          <w:lang w:eastAsia="sk-SK"/>
        </w:rPr>
        <w:t xml:space="preserve">Times Higher Education World University Rankings a </w:t>
      </w:r>
      <w:r w:rsidRPr="00EF2265">
        <w:rPr>
          <w:rFonts w:ascii="Times New Roman" w:hAnsi="Times New Roman"/>
          <w:sz w:val="20"/>
          <w:szCs w:val="20"/>
        </w:rPr>
        <w:t>Academic Ranking of World Universities a STU je medzi nimi.</w:t>
      </w:r>
      <w:r w:rsidR="001D71C0" w:rsidRPr="00EF2265">
        <w:rPr>
          <w:rFonts w:ascii="Times New Roman" w:hAnsi="Times New Roman"/>
          <w:sz w:val="20"/>
          <w:szCs w:val="20"/>
        </w:rPr>
        <w:t xml:space="preserve"> </w:t>
      </w:r>
      <w:r w:rsidRPr="00EF2265">
        <w:rPr>
          <w:rFonts w:ascii="Times New Roman" w:hAnsi="Times New Roman"/>
          <w:sz w:val="20"/>
          <w:szCs w:val="20"/>
        </w:rPr>
        <w:t xml:space="preserve">STU aj v tomto roku zaznamenala úspech v medzinárodnom výskumnom priestore. Európska komisia podporila vznik ďalšieho Európskeho inštitútu pre inovácie a technológie (EIT). Ide o EIT Manufacturing, ktorého je </w:t>
      </w:r>
      <w:r w:rsidRPr="00EF2265">
        <w:rPr>
          <w:rFonts w:ascii="Times New Roman" w:hAnsi="Times New Roman"/>
          <w:bCs/>
          <w:sz w:val="20"/>
          <w:szCs w:val="20"/>
        </w:rPr>
        <w:t>STU zakladajúcim členom</w:t>
      </w:r>
      <w:r w:rsidRPr="00EF2265">
        <w:rPr>
          <w:rFonts w:ascii="Times New Roman" w:hAnsi="Times New Roman"/>
          <w:sz w:val="20"/>
          <w:szCs w:val="20"/>
        </w:rPr>
        <w:t xml:space="preserve">. Je to už druhý EIT, kde je STU členom, v roku 2017 sa STU stalo členom EIT v oblasti surovín a materiálov </w:t>
      </w:r>
      <w:r w:rsidRPr="00EF2265">
        <w:rPr>
          <w:rFonts w:ascii="Times New Roman" w:hAnsi="Times New Roman"/>
          <w:color w:val="000000"/>
          <w:sz w:val="20"/>
          <w:szCs w:val="20"/>
        </w:rPr>
        <w:t>(</w:t>
      </w:r>
      <w:hyperlink r:id="rId118">
        <w:r w:rsidRPr="00EF2265">
          <w:rPr>
            <w:rStyle w:val="Internetovodkaz"/>
            <w:rFonts w:ascii="Times New Roman" w:hAnsi="Times New Roman"/>
            <w:color w:val="000000"/>
            <w:sz w:val="20"/>
            <w:szCs w:val="20"/>
          </w:rPr>
          <w:t>EIT Raw Materials</w:t>
        </w:r>
      </w:hyperlink>
      <w:r w:rsidRPr="00EF2265">
        <w:rPr>
          <w:rFonts w:ascii="Times New Roman" w:hAnsi="Times New Roman"/>
          <w:sz w:val="20"/>
          <w:szCs w:val="20"/>
        </w:rPr>
        <w:t xml:space="preserve">). EIT kladie dôraz na spojenie </w:t>
      </w:r>
      <w:r w:rsidRPr="00EF2265">
        <w:rPr>
          <w:rFonts w:ascii="Times New Roman" w:hAnsi="Times New Roman"/>
          <w:sz w:val="20"/>
          <w:szCs w:val="20"/>
        </w:rPr>
        <w:lastRenderedPageBreak/>
        <w:t>výskumu, vzdelávania a praxe. Členmi sú elitné vedecké inštitúcie, univerzity a podniky. Členstvo v EIT dáva možnosť STU k získavaniu ďalších kontaktov a grantov v Európskom výskumnom priestore.</w:t>
      </w:r>
    </w:p>
    <w:p w:rsidR="00483C7F" w:rsidRPr="008870FE" w:rsidRDefault="00483C7F" w:rsidP="00483C7F">
      <w:pPr>
        <w:pStyle w:val="Default"/>
        <w:widowControl/>
        <w:tabs>
          <w:tab w:val="left" w:pos="9356"/>
        </w:tabs>
        <w:rPr>
          <w:rFonts w:ascii="Times New Roman" w:hAnsi="Times New Roman" w:cs="Times New Roman"/>
          <w:sz w:val="20"/>
          <w:szCs w:val="20"/>
          <w:lang w:val="sk-SK"/>
        </w:rPr>
      </w:pPr>
      <w:r w:rsidRPr="00EF2265">
        <w:rPr>
          <w:rFonts w:ascii="Times New Roman" w:hAnsi="Times New Roman" w:cs="Times New Roman"/>
          <w:color w:val="00000A"/>
          <w:sz w:val="20"/>
          <w:szCs w:val="20"/>
          <w:lang w:val="sk-SK"/>
        </w:rPr>
        <w:br/>
        <w:t xml:space="preserve">STU sa dlhoročne zapája do medzinárodných programov a od začiatku roku 2014 sa začala aktívne zapájať do výziev v rámci európskeho rámcového programu pre výskum a inovácie HORIZONT 2020. </w:t>
      </w:r>
      <w:r w:rsidRPr="00EF2265">
        <w:rPr>
          <w:rFonts w:ascii="Times New Roman" w:hAnsi="Times New Roman" w:cs="Times New Roman"/>
          <w:b/>
          <w:color w:val="00000A"/>
          <w:sz w:val="20"/>
          <w:szCs w:val="20"/>
          <w:lang w:val="sk-SK"/>
        </w:rPr>
        <w:t xml:space="preserve">Pracovníci STU podali k 31. 12. 2018 spolu 215 žiadostí v rámci výziev tohto programu, z toho 24 návrhov bolo schválených a určených na financovanie a 67 projektov sa po procese hodnotenia dostalo nad bodový prah. </w:t>
      </w:r>
      <w:r w:rsidRPr="00EF2265">
        <w:rPr>
          <w:rFonts w:ascii="Times New Roman" w:eastAsia="Times New Roman" w:hAnsi="Times New Roman" w:cs="Times New Roman"/>
          <w:color w:val="00000A"/>
          <w:sz w:val="20"/>
          <w:szCs w:val="20"/>
          <w:lang w:val="sk-SK" w:eastAsia="sk-SK"/>
        </w:rPr>
        <w:t xml:space="preserve">Na Slovensku patrí STU medzi najlepšie univerzity v počte financovaných projektov a aj v objeme získaného príspevku z EK. </w:t>
      </w:r>
    </w:p>
    <w:p w:rsidR="00483C7F" w:rsidRPr="00EF2265" w:rsidRDefault="00483C7F" w:rsidP="00483C7F">
      <w:pPr>
        <w:pStyle w:val="Default"/>
        <w:widowControl/>
        <w:tabs>
          <w:tab w:val="left" w:pos="9356"/>
        </w:tabs>
        <w:rPr>
          <w:rFonts w:ascii="Times New Roman" w:hAnsi="Times New Roman" w:cs="Times New Roman"/>
          <w:color w:val="00000A"/>
          <w:sz w:val="20"/>
          <w:szCs w:val="20"/>
          <w:lang w:val="sk-SK"/>
        </w:rPr>
      </w:pPr>
    </w:p>
    <w:p w:rsidR="00483C7F" w:rsidRPr="00EF2265" w:rsidRDefault="00483C7F" w:rsidP="001D71C0">
      <w:pPr>
        <w:pStyle w:val="Odsekzoznamu"/>
        <w:tabs>
          <w:tab w:val="left" w:pos="9356"/>
        </w:tabs>
        <w:spacing w:after="0" w:line="240" w:lineRule="auto"/>
        <w:ind w:left="0"/>
        <w:rPr>
          <w:rFonts w:ascii="Times New Roman" w:hAnsi="Times New Roman"/>
          <w:sz w:val="20"/>
          <w:szCs w:val="20"/>
        </w:rPr>
      </w:pPr>
      <w:r w:rsidRPr="00EF2265">
        <w:rPr>
          <w:rFonts w:ascii="Times New Roman" w:hAnsi="Times New Roman"/>
          <w:sz w:val="20"/>
          <w:szCs w:val="20"/>
        </w:rPr>
        <w:t xml:space="preserve">Univerzita nechýba ani v jednom z najlepších troch rebríčkov na svete: </w:t>
      </w:r>
      <w:r w:rsidRPr="00EF2265">
        <w:rPr>
          <w:rFonts w:ascii="Times New Roman" w:hAnsi="Times New Roman"/>
          <w:b/>
          <w:bCs/>
          <w:sz w:val="20"/>
          <w:szCs w:val="20"/>
        </w:rPr>
        <w:t xml:space="preserve">v QS World University Rankings®, THE (Times Higher Education World University Rankings) a Šanghajskom rebríčku. </w:t>
      </w:r>
      <w:r w:rsidRPr="00EF2265">
        <w:rPr>
          <w:rFonts w:ascii="Times New Roman" w:hAnsi="Times New Roman"/>
          <w:sz w:val="20"/>
          <w:szCs w:val="20"/>
        </w:rPr>
        <w:t>Najlepšie sa STU umiestnila v rebríčku QS World University Rankings® 2019 na 751-800. Slovensko má v rebríčku okrem STU iba dve univerzity.</w:t>
      </w:r>
      <w:r w:rsidR="001D71C0" w:rsidRPr="00EF2265">
        <w:rPr>
          <w:rFonts w:ascii="Times New Roman" w:hAnsi="Times New Roman"/>
          <w:sz w:val="20"/>
          <w:szCs w:val="20"/>
        </w:rPr>
        <w:t xml:space="preserve"> </w:t>
      </w:r>
      <w:r w:rsidRPr="00EF2265">
        <w:rPr>
          <w:rFonts w:ascii="Times New Roman" w:hAnsi="Times New Roman"/>
          <w:sz w:val="20"/>
          <w:szCs w:val="20"/>
        </w:rPr>
        <w:t xml:space="preserve">V Academic Ranking of World Universities je STU na </w:t>
      </w:r>
      <w:r w:rsidRPr="00EF2265">
        <w:rPr>
          <w:rFonts w:ascii="Times New Roman" w:hAnsi="Times New Roman"/>
          <w:b/>
          <w:bCs/>
          <w:sz w:val="20"/>
          <w:szCs w:val="20"/>
        </w:rPr>
        <w:t>801-900 mieste</w:t>
      </w:r>
      <w:r w:rsidRPr="00EF2265">
        <w:rPr>
          <w:rFonts w:ascii="Times New Roman" w:hAnsi="Times New Roman"/>
          <w:sz w:val="20"/>
          <w:szCs w:val="20"/>
        </w:rPr>
        <w:t xml:space="preserve"> a medzi najlepšími univerzitami figurujú okrem STU ešte dve univerzity zo Slovenska. Podobne je to aj v rebríčku  Times Higher Education World University Rankings, kde sú uvedené tri slovenské univerzity a STU je jedna z nich.</w:t>
      </w:r>
      <w:r w:rsidR="001D71C0" w:rsidRPr="00EF2265">
        <w:rPr>
          <w:rFonts w:ascii="Times New Roman" w:hAnsi="Times New Roman"/>
          <w:sz w:val="20"/>
          <w:szCs w:val="20"/>
        </w:rPr>
        <w:t xml:space="preserve"> </w:t>
      </w:r>
      <w:r w:rsidRPr="00EF2265">
        <w:rPr>
          <w:rFonts w:ascii="Times New Roman" w:hAnsi="Times New Roman"/>
          <w:sz w:val="20"/>
          <w:szCs w:val="20"/>
        </w:rPr>
        <w:t>V piatom ročníku The </w:t>
      </w:r>
      <w:hyperlink r:id="rId119">
        <w:r w:rsidRPr="00EF2265">
          <w:rPr>
            <w:rStyle w:val="Internetovodkaz"/>
            <w:rFonts w:ascii="Times New Roman" w:eastAsiaTheme="majorEastAsia" w:hAnsi="Times New Roman"/>
            <w:color w:val="00000A"/>
            <w:sz w:val="20"/>
            <w:szCs w:val="20"/>
          </w:rPr>
          <w:t>Best Global Universities</w:t>
        </w:r>
      </w:hyperlink>
      <w:r w:rsidRPr="00EF2265">
        <w:rPr>
          <w:rFonts w:ascii="Times New Roman" w:hAnsi="Times New Roman"/>
          <w:sz w:val="20"/>
          <w:szCs w:val="20"/>
        </w:rPr>
        <w:t xml:space="preserve"> rankingu sa medzi 1250 univerzitami umiestnili aj 3 univerzity zo Slovenska a jednou z nich je aj Slovenská technická univerzita v Bratislave. U.S. News </w:t>
      </w:r>
      <w:hyperlink r:id="rId120">
        <w:r w:rsidRPr="00EF2265">
          <w:rPr>
            <w:rStyle w:val="Internetovodkaz"/>
            <w:rFonts w:ascii="Times New Roman" w:eastAsiaTheme="majorEastAsia" w:hAnsi="Times New Roman"/>
            <w:color w:val="00000A"/>
            <w:sz w:val="20"/>
            <w:szCs w:val="20"/>
          </w:rPr>
          <w:t>Best Global Universities</w:t>
        </w:r>
      </w:hyperlink>
      <w:r w:rsidRPr="00EF2265">
        <w:rPr>
          <w:rFonts w:ascii="Times New Roman" w:hAnsi="Times New Roman"/>
          <w:sz w:val="20"/>
          <w:szCs w:val="20"/>
        </w:rPr>
        <w:t xml:space="preserve"> už 30 rokov porovnáva americké univerzity so svetom. </w:t>
      </w:r>
    </w:p>
    <w:p w:rsidR="00483C7F" w:rsidRPr="00EF2265" w:rsidRDefault="00483C7F" w:rsidP="001D71C0">
      <w:pPr>
        <w:tabs>
          <w:tab w:val="left" w:pos="9356"/>
        </w:tabs>
        <w:rPr>
          <w:rFonts w:ascii="Times New Roman" w:hAnsi="Times New Roman"/>
          <w:sz w:val="20"/>
          <w:szCs w:val="20"/>
        </w:rPr>
      </w:pPr>
    </w:p>
    <w:p w:rsidR="006063AF" w:rsidRPr="00EF2265" w:rsidRDefault="006063AF" w:rsidP="006063AF">
      <w:pPr>
        <w:rPr>
          <w:rFonts w:ascii="Times New Roman" w:hAnsi="Times New Roman"/>
          <w:b/>
          <w:sz w:val="20"/>
          <w:szCs w:val="20"/>
        </w:rPr>
      </w:pPr>
    </w:p>
    <w:p w:rsidR="006063AF" w:rsidRPr="00BE3E2D" w:rsidRDefault="006063AF" w:rsidP="006063AF">
      <w:pPr>
        <w:rPr>
          <w:rFonts w:ascii="Times New Roman" w:hAnsi="Times New Roman"/>
          <w:b/>
        </w:rPr>
      </w:pPr>
      <w:r w:rsidRPr="00BE3E2D">
        <w:rPr>
          <w:rFonts w:ascii="Times New Roman" w:hAnsi="Times New Roman"/>
          <w:b/>
        </w:rPr>
        <w:t>14 Kontaktné údaje</w:t>
      </w:r>
    </w:p>
    <w:p w:rsidR="00BE3E2D" w:rsidRDefault="00BE3E2D" w:rsidP="006063AF">
      <w:pPr>
        <w:rPr>
          <w:rFonts w:ascii="Times New Roman" w:hAnsi="Times New Roman"/>
          <w:noProof/>
          <w:sz w:val="20"/>
          <w:szCs w:val="20"/>
        </w:rPr>
      </w:pPr>
    </w:p>
    <w:p w:rsidR="006063AF" w:rsidRPr="00EF2265" w:rsidRDefault="006063AF" w:rsidP="006063AF">
      <w:pPr>
        <w:rPr>
          <w:rFonts w:ascii="Times New Roman" w:hAnsi="Times New Roman"/>
          <w:noProof/>
          <w:sz w:val="20"/>
          <w:szCs w:val="20"/>
        </w:rPr>
      </w:pPr>
      <w:r w:rsidRPr="00EF2265">
        <w:rPr>
          <w:rFonts w:ascii="Times New Roman" w:hAnsi="Times New Roman"/>
          <w:noProof/>
          <w:sz w:val="20"/>
          <w:szCs w:val="20"/>
        </w:rPr>
        <w:t xml:space="preserve">Slovenská technická univerzita v Bratislave </w:t>
      </w:r>
    </w:p>
    <w:p w:rsidR="006063AF" w:rsidRPr="00EF2265" w:rsidRDefault="006063AF" w:rsidP="006063AF">
      <w:pPr>
        <w:rPr>
          <w:rFonts w:ascii="Times New Roman" w:hAnsi="Times New Roman"/>
          <w:noProof/>
          <w:sz w:val="20"/>
          <w:szCs w:val="20"/>
        </w:rPr>
      </w:pPr>
      <w:r w:rsidRPr="00EF2265">
        <w:rPr>
          <w:rFonts w:ascii="Times New Roman" w:hAnsi="Times New Roman"/>
          <w:noProof/>
          <w:sz w:val="20"/>
          <w:szCs w:val="20"/>
        </w:rPr>
        <w:t>Rektorát</w:t>
      </w:r>
    </w:p>
    <w:p w:rsidR="006063AF" w:rsidRPr="00EF2265" w:rsidRDefault="006063AF" w:rsidP="006063AF">
      <w:pPr>
        <w:rPr>
          <w:rFonts w:ascii="Times New Roman" w:hAnsi="Times New Roman"/>
          <w:noProof/>
          <w:sz w:val="20"/>
          <w:szCs w:val="20"/>
        </w:rPr>
      </w:pPr>
      <w:r w:rsidRPr="00EF2265">
        <w:rPr>
          <w:rFonts w:ascii="Times New Roman" w:hAnsi="Times New Roman"/>
          <w:noProof/>
          <w:sz w:val="20"/>
          <w:szCs w:val="20"/>
        </w:rPr>
        <w:t>Vazovova 5, 812 43 Bratislava 1</w:t>
      </w:r>
    </w:p>
    <w:p w:rsidR="006063AF" w:rsidRPr="00EF2265" w:rsidRDefault="006063AF" w:rsidP="006063AF">
      <w:pPr>
        <w:rPr>
          <w:rFonts w:ascii="Times New Roman" w:hAnsi="Times New Roman"/>
          <w:noProof/>
          <w:sz w:val="20"/>
          <w:szCs w:val="20"/>
        </w:rPr>
      </w:pPr>
      <w:r w:rsidRPr="00EF2265">
        <w:rPr>
          <w:rFonts w:ascii="Times New Roman" w:hAnsi="Times New Roman"/>
          <w:bCs/>
          <w:noProof/>
          <w:sz w:val="20"/>
          <w:szCs w:val="20"/>
        </w:rPr>
        <w:t>Tel.:</w:t>
      </w:r>
      <w:r w:rsidRPr="00EF2265">
        <w:rPr>
          <w:rFonts w:ascii="Times New Roman" w:hAnsi="Times New Roman"/>
          <w:noProof/>
          <w:sz w:val="20"/>
          <w:szCs w:val="20"/>
        </w:rPr>
        <w:t xml:space="preserve"> 02/5249 7196, 0918 669 118 </w:t>
      </w:r>
    </w:p>
    <w:p w:rsidR="006063AF" w:rsidRPr="00EF2265" w:rsidRDefault="006063AF" w:rsidP="006063AF">
      <w:pPr>
        <w:rPr>
          <w:rFonts w:ascii="Times New Roman" w:hAnsi="Times New Roman"/>
          <w:noProof/>
          <w:sz w:val="20"/>
          <w:szCs w:val="20"/>
        </w:rPr>
      </w:pPr>
      <w:r w:rsidRPr="00EF2265">
        <w:rPr>
          <w:rFonts w:ascii="Times New Roman" w:hAnsi="Times New Roman"/>
          <w:bCs/>
          <w:noProof/>
          <w:sz w:val="20"/>
          <w:szCs w:val="20"/>
        </w:rPr>
        <w:t xml:space="preserve">E-mail: </w:t>
      </w:r>
      <w:hyperlink r:id="rId121" w:history="1">
        <w:r w:rsidRPr="00EF2265">
          <w:rPr>
            <w:rStyle w:val="Hypertextovprepojenie"/>
            <w:rFonts w:ascii="Times New Roman" w:hAnsi="Times New Roman"/>
            <w:noProof/>
            <w:sz w:val="20"/>
            <w:szCs w:val="20"/>
          </w:rPr>
          <w:t>rector@stuba.sk</w:t>
        </w:r>
      </w:hyperlink>
    </w:p>
    <w:p w:rsidR="006063AF" w:rsidRPr="00EF2265" w:rsidRDefault="006063AF" w:rsidP="006063AF">
      <w:pPr>
        <w:rPr>
          <w:rStyle w:val="Hypertextovprepojenie"/>
          <w:rFonts w:ascii="Times New Roman" w:hAnsi="Times New Roman"/>
          <w:noProof/>
          <w:color w:val="auto"/>
          <w:sz w:val="20"/>
          <w:szCs w:val="20"/>
        </w:rPr>
      </w:pPr>
      <w:r w:rsidRPr="00EF2265">
        <w:rPr>
          <w:rFonts w:ascii="Times New Roman" w:hAnsi="Times New Roman"/>
          <w:noProof/>
          <w:sz w:val="20"/>
          <w:szCs w:val="20"/>
        </w:rPr>
        <w:t xml:space="preserve">Web: </w:t>
      </w:r>
      <w:hyperlink r:id="rId122" w:history="1">
        <w:r w:rsidRPr="00EF2265">
          <w:rPr>
            <w:rStyle w:val="Hypertextovprepojenie"/>
            <w:rFonts w:ascii="Times New Roman" w:hAnsi="Times New Roman"/>
            <w:noProof/>
            <w:color w:val="auto"/>
            <w:sz w:val="20"/>
            <w:szCs w:val="20"/>
          </w:rPr>
          <w:t>www.stuba.sk</w:t>
        </w:r>
      </w:hyperlink>
    </w:p>
    <w:p w:rsidR="001D71C0" w:rsidRPr="00EF2265" w:rsidRDefault="001D71C0" w:rsidP="001D71C0">
      <w:pPr>
        <w:tabs>
          <w:tab w:val="left" w:pos="9356"/>
        </w:tabs>
        <w:rPr>
          <w:rFonts w:ascii="Times New Roman" w:hAnsi="Times New Roman"/>
          <w:sz w:val="20"/>
          <w:szCs w:val="20"/>
        </w:rPr>
      </w:pPr>
    </w:p>
    <w:p w:rsidR="006063AF" w:rsidRPr="00EF2265" w:rsidRDefault="006063AF" w:rsidP="001D71C0">
      <w:pPr>
        <w:tabs>
          <w:tab w:val="left" w:pos="9356"/>
        </w:tabs>
        <w:rPr>
          <w:rFonts w:ascii="Times New Roman" w:hAnsi="Times New Roman"/>
          <w:sz w:val="20"/>
          <w:szCs w:val="20"/>
        </w:rPr>
      </w:pPr>
    </w:p>
    <w:tbl>
      <w:tblPr>
        <w:tblW w:w="9760" w:type="dxa"/>
        <w:tblInd w:w="70" w:type="dxa"/>
        <w:tblCellMar>
          <w:left w:w="70" w:type="dxa"/>
          <w:right w:w="70" w:type="dxa"/>
        </w:tblCellMar>
        <w:tblLook w:val="04A0" w:firstRow="1" w:lastRow="0" w:firstColumn="1" w:lastColumn="0" w:noHBand="0" w:noVBand="1"/>
      </w:tblPr>
      <w:tblGrid>
        <w:gridCol w:w="1085"/>
        <w:gridCol w:w="1085"/>
        <w:gridCol w:w="1085"/>
        <w:gridCol w:w="1085"/>
        <w:gridCol w:w="1084"/>
        <w:gridCol w:w="1084"/>
        <w:gridCol w:w="1084"/>
        <w:gridCol w:w="1084"/>
        <w:gridCol w:w="1084"/>
      </w:tblGrid>
      <w:tr w:rsidR="006F6210" w:rsidRPr="006F6210" w:rsidTr="006F6210">
        <w:trPr>
          <w:trHeight w:val="2415"/>
        </w:trPr>
        <w:tc>
          <w:tcPr>
            <w:tcW w:w="9760" w:type="dxa"/>
            <w:gridSpan w:val="9"/>
            <w:vMerge w:val="restart"/>
            <w:tcBorders>
              <w:top w:val="nil"/>
              <w:left w:val="nil"/>
              <w:bottom w:val="nil"/>
              <w:right w:val="nil"/>
            </w:tcBorders>
            <w:shd w:val="clear" w:color="auto" w:fill="auto"/>
            <w:hideMark/>
          </w:tcPr>
          <w:p w:rsidR="00DD715E" w:rsidRDefault="006063AF" w:rsidP="00DD715E">
            <w:pPr>
              <w:jc w:val="left"/>
              <w:rPr>
                <w:rFonts w:ascii="Times New Roman" w:hAnsi="Times New Roman"/>
                <w:b/>
              </w:rPr>
            </w:pPr>
            <w:r w:rsidRPr="00BE3E2D">
              <w:rPr>
                <w:rFonts w:ascii="Times New Roman" w:hAnsi="Times New Roman"/>
                <w:b/>
              </w:rPr>
              <w:t xml:space="preserve">15 </w:t>
            </w:r>
            <w:r w:rsidR="006620F9" w:rsidRPr="00BE3E2D">
              <w:rPr>
                <w:rFonts w:ascii="Times New Roman" w:hAnsi="Times New Roman"/>
                <w:b/>
              </w:rPr>
              <w:t>Prílohy a</w:t>
            </w:r>
            <w:r w:rsidR="00DD715E">
              <w:rPr>
                <w:rFonts w:ascii="Times New Roman" w:hAnsi="Times New Roman"/>
                <w:b/>
              </w:rPr>
              <w:t> </w:t>
            </w:r>
            <w:r w:rsidR="006620F9" w:rsidRPr="00BE3E2D">
              <w:rPr>
                <w:rFonts w:ascii="Times New Roman" w:hAnsi="Times New Roman"/>
                <w:b/>
              </w:rPr>
              <w:t>tabuľky</w:t>
            </w:r>
          </w:p>
          <w:p w:rsidR="00DD715E" w:rsidRDefault="00DD715E" w:rsidP="00DD715E">
            <w:pPr>
              <w:jc w:val="left"/>
              <w:rPr>
                <w:rFonts w:ascii="Times New Roman" w:hAnsi="Times New Roman"/>
                <w:b/>
              </w:rPr>
            </w:pPr>
          </w:p>
          <w:p w:rsidR="00DD715E" w:rsidRDefault="00DD715E" w:rsidP="00DD715E">
            <w:pPr>
              <w:jc w:val="left"/>
              <w:rPr>
                <w:rFonts w:ascii="Times New Roman" w:hAnsi="Times New Roman"/>
                <w:b/>
              </w:rPr>
            </w:pPr>
          </w:p>
          <w:p w:rsidR="00DD715E" w:rsidRPr="00DD715E" w:rsidRDefault="00DD715E" w:rsidP="00DD715E">
            <w:pPr>
              <w:jc w:val="left"/>
              <w:rPr>
                <w:rFonts w:ascii="Times New Roman" w:hAnsi="Times New Roman"/>
                <w:b/>
                <w:sz w:val="28"/>
                <w:szCs w:val="28"/>
              </w:rPr>
            </w:pPr>
            <w:r w:rsidRPr="00DD715E">
              <w:rPr>
                <w:rFonts w:ascii="Times New Roman" w:hAnsi="Times New Roman"/>
                <w:b/>
                <w:sz w:val="28"/>
                <w:szCs w:val="28"/>
              </w:rPr>
              <w:t>Tabuľková príloha k výročnej správe o činnosti vysokej školy za rok 2018</w:t>
            </w:r>
          </w:p>
          <w:p w:rsidR="00DD715E" w:rsidRPr="006F6210" w:rsidRDefault="00DD715E" w:rsidP="002E5BF8">
            <w:pPr>
              <w:jc w:val="left"/>
              <w:rPr>
                <w:rFonts w:ascii="Times New Roman" w:eastAsia="Times New Roman" w:hAnsi="Times New Roman"/>
                <w:color w:val="auto"/>
                <w:sz w:val="20"/>
                <w:szCs w:val="20"/>
                <w:lang w:eastAsia="sk-SK"/>
              </w:rPr>
            </w:pPr>
            <w:r w:rsidRPr="00DD715E">
              <w:rPr>
                <w:rFonts w:ascii="Times New Roman" w:hAnsi="Times New Roman"/>
                <w:b/>
                <w:sz w:val="20"/>
                <w:szCs w:val="20"/>
              </w:rPr>
              <w:t xml:space="preserve">Vysoká škola: </w:t>
            </w:r>
            <w:r w:rsidRPr="00DD715E">
              <w:rPr>
                <w:rFonts w:ascii="Times New Roman" w:hAnsi="Times New Roman"/>
                <w:sz w:val="20"/>
                <w:szCs w:val="20"/>
              </w:rPr>
              <w:t>Slovenská technická univerzita v</w:t>
            </w:r>
            <w:r>
              <w:rPr>
                <w:rFonts w:ascii="Times New Roman" w:hAnsi="Times New Roman"/>
                <w:sz w:val="20"/>
                <w:szCs w:val="20"/>
              </w:rPr>
              <w:t> </w:t>
            </w:r>
            <w:r w:rsidRPr="00DD715E">
              <w:rPr>
                <w:rFonts w:ascii="Times New Roman" w:hAnsi="Times New Roman"/>
                <w:sz w:val="20"/>
                <w:szCs w:val="20"/>
              </w:rPr>
              <w:t>Bratislave</w:t>
            </w:r>
          </w:p>
        </w:tc>
      </w:tr>
      <w:tr w:rsidR="006F6210" w:rsidRPr="006F6210" w:rsidTr="006F6210">
        <w:trPr>
          <w:trHeight w:val="1230"/>
        </w:trPr>
        <w:tc>
          <w:tcPr>
            <w:tcW w:w="9760" w:type="dxa"/>
            <w:gridSpan w:val="9"/>
            <w:vMerge/>
            <w:tcBorders>
              <w:top w:val="nil"/>
              <w:left w:val="nil"/>
              <w:bottom w:val="nil"/>
              <w:right w:val="nil"/>
            </w:tcBorders>
            <w:vAlign w:val="center"/>
            <w:hideMark/>
          </w:tcPr>
          <w:p w:rsidR="006F6210" w:rsidRPr="006F6210" w:rsidRDefault="006F6210" w:rsidP="006F6210">
            <w:pPr>
              <w:jc w:val="left"/>
              <w:rPr>
                <w:rFonts w:ascii="Times New Roman" w:eastAsia="Times New Roman" w:hAnsi="Times New Roman"/>
                <w:color w:val="auto"/>
                <w:sz w:val="80"/>
                <w:szCs w:val="80"/>
                <w:lang w:eastAsia="sk-SK"/>
              </w:rPr>
            </w:pPr>
          </w:p>
        </w:tc>
      </w:tr>
      <w:tr w:rsidR="006F6210" w:rsidRPr="006F6210" w:rsidTr="006F6210">
        <w:trPr>
          <w:trHeight w:val="1230"/>
        </w:trPr>
        <w:tc>
          <w:tcPr>
            <w:tcW w:w="9760" w:type="dxa"/>
            <w:gridSpan w:val="9"/>
            <w:vMerge/>
            <w:tcBorders>
              <w:top w:val="nil"/>
              <w:left w:val="nil"/>
              <w:bottom w:val="nil"/>
              <w:right w:val="nil"/>
            </w:tcBorders>
            <w:vAlign w:val="center"/>
            <w:hideMark/>
          </w:tcPr>
          <w:p w:rsidR="006F6210" w:rsidRPr="006F6210" w:rsidRDefault="006F6210" w:rsidP="006F6210">
            <w:pPr>
              <w:jc w:val="left"/>
              <w:rPr>
                <w:rFonts w:ascii="Times New Roman" w:eastAsia="Times New Roman" w:hAnsi="Times New Roman"/>
                <w:color w:val="auto"/>
                <w:sz w:val="80"/>
                <w:szCs w:val="80"/>
                <w:lang w:eastAsia="sk-SK"/>
              </w:rPr>
            </w:pPr>
          </w:p>
        </w:tc>
      </w:tr>
      <w:tr w:rsidR="006F6210" w:rsidRPr="006F6210" w:rsidTr="006F6210">
        <w:trPr>
          <w:trHeight w:val="1230"/>
        </w:trPr>
        <w:tc>
          <w:tcPr>
            <w:tcW w:w="1085" w:type="dxa"/>
            <w:tcBorders>
              <w:top w:val="nil"/>
              <w:left w:val="nil"/>
              <w:bottom w:val="nil"/>
              <w:right w:val="nil"/>
            </w:tcBorders>
            <w:shd w:val="clear" w:color="auto" w:fill="auto"/>
            <w:noWrap/>
            <w:vAlign w:val="bottom"/>
            <w:hideMark/>
          </w:tcPr>
          <w:p w:rsidR="006F6210" w:rsidRPr="006F6210" w:rsidRDefault="006F6210" w:rsidP="006F6210">
            <w:pPr>
              <w:jc w:val="left"/>
              <w:rPr>
                <w:rFonts w:ascii="Times New Roman" w:eastAsia="Times New Roman" w:hAnsi="Times New Roman"/>
                <w:color w:val="auto"/>
                <w:lang w:eastAsia="sk-SK"/>
              </w:rPr>
            </w:pPr>
          </w:p>
        </w:tc>
        <w:tc>
          <w:tcPr>
            <w:tcW w:w="1085" w:type="dxa"/>
            <w:tcBorders>
              <w:top w:val="nil"/>
              <w:left w:val="nil"/>
              <w:bottom w:val="nil"/>
              <w:right w:val="nil"/>
            </w:tcBorders>
            <w:shd w:val="clear" w:color="auto" w:fill="auto"/>
            <w:noWrap/>
            <w:vAlign w:val="bottom"/>
            <w:hideMark/>
          </w:tcPr>
          <w:p w:rsidR="006F6210" w:rsidRPr="006F6210" w:rsidRDefault="006F6210" w:rsidP="006F6210">
            <w:pPr>
              <w:jc w:val="left"/>
              <w:rPr>
                <w:rFonts w:ascii="Times New Roman" w:eastAsia="Times New Roman" w:hAnsi="Times New Roman"/>
                <w:color w:val="auto"/>
                <w:lang w:eastAsia="sk-SK"/>
              </w:rPr>
            </w:pPr>
          </w:p>
        </w:tc>
        <w:tc>
          <w:tcPr>
            <w:tcW w:w="1085" w:type="dxa"/>
            <w:tcBorders>
              <w:top w:val="nil"/>
              <w:left w:val="nil"/>
              <w:bottom w:val="nil"/>
              <w:right w:val="nil"/>
            </w:tcBorders>
            <w:shd w:val="clear" w:color="auto" w:fill="auto"/>
            <w:noWrap/>
            <w:vAlign w:val="bottom"/>
            <w:hideMark/>
          </w:tcPr>
          <w:p w:rsidR="006F6210" w:rsidRPr="006F6210" w:rsidRDefault="006F6210" w:rsidP="006F6210">
            <w:pPr>
              <w:jc w:val="left"/>
              <w:rPr>
                <w:rFonts w:ascii="Times New Roman" w:eastAsia="Times New Roman" w:hAnsi="Times New Roman"/>
                <w:color w:val="auto"/>
                <w:lang w:eastAsia="sk-SK"/>
              </w:rPr>
            </w:pPr>
          </w:p>
        </w:tc>
        <w:tc>
          <w:tcPr>
            <w:tcW w:w="1085" w:type="dxa"/>
            <w:tcBorders>
              <w:top w:val="nil"/>
              <w:left w:val="nil"/>
              <w:bottom w:val="nil"/>
              <w:right w:val="nil"/>
            </w:tcBorders>
            <w:shd w:val="clear" w:color="auto" w:fill="auto"/>
            <w:noWrap/>
            <w:vAlign w:val="bottom"/>
            <w:hideMark/>
          </w:tcPr>
          <w:p w:rsidR="006F6210" w:rsidRPr="006F6210" w:rsidRDefault="006F6210" w:rsidP="006F6210">
            <w:pPr>
              <w:jc w:val="left"/>
              <w:rPr>
                <w:rFonts w:ascii="Times New Roman" w:eastAsia="Times New Roman" w:hAnsi="Times New Roman"/>
                <w:color w:val="auto"/>
                <w:lang w:eastAsia="sk-SK"/>
              </w:rPr>
            </w:pPr>
          </w:p>
        </w:tc>
        <w:tc>
          <w:tcPr>
            <w:tcW w:w="1084" w:type="dxa"/>
            <w:tcBorders>
              <w:top w:val="nil"/>
              <w:left w:val="nil"/>
              <w:bottom w:val="nil"/>
              <w:right w:val="nil"/>
            </w:tcBorders>
            <w:shd w:val="clear" w:color="auto" w:fill="auto"/>
            <w:noWrap/>
            <w:vAlign w:val="bottom"/>
            <w:hideMark/>
          </w:tcPr>
          <w:p w:rsidR="006F6210" w:rsidRPr="006F6210" w:rsidRDefault="006F6210" w:rsidP="006F6210">
            <w:pPr>
              <w:jc w:val="left"/>
              <w:rPr>
                <w:rFonts w:ascii="Times New Roman" w:eastAsia="Times New Roman" w:hAnsi="Times New Roman"/>
                <w:color w:val="auto"/>
                <w:lang w:eastAsia="sk-SK"/>
              </w:rPr>
            </w:pPr>
          </w:p>
        </w:tc>
        <w:tc>
          <w:tcPr>
            <w:tcW w:w="1084" w:type="dxa"/>
            <w:tcBorders>
              <w:top w:val="nil"/>
              <w:left w:val="nil"/>
              <w:bottom w:val="nil"/>
              <w:right w:val="nil"/>
            </w:tcBorders>
            <w:shd w:val="clear" w:color="auto" w:fill="auto"/>
            <w:noWrap/>
            <w:vAlign w:val="bottom"/>
            <w:hideMark/>
          </w:tcPr>
          <w:p w:rsidR="006F6210" w:rsidRPr="006F6210" w:rsidRDefault="006F6210" w:rsidP="006F6210">
            <w:pPr>
              <w:jc w:val="left"/>
              <w:rPr>
                <w:rFonts w:ascii="Times New Roman" w:eastAsia="Times New Roman" w:hAnsi="Times New Roman"/>
                <w:color w:val="auto"/>
                <w:lang w:eastAsia="sk-SK"/>
              </w:rPr>
            </w:pPr>
          </w:p>
        </w:tc>
        <w:tc>
          <w:tcPr>
            <w:tcW w:w="1084" w:type="dxa"/>
            <w:tcBorders>
              <w:top w:val="nil"/>
              <w:left w:val="nil"/>
              <w:bottom w:val="nil"/>
              <w:right w:val="nil"/>
            </w:tcBorders>
            <w:shd w:val="clear" w:color="auto" w:fill="auto"/>
            <w:noWrap/>
            <w:vAlign w:val="bottom"/>
            <w:hideMark/>
          </w:tcPr>
          <w:p w:rsidR="006F6210" w:rsidRPr="006F6210" w:rsidRDefault="006F6210" w:rsidP="006F6210">
            <w:pPr>
              <w:jc w:val="left"/>
              <w:rPr>
                <w:rFonts w:ascii="Times New Roman" w:eastAsia="Times New Roman" w:hAnsi="Times New Roman"/>
                <w:color w:val="auto"/>
                <w:lang w:eastAsia="sk-SK"/>
              </w:rPr>
            </w:pPr>
          </w:p>
        </w:tc>
        <w:tc>
          <w:tcPr>
            <w:tcW w:w="1084" w:type="dxa"/>
            <w:tcBorders>
              <w:top w:val="nil"/>
              <w:left w:val="nil"/>
              <w:bottom w:val="nil"/>
              <w:right w:val="nil"/>
            </w:tcBorders>
            <w:shd w:val="clear" w:color="auto" w:fill="auto"/>
            <w:noWrap/>
            <w:vAlign w:val="bottom"/>
            <w:hideMark/>
          </w:tcPr>
          <w:p w:rsidR="006F6210" w:rsidRPr="006F6210" w:rsidRDefault="006F6210" w:rsidP="006F6210">
            <w:pPr>
              <w:jc w:val="left"/>
              <w:rPr>
                <w:rFonts w:ascii="Times New Roman" w:eastAsia="Times New Roman" w:hAnsi="Times New Roman"/>
                <w:color w:val="auto"/>
                <w:lang w:eastAsia="sk-SK"/>
              </w:rPr>
            </w:pPr>
          </w:p>
        </w:tc>
        <w:tc>
          <w:tcPr>
            <w:tcW w:w="1084" w:type="dxa"/>
            <w:tcBorders>
              <w:top w:val="nil"/>
              <w:left w:val="nil"/>
              <w:bottom w:val="nil"/>
              <w:right w:val="nil"/>
            </w:tcBorders>
            <w:shd w:val="clear" w:color="auto" w:fill="auto"/>
            <w:noWrap/>
            <w:vAlign w:val="bottom"/>
            <w:hideMark/>
          </w:tcPr>
          <w:p w:rsidR="006F6210" w:rsidRPr="006F6210" w:rsidRDefault="006F6210" w:rsidP="006F6210">
            <w:pPr>
              <w:jc w:val="left"/>
              <w:rPr>
                <w:rFonts w:ascii="Times New Roman" w:eastAsia="Times New Roman" w:hAnsi="Times New Roman"/>
                <w:color w:val="auto"/>
                <w:lang w:eastAsia="sk-SK"/>
              </w:rPr>
            </w:pPr>
          </w:p>
        </w:tc>
      </w:tr>
      <w:tr w:rsidR="006F6210" w:rsidRPr="006F6210" w:rsidTr="00DD715E">
        <w:trPr>
          <w:trHeight w:val="915"/>
        </w:trPr>
        <w:tc>
          <w:tcPr>
            <w:tcW w:w="9760" w:type="dxa"/>
            <w:gridSpan w:val="9"/>
            <w:tcBorders>
              <w:top w:val="nil"/>
              <w:left w:val="nil"/>
              <w:bottom w:val="nil"/>
              <w:right w:val="nil"/>
            </w:tcBorders>
            <w:shd w:val="clear" w:color="auto" w:fill="auto"/>
            <w:vAlign w:val="bottom"/>
          </w:tcPr>
          <w:p w:rsidR="006F6210" w:rsidRPr="006F6210" w:rsidRDefault="006F6210" w:rsidP="006F6210">
            <w:pPr>
              <w:jc w:val="left"/>
              <w:rPr>
                <w:rFonts w:ascii="Times New Roman" w:eastAsia="Times New Roman" w:hAnsi="Times New Roman"/>
                <w:color w:val="auto"/>
                <w:sz w:val="56"/>
                <w:szCs w:val="56"/>
                <w:lang w:eastAsia="sk-SK"/>
              </w:rPr>
            </w:pPr>
          </w:p>
        </w:tc>
      </w:tr>
      <w:tr w:rsidR="006F6210" w:rsidRPr="006F6210" w:rsidTr="00DD715E">
        <w:trPr>
          <w:trHeight w:val="780"/>
        </w:trPr>
        <w:tc>
          <w:tcPr>
            <w:tcW w:w="9760" w:type="dxa"/>
            <w:gridSpan w:val="9"/>
            <w:tcBorders>
              <w:top w:val="nil"/>
              <w:left w:val="nil"/>
              <w:bottom w:val="nil"/>
              <w:right w:val="nil"/>
            </w:tcBorders>
            <w:shd w:val="clear" w:color="auto" w:fill="auto"/>
            <w:vAlign w:val="bottom"/>
          </w:tcPr>
          <w:p w:rsidR="006F6210" w:rsidRPr="006F6210" w:rsidRDefault="006F6210" w:rsidP="006F6210">
            <w:pPr>
              <w:jc w:val="left"/>
              <w:rPr>
                <w:rFonts w:ascii="Times New Roman" w:eastAsia="Times New Roman" w:hAnsi="Times New Roman"/>
                <w:color w:val="auto"/>
                <w:sz w:val="56"/>
                <w:szCs w:val="56"/>
                <w:lang w:eastAsia="sk-SK"/>
              </w:rPr>
            </w:pPr>
          </w:p>
        </w:tc>
      </w:tr>
    </w:tbl>
    <w:p w:rsidR="006F6210" w:rsidRPr="00EF2265" w:rsidRDefault="006F6210" w:rsidP="002E5BF8">
      <w:pPr>
        <w:tabs>
          <w:tab w:val="left" w:pos="9356"/>
        </w:tabs>
        <w:rPr>
          <w:rFonts w:ascii="Times New Roman" w:hAnsi="Times New Roman"/>
          <w:sz w:val="20"/>
          <w:szCs w:val="20"/>
        </w:rPr>
      </w:pPr>
    </w:p>
    <w:sectPr w:rsidR="006F6210" w:rsidRPr="00EF2265" w:rsidSect="00AD09B4">
      <w:pgSz w:w="11906" w:h="16838"/>
      <w:pgMar w:top="1417" w:right="1417" w:bottom="1417" w:left="1417" w:header="0"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069" w:rsidRDefault="00F43069">
      <w:r>
        <w:separator/>
      </w:r>
    </w:p>
  </w:endnote>
  <w:endnote w:type="continuationSeparator" w:id="0">
    <w:p w:rsidR="00F43069" w:rsidRDefault="00F43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OpenSymbol">
    <w:altName w:val="Arial Unicode MS"/>
    <w:charset w:val="00"/>
    <w:family w:val="auto"/>
    <w:pitch w:val="variable"/>
    <w:sig w:usb0="800000AF" w:usb1="1001ECEA" w:usb2="00000000" w:usb3="00000000" w:csb0="00000001" w:csb1="00000000"/>
  </w:font>
  <w:font w:name="Liberation Sans">
    <w:altName w:val="Arial"/>
    <w:charset w:val="EE"/>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yriad Pro">
    <w:altName w:val="Times New Roman"/>
    <w:panose1 w:val="00000000000000000000"/>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532337"/>
      <w:docPartObj>
        <w:docPartGallery w:val="Page Numbers (Bottom of Page)"/>
        <w:docPartUnique/>
      </w:docPartObj>
    </w:sdtPr>
    <w:sdtEndPr/>
    <w:sdtContent>
      <w:p w:rsidR="005424B7" w:rsidRDefault="005424B7">
        <w:pPr>
          <w:pStyle w:val="Pta"/>
          <w:jc w:val="right"/>
        </w:pPr>
        <w:r>
          <w:fldChar w:fldCharType="begin"/>
        </w:r>
        <w:r>
          <w:instrText>PAGE   \* MERGEFORMAT</w:instrText>
        </w:r>
        <w:r>
          <w:fldChar w:fldCharType="separate"/>
        </w:r>
        <w:r w:rsidR="008870FE">
          <w:rPr>
            <w:noProof/>
          </w:rPr>
          <w:t>1</w:t>
        </w:r>
        <w:r>
          <w:fldChar w:fldCharType="end"/>
        </w:r>
      </w:p>
    </w:sdtContent>
  </w:sdt>
  <w:p w:rsidR="005424B7" w:rsidRDefault="005424B7">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B15B10">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5424B7" w:rsidRDefault="005424B7" w:rsidP="00B15B10">
    <w:pPr>
      <w:pStyle w:val="Pta"/>
      <w:framePr w:wrap="around" w:vAnchor="text" w:hAnchor="margin" w:y="1"/>
      <w:ind w:right="360" w:firstLine="360"/>
      <w:rPr>
        <w:rStyle w:val="slostrany"/>
      </w:rPr>
    </w:pPr>
    <w:r>
      <w:rPr>
        <w:rStyle w:val="slostrany"/>
      </w:rPr>
      <w:fldChar w:fldCharType="begin"/>
    </w:r>
    <w:r>
      <w:rPr>
        <w:rStyle w:val="slostrany"/>
      </w:rPr>
      <w:instrText xml:space="preserve">PAGE  </w:instrText>
    </w:r>
    <w:r>
      <w:rPr>
        <w:rStyle w:val="slostrany"/>
      </w:rPr>
      <w:fldChar w:fldCharType="end"/>
    </w:r>
  </w:p>
  <w:p w:rsidR="005424B7" w:rsidRDefault="005424B7" w:rsidP="00B15B10">
    <w:pPr>
      <w:pStyle w:val="Pta"/>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pPr>
      <w:pStyle w:val="Pta"/>
      <w:jc w:val="right"/>
    </w:pPr>
    <w:r>
      <w:fldChar w:fldCharType="begin"/>
    </w:r>
    <w:r>
      <w:instrText>PAGE   \* MERGEFORMAT</w:instrText>
    </w:r>
    <w:r>
      <w:fldChar w:fldCharType="separate"/>
    </w:r>
    <w:r w:rsidR="008870FE">
      <w:rPr>
        <w:noProof/>
      </w:rPr>
      <w:t>116</w:t>
    </w:r>
    <w:r>
      <w:fldChar w:fldCharType="end"/>
    </w:r>
  </w:p>
  <w:p w:rsidR="005424B7" w:rsidRDefault="005424B7" w:rsidP="00B15B10">
    <w:pPr>
      <w:pStyle w:val="Pt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069" w:rsidRDefault="00F43069">
      <w:r>
        <w:separator/>
      </w:r>
    </w:p>
  </w:footnote>
  <w:footnote w:type="continuationSeparator" w:id="0">
    <w:p w:rsidR="00F43069" w:rsidRDefault="00F43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0FE" w:rsidRDefault="008870FE">
    <w:pPr>
      <w:pStyle w:val="Hlavika"/>
    </w:pPr>
    <w:r>
      <w:rPr>
        <w:noProof/>
        <w:lang w:eastAsia="sk-SK"/>
      </w:rPr>
      <w:drawing>
        <wp:inline distT="0" distB="0" distL="0" distR="0" wp14:anchorId="0D538A36" wp14:editId="58E9FA94">
          <wp:extent cx="1675958" cy="6159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197" cy="617141"/>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B15B10">
    <w:pPr>
      <w:ind w:left="-851"/>
    </w:pPr>
    <w:r>
      <w:rPr>
        <w:noProof/>
        <w:lang w:eastAsia="sk-SK"/>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B15B10">
    <w:pPr>
      <w:pStyle w:val="Hlavika"/>
      <w:ind w:left="-1134"/>
    </w:pPr>
    <w:r>
      <w:rPr>
        <w:noProof/>
        <w:lang w:eastAsia="sk-SK"/>
      </w:rPr>
      <w:drawing>
        <wp:inline distT="0" distB="0" distL="0" distR="0" wp14:anchorId="707E6E32" wp14:editId="3D566621">
          <wp:extent cx="1692275" cy="634365"/>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63436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Pr="00D42C86" w:rsidRDefault="005424B7" w:rsidP="00B15B10">
    <w:pPr>
      <w:ind w:right="8"/>
      <w:jc w:val="right"/>
      <w:rPr>
        <w:rFonts w:asciiTheme="majorHAnsi" w:hAnsiTheme="majorHAnsi"/>
        <w:sz w:val="16"/>
        <w:szCs w:val="16"/>
      </w:rPr>
    </w:pPr>
    <w:r>
      <w:rPr>
        <w:noProof/>
        <w:lang w:eastAsia="sk-SK"/>
      </w:rPr>
      <w:drawing>
        <wp:anchor distT="0" distB="0" distL="114300" distR="114300" simplePos="0" relativeHeight="251668480" behindDoc="0" locked="0" layoutInCell="1" allowOverlap="1" wp14:anchorId="3698E478" wp14:editId="22819953">
          <wp:simplePos x="0" y="0"/>
          <wp:positionH relativeFrom="column">
            <wp:posOffset>-398780</wp:posOffset>
          </wp:positionH>
          <wp:positionV relativeFrom="paragraph">
            <wp:posOffset>635</wp:posOffset>
          </wp:positionV>
          <wp:extent cx="1671955" cy="614045"/>
          <wp:effectExtent l="0" t="0" r="0" b="0"/>
          <wp:wrapNone/>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95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4B7" w:rsidRDefault="005424B7" w:rsidP="00B15B10">
    <w:pPr>
      <w:jc w:val="right"/>
      <w:rPr>
        <w:sz w:val="16"/>
        <w:szCs w:val="16"/>
      </w:rPr>
    </w:pPr>
  </w:p>
  <w:p w:rsidR="005424B7" w:rsidRDefault="005424B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351A8A">
    <w:pPr>
      <w:pStyle w:val="Hlavika"/>
      <w:ind w:hanging="1134"/>
    </w:pPr>
    <w:r>
      <w:rPr>
        <w:rFonts w:ascii="Times New Roman" w:hAnsi="Times New Roman"/>
        <w:noProof/>
        <w:lang w:eastAsia="sk-SK"/>
      </w:rPr>
      <mc:AlternateContent>
        <mc:Choice Requires="wps">
          <w:drawing>
            <wp:anchor distT="0" distB="0" distL="114300" distR="114300" simplePos="0" relativeHeight="251659264" behindDoc="0" locked="0" layoutInCell="1" allowOverlap="1" wp14:anchorId="4DCE7C83" wp14:editId="058B985E">
              <wp:simplePos x="0" y="0"/>
              <wp:positionH relativeFrom="margin">
                <wp:posOffset>723900</wp:posOffset>
              </wp:positionH>
              <wp:positionV relativeFrom="paragraph">
                <wp:posOffset>-635</wp:posOffset>
              </wp:positionV>
              <wp:extent cx="5234305" cy="809625"/>
              <wp:effectExtent l="0" t="0" r="0" b="0"/>
              <wp:wrapNone/>
              <wp:docPr id="56"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4305" cy="809625"/>
                      </a:xfrm>
                      <a:prstGeom prst="rect">
                        <a:avLst/>
                      </a:prstGeom>
                      <a:noFill/>
                      <a:ln>
                        <a:noFill/>
                      </a:ln>
                      <a:effectLst/>
                      <a:extLst>
                        <a:ext uri="{C572A759-6A51-4108-AA02-DFA0A04FC94B}"/>
                      </a:extLst>
                    </wps:spPr>
                    <wps:txbx>
                      <w:txbxContent>
                        <w:p w:rsidR="005424B7" w:rsidRDefault="005424B7" w:rsidP="00351A8A">
                          <w:pPr>
                            <w:ind w:right="12"/>
                            <w:jc w:val="right"/>
                            <w:rPr>
                              <w:rFonts w:ascii="Calibri" w:hAnsi="Calibri"/>
                              <w:sz w:val="16"/>
                              <w:szCs w:val="16"/>
                            </w:rPr>
                          </w:pPr>
                          <w:r>
                            <w:rPr>
                              <w:rFonts w:ascii="Calibri" w:hAnsi="Calibri"/>
                              <w:sz w:val="16"/>
                              <w:szCs w:val="16"/>
                            </w:rPr>
                            <w:t>5. zasadnutie V  STU, 21.02.2018</w:t>
                          </w:r>
                        </w:p>
                        <w:p w:rsidR="005424B7" w:rsidRPr="00854224" w:rsidRDefault="005424B7" w:rsidP="00351A8A">
                          <w:pPr>
                            <w:pStyle w:val="Bezriadkovania"/>
                            <w:tabs>
                              <w:tab w:val="left" w:pos="1985"/>
                            </w:tabs>
                            <w:ind w:left="-142" w:right="12"/>
                            <w:jc w:val="right"/>
                            <w:rPr>
                              <w:rFonts w:eastAsia="MS Mincho"/>
                              <w:sz w:val="16"/>
                              <w:szCs w:val="16"/>
                            </w:rPr>
                          </w:pPr>
                          <w:r w:rsidRPr="00854224">
                            <w:rPr>
                              <w:rFonts w:eastAsia="MS Mincho"/>
                              <w:sz w:val="16"/>
                              <w:szCs w:val="16"/>
                            </w:rPr>
                            <w:t>Hodnotenie úrovne vzdelávacej činnosti</w:t>
                          </w:r>
                          <w:r>
                            <w:rPr>
                              <w:rFonts w:eastAsia="MS Mincho"/>
                              <w:sz w:val="16"/>
                              <w:szCs w:val="16"/>
                            </w:rPr>
                            <w:t xml:space="preserve"> </w:t>
                          </w:r>
                          <w:r w:rsidRPr="00854224">
                            <w:rPr>
                              <w:rFonts w:eastAsia="MS Mincho"/>
                              <w:sz w:val="16"/>
                              <w:szCs w:val="16"/>
                            </w:rPr>
                            <w:t>na Slovenskej technickej univerzite v Bratislave</w:t>
                          </w:r>
                        </w:p>
                        <w:p w:rsidR="005424B7" w:rsidRDefault="005424B7" w:rsidP="00351A8A">
                          <w:pPr>
                            <w:pStyle w:val="Bezriadkovania"/>
                            <w:tabs>
                              <w:tab w:val="left" w:pos="1985"/>
                            </w:tabs>
                            <w:ind w:left="-142" w:right="12"/>
                            <w:jc w:val="right"/>
                            <w:rPr>
                              <w:rFonts w:eastAsia="MS Mincho"/>
                              <w:sz w:val="16"/>
                              <w:szCs w:val="16"/>
                            </w:rPr>
                          </w:pPr>
                          <w:r w:rsidRPr="00854224">
                            <w:rPr>
                              <w:rFonts w:eastAsia="MS Mincho"/>
                              <w:sz w:val="16"/>
                              <w:szCs w:val="16"/>
                            </w:rPr>
                            <w:t>za akademický rok 201</w:t>
                          </w:r>
                          <w:r>
                            <w:rPr>
                              <w:rFonts w:eastAsia="MS Mincho"/>
                              <w:sz w:val="16"/>
                              <w:szCs w:val="16"/>
                            </w:rPr>
                            <w:t>6</w:t>
                          </w:r>
                          <w:r w:rsidRPr="00854224">
                            <w:rPr>
                              <w:rFonts w:eastAsia="MS Mincho"/>
                              <w:sz w:val="16"/>
                              <w:szCs w:val="16"/>
                            </w:rPr>
                            <w:t>/201</w:t>
                          </w:r>
                          <w:r>
                            <w:rPr>
                              <w:rFonts w:eastAsia="MS Mincho"/>
                              <w:sz w:val="16"/>
                              <w:szCs w:val="16"/>
                            </w:rPr>
                            <w:t>7</w:t>
                          </w:r>
                        </w:p>
                        <w:p w:rsidR="005424B7" w:rsidRDefault="005424B7" w:rsidP="00351A8A">
                          <w:pPr>
                            <w:ind w:right="12"/>
                            <w:jc w:val="right"/>
                            <w:rPr>
                              <w:rFonts w:ascii="Calibri" w:hAnsi="Calibri"/>
                              <w:sz w:val="16"/>
                              <w:szCs w:val="16"/>
                            </w:rPr>
                          </w:pPr>
                          <w:r>
                            <w:rPr>
                              <w:rFonts w:ascii="Calibri" w:hAnsi="Calibri"/>
                              <w:sz w:val="16"/>
                              <w:szCs w:val="16"/>
                            </w:rPr>
                            <w:t>prof. Ing. Štefan Stanko, PhD.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6" o:spid="_x0000_s1026" type="#_x0000_t202" style="position:absolute;left:0;text-align:left;margin-left:57pt;margin-top:-.05pt;width:412.15pt;height:6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" filled="f" stroked="f">
              <v:path arrowok="t"/>
              <v:textbox>
                <w:txbxContent>
                  <w:p w:rsidR="005424B7" w:rsidRDefault="005424B7" w:rsidP="00351A8A">
                    <w:pPr>
                      <w:ind w:right="12"/>
                      <w:jc w:val="right"/>
                      <w:rPr>
                        <w:rFonts w:ascii="Calibri" w:hAnsi="Calibri"/>
                        <w:sz w:val="16"/>
                        <w:szCs w:val="16"/>
                      </w:rPr>
                    </w:pPr>
                    <w:r>
                      <w:rPr>
                        <w:rFonts w:ascii="Calibri" w:hAnsi="Calibri"/>
                        <w:sz w:val="16"/>
                        <w:szCs w:val="16"/>
                      </w:rPr>
                      <w:t>5. zasadnutie V  STU, 21.02.2018</w:t>
                    </w:r>
                  </w:p>
                  <w:p w:rsidR="005424B7" w:rsidRPr="00854224" w:rsidRDefault="005424B7" w:rsidP="00351A8A">
                    <w:pPr>
                      <w:pStyle w:val="Bezriadkovania"/>
                      <w:tabs>
                        <w:tab w:val="left" w:pos="1985"/>
                      </w:tabs>
                      <w:ind w:left="-142" w:right="12"/>
                      <w:jc w:val="right"/>
                      <w:rPr>
                        <w:rFonts w:eastAsia="MS Mincho"/>
                        <w:sz w:val="16"/>
                        <w:szCs w:val="16"/>
                      </w:rPr>
                    </w:pPr>
                    <w:r w:rsidRPr="00854224">
                      <w:rPr>
                        <w:rFonts w:eastAsia="MS Mincho"/>
                        <w:sz w:val="16"/>
                        <w:szCs w:val="16"/>
                      </w:rPr>
                      <w:t>Hodnotenie úrovne vzdelávacej činnosti</w:t>
                    </w:r>
                    <w:r>
                      <w:rPr>
                        <w:rFonts w:eastAsia="MS Mincho"/>
                        <w:sz w:val="16"/>
                        <w:szCs w:val="16"/>
                      </w:rPr>
                      <w:t xml:space="preserve"> </w:t>
                    </w:r>
                    <w:r w:rsidRPr="00854224">
                      <w:rPr>
                        <w:rFonts w:eastAsia="MS Mincho"/>
                        <w:sz w:val="16"/>
                        <w:szCs w:val="16"/>
                      </w:rPr>
                      <w:t>na Slovenskej technickej univerzite v Bratislave</w:t>
                    </w:r>
                  </w:p>
                  <w:p w:rsidR="005424B7" w:rsidRDefault="005424B7" w:rsidP="00351A8A">
                    <w:pPr>
                      <w:pStyle w:val="Bezriadkovania"/>
                      <w:tabs>
                        <w:tab w:val="left" w:pos="1985"/>
                      </w:tabs>
                      <w:ind w:left="-142" w:right="12"/>
                      <w:jc w:val="right"/>
                      <w:rPr>
                        <w:rFonts w:eastAsia="MS Mincho"/>
                        <w:sz w:val="16"/>
                        <w:szCs w:val="16"/>
                      </w:rPr>
                    </w:pPr>
                    <w:r w:rsidRPr="00854224">
                      <w:rPr>
                        <w:rFonts w:eastAsia="MS Mincho"/>
                        <w:sz w:val="16"/>
                        <w:szCs w:val="16"/>
                      </w:rPr>
                      <w:t>za akademický rok 201</w:t>
                    </w:r>
                    <w:r>
                      <w:rPr>
                        <w:rFonts w:eastAsia="MS Mincho"/>
                        <w:sz w:val="16"/>
                        <w:szCs w:val="16"/>
                      </w:rPr>
                      <w:t>6</w:t>
                    </w:r>
                    <w:r w:rsidRPr="00854224">
                      <w:rPr>
                        <w:rFonts w:eastAsia="MS Mincho"/>
                        <w:sz w:val="16"/>
                        <w:szCs w:val="16"/>
                      </w:rPr>
                      <w:t>/201</w:t>
                    </w:r>
                    <w:r>
                      <w:rPr>
                        <w:rFonts w:eastAsia="MS Mincho"/>
                        <w:sz w:val="16"/>
                        <w:szCs w:val="16"/>
                      </w:rPr>
                      <w:t>7</w:t>
                    </w:r>
                  </w:p>
                  <w:p w:rsidR="005424B7" w:rsidRDefault="005424B7" w:rsidP="00351A8A">
                    <w:pPr>
                      <w:ind w:right="12"/>
                      <w:jc w:val="right"/>
                      <w:rPr>
                        <w:rFonts w:ascii="Calibri" w:hAnsi="Calibri"/>
                        <w:sz w:val="16"/>
                        <w:szCs w:val="16"/>
                      </w:rPr>
                    </w:pPr>
                    <w:r>
                      <w:rPr>
                        <w:rFonts w:ascii="Calibri" w:hAnsi="Calibri"/>
                        <w:sz w:val="16"/>
                        <w:szCs w:val="16"/>
                      </w:rPr>
                      <w:t>prof. Ing. Štefan Stanko, PhD.</w:t>
                    </w:r>
                  </w:p>
                </w:txbxContent>
              </v:textbox>
              <w10:wrap anchorx="margin"/>
            </v:shape>
          </w:pict>
        </mc:Fallback>
      </mc:AlternateContent>
    </w:r>
    <w:r>
      <w:rPr>
        <w:noProof/>
        <w:lang w:eastAsia="sk-SK"/>
      </w:rPr>
      <w:drawing>
        <wp:inline distT="0" distB="0" distL="0" distR="0" wp14:anchorId="5760FB67" wp14:editId="3E999388">
          <wp:extent cx="1679575" cy="616585"/>
          <wp:effectExtent l="0" t="0" r="0" b="0"/>
          <wp:docPr id="13" name="Picture 1"/>
          <wp:cNvGraphicFramePr/>
          <a:graphic xmlns:a="http://schemas.openxmlformats.org/drawingml/2006/main">
            <a:graphicData uri="http://schemas.openxmlformats.org/drawingml/2006/picture">
              <pic:pic xmlns:pic="http://schemas.openxmlformats.org/drawingml/2006/picture">
                <pic:nvPicPr>
                  <pic:cNvPr id="3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351A8A">
    <w:pPr>
      <w:pStyle w:val="Hlavika"/>
      <w:tabs>
        <w:tab w:val="clear" w:pos="4320"/>
        <w:tab w:val="clear" w:pos="8640"/>
        <w:tab w:val="left" w:pos="5520"/>
      </w:tabs>
      <w:ind w:left="142"/>
    </w:pPr>
    <w:r>
      <w:rPr>
        <w:noProof/>
        <w:lang w:eastAsia="sk-SK"/>
      </w:rPr>
      <w:drawing>
        <wp:anchor distT="0" distB="0" distL="114300" distR="114300" simplePos="0" relativeHeight="251660288" behindDoc="0" locked="0" layoutInCell="1" allowOverlap="1" wp14:anchorId="24BD9E93" wp14:editId="197942E6">
          <wp:simplePos x="0" y="0"/>
          <wp:positionH relativeFrom="column">
            <wp:posOffset>-136465</wp:posOffset>
          </wp:positionH>
          <wp:positionV relativeFrom="paragraph">
            <wp:posOffset>-208016</wp:posOffset>
          </wp:positionV>
          <wp:extent cx="1679575" cy="616585"/>
          <wp:effectExtent l="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351A8A">
    <w:pPr>
      <w:pStyle w:val="Hlavika"/>
      <w:tabs>
        <w:tab w:val="clear" w:pos="4320"/>
        <w:tab w:val="clear" w:pos="8640"/>
        <w:tab w:val="left" w:pos="5520"/>
      </w:tabs>
      <w:ind w:left="-1276"/>
    </w:pPr>
    <w:r>
      <w:rPr>
        <w:noProof/>
        <w:lang w:eastAsia="sk-SK"/>
      </w:rPr>
      <w:drawing>
        <wp:anchor distT="0" distB="0" distL="114300" distR="114300" simplePos="0" relativeHeight="251661312" behindDoc="0" locked="0" layoutInCell="1" allowOverlap="1" wp14:anchorId="5C082EB2" wp14:editId="40F444E5">
          <wp:simplePos x="0" y="0"/>
          <wp:positionH relativeFrom="column">
            <wp:posOffset>-745490</wp:posOffset>
          </wp:positionH>
          <wp:positionV relativeFrom="paragraph">
            <wp:posOffset>-208280</wp:posOffset>
          </wp:positionV>
          <wp:extent cx="1679575" cy="616585"/>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351A8A">
    <w:pPr>
      <w:pStyle w:val="Hlavika"/>
      <w:tabs>
        <w:tab w:val="clear" w:pos="4320"/>
        <w:tab w:val="clear" w:pos="8640"/>
        <w:tab w:val="left" w:pos="5520"/>
      </w:tabs>
      <w:ind w:left="-851" w:firstLine="425"/>
    </w:pPr>
    <w:r>
      <w:rPr>
        <w:noProof/>
        <w:lang w:eastAsia="sk-SK"/>
      </w:rPr>
      <w:drawing>
        <wp:anchor distT="0" distB="0" distL="114300" distR="114300" simplePos="0" relativeHeight="251662336" behindDoc="0" locked="0" layoutInCell="1" allowOverlap="1" wp14:anchorId="7603E40C" wp14:editId="0E509EEB">
          <wp:simplePos x="0" y="0"/>
          <wp:positionH relativeFrom="column">
            <wp:posOffset>-183515</wp:posOffset>
          </wp:positionH>
          <wp:positionV relativeFrom="paragraph">
            <wp:posOffset>-170180</wp:posOffset>
          </wp:positionV>
          <wp:extent cx="1679575" cy="616585"/>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351A8A">
    <w:pPr>
      <w:pStyle w:val="Hlavika"/>
      <w:tabs>
        <w:tab w:val="clear" w:pos="4320"/>
        <w:tab w:val="clear" w:pos="8640"/>
        <w:tab w:val="left" w:pos="5520"/>
      </w:tabs>
      <w:ind w:left="-1276"/>
    </w:pPr>
    <w:r>
      <w:rPr>
        <w:noProof/>
        <w:lang w:eastAsia="sk-SK"/>
      </w:rPr>
      <w:drawing>
        <wp:anchor distT="0" distB="0" distL="114300" distR="114300" simplePos="0" relativeHeight="251663360" behindDoc="0" locked="0" layoutInCell="1" allowOverlap="1" wp14:anchorId="45ED48E8" wp14:editId="3B12B437">
          <wp:simplePos x="0" y="0"/>
          <wp:positionH relativeFrom="column">
            <wp:posOffset>-745490</wp:posOffset>
          </wp:positionH>
          <wp:positionV relativeFrom="paragraph">
            <wp:posOffset>-208280</wp:posOffset>
          </wp:positionV>
          <wp:extent cx="1679575" cy="616585"/>
          <wp:effectExtent l="0" t="0" r="0" b="0"/>
          <wp:wrapSquare wrapText="bothSides"/>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351A8A">
    <w:pPr>
      <w:pStyle w:val="Hlavika"/>
      <w:tabs>
        <w:tab w:val="clear" w:pos="4320"/>
        <w:tab w:val="clear" w:pos="8640"/>
        <w:tab w:val="left" w:pos="5520"/>
      </w:tabs>
      <w:ind w:left="-1276"/>
    </w:pPr>
    <w:r>
      <w:rPr>
        <w:noProof/>
        <w:lang w:eastAsia="sk-SK"/>
      </w:rPr>
      <w:drawing>
        <wp:anchor distT="0" distB="0" distL="114300" distR="114300" simplePos="0" relativeHeight="251664384" behindDoc="0" locked="0" layoutInCell="1" allowOverlap="1" wp14:anchorId="579863D7" wp14:editId="0C3B2259">
          <wp:simplePos x="0" y="0"/>
          <wp:positionH relativeFrom="column">
            <wp:posOffset>-164465</wp:posOffset>
          </wp:positionH>
          <wp:positionV relativeFrom="paragraph">
            <wp:posOffset>-208280</wp:posOffset>
          </wp:positionV>
          <wp:extent cx="1679575" cy="616585"/>
          <wp:effectExtent l="0" t="0" r="0" b="0"/>
          <wp:wrapSquare wrapText="bothSides"/>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351A8A">
    <w:pPr>
      <w:pStyle w:val="Hlavika"/>
      <w:tabs>
        <w:tab w:val="clear" w:pos="4320"/>
        <w:tab w:val="clear" w:pos="8640"/>
        <w:tab w:val="left" w:pos="5520"/>
      </w:tabs>
      <w:ind w:left="-1276"/>
    </w:pPr>
    <w:r>
      <w:rPr>
        <w:noProof/>
        <w:lang w:eastAsia="sk-SK"/>
      </w:rPr>
      <w:drawing>
        <wp:anchor distT="0" distB="0" distL="114300" distR="114300" simplePos="0" relativeHeight="251665408" behindDoc="0" locked="0" layoutInCell="1" allowOverlap="1" wp14:anchorId="53A171BE" wp14:editId="739575D0">
          <wp:simplePos x="0" y="0"/>
          <wp:positionH relativeFrom="column">
            <wp:posOffset>-745490</wp:posOffset>
          </wp:positionH>
          <wp:positionV relativeFrom="paragraph">
            <wp:posOffset>-208280</wp:posOffset>
          </wp:positionV>
          <wp:extent cx="1679575" cy="616585"/>
          <wp:effectExtent l="0" t="0" r="0" b="0"/>
          <wp:wrapSquare wrapText="bothSides"/>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B7" w:rsidRDefault="005424B7" w:rsidP="00351A8A">
    <w:pPr>
      <w:pStyle w:val="Hlavika"/>
      <w:tabs>
        <w:tab w:val="clear" w:pos="4320"/>
        <w:tab w:val="clear" w:pos="8640"/>
        <w:tab w:val="left" w:pos="5520"/>
        <w:tab w:val="left" w:pos="6450"/>
      </w:tabs>
      <w:ind w:left="-567" w:firstLine="567"/>
    </w:pPr>
    <w:r>
      <w:rPr>
        <w:noProof/>
        <w:lang w:eastAsia="sk-SK"/>
      </w:rPr>
      <w:drawing>
        <wp:anchor distT="0" distB="0" distL="114300" distR="114300" simplePos="0" relativeHeight="251666432" behindDoc="0" locked="0" layoutInCell="1" allowOverlap="1" wp14:anchorId="47D5AD10" wp14:editId="6B5D2C6E">
          <wp:simplePos x="0" y="0"/>
          <wp:positionH relativeFrom="column">
            <wp:posOffset>-171332</wp:posOffset>
          </wp:positionH>
          <wp:positionV relativeFrom="paragraph">
            <wp:posOffset>-208280</wp:posOffset>
          </wp:positionV>
          <wp:extent cx="1679575" cy="616585"/>
          <wp:effectExtent l="0" t="0" r="0" b="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_bezNazvu_CB.gif"/>
                  <pic:cNvPicPr/>
                </pic:nvPicPr>
                <pic:blipFill>
                  <a:blip r:embed="rId1">
                    <a:extLst>
                      <a:ext uri="{28A0092B-C50C-407E-A947-70E740481C1C}">
                        <a14:useLocalDpi xmlns:a14="http://schemas.microsoft.com/office/drawing/2010/main" val="0"/>
                      </a:ext>
                    </a:extLst>
                  </a:blip>
                  <a:stretch>
                    <a:fillRect/>
                  </a:stretch>
                </pic:blipFill>
                <pic:spPr>
                  <a:xfrm>
                    <a:off x="0" y="0"/>
                    <a:ext cx="1679575" cy="61658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325"/>
    <w:multiLevelType w:val="multilevel"/>
    <w:tmpl w:val="D98A3056"/>
    <w:lvl w:ilvl="0">
      <w:start w:val="5"/>
      <w:numFmt w:val="decimal"/>
      <w:lvlText w:val="%1"/>
      <w:lvlJc w:val="left"/>
      <w:pPr>
        <w:ind w:left="495" w:hanging="495"/>
      </w:pPr>
      <w:rPr>
        <w:rFonts w:asciiTheme="majorHAnsi" w:eastAsia="MS Mincho" w:hAnsiTheme="majorHAnsi" w:cs="Times New Roman" w:hint="default"/>
        <w:color w:val="0000FF" w:themeColor="hyperlink"/>
        <w:sz w:val="24"/>
        <w:u w:val="single"/>
      </w:rPr>
    </w:lvl>
    <w:lvl w:ilvl="1">
      <w:start w:val="2"/>
      <w:numFmt w:val="decimal"/>
      <w:lvlText w:val="%1.%2"/>
      <w:lvlJc w:val="left"/>
      <w:pPr>
        <w:ind w:left="735" w:hanging="495"/>
      </w:pPr>
      <w:rPr>
        <w:rFonts w:asciiTheme="majorHAnsi" w:eastAsia="MS Mincho" w:hAnsiTheme="majorHAnsi" w:cs="Times New Roman" w:hint="default"/>
        <w:color w:val="0000FF" w:themeColor="hyperlink"/>
        <w:sz w:val="24"/>
        <w:u w:val="single"/>
      </w:rPr>
    </w:lvl>
    <w:lvl w:ilvl="2">
      <w:start w:val="1"/>
      <w:numFmt w:val="decimal"/>
      <w:lvlText w:val="%1.%2.%3"/>
      <w:lvlJc w:val="left"/>
      <w:pPr>
        <w:ind w:left="1200" w:hanging="720"/>
      </w:pPr>
      <w:rPr>
        <w:rFonts w:asciiTheme="majorHAnsi" w:eastAsia="MS Mincho" w:hAnsiTheme="majorHAnsi" w:cs="Times New Roman" w:hint="default"/>
        <w:color w:val="auto"/>
        <w:sz w:val="20"/>
        <w:szCs w:val="20"/>
        <w:u w:val="none"/>
      </w:rPr>
    </w:lvl>
    <w:lvl w:ilvl="3">
      <w:start w:val="1"/>
      <w:numFmt w:val="decimal"/>
      <w:lvlText w:val="%1.%2.%3.%4"/>
      <w:lvlJc w:val="left"/>
      <w:pPr>
        <w:ind w:left="1800" w:hanging="1080"/>
      </w:pPr>
      <w:rPr>
        <w:rFonts w:asciiTheme="majorHAnsi" w:eastAsia="MS Mincho" w:hAnsiTheme="majorHAnsi" w:cs="Times New Roman" w:hint="default"/>
        <w:color w:val="0000FF" w:themeColor="hyperlink"/>
        <w:sz w:val="24"/>
        <w:u w:val="single"/>
      </w:rPr>
    </w:lvl>
    <w:lvl w:ilvl="4">
      <w:start w:val="1"/>
      <w:numFmt w:val="decimal"/>
      <w:lvlText w:val="%1.%2.%3.%4.%5"/>
      <w:lvlJc w:val="left"/>
      <w:pPr>
        <w:ind w:left="2040" w:hanging="1080"/>
      </w:pPr>
      <w:rPr>
        <w:rFonts w:asciiTheme="majorHAnsi" w:eastAsia="MS Mincho" w:hAnsiTheme="majorHAnsi" w:cs="Times New Roman" w:hint="default"/>
        <w:color w:val="0000FF" w:themeColor="hyperlink"/>
        <w:sz w:val="24"/>
        <w:u w:val="single"/>
      </w:rPr>
    </w:lvl>
    <w:lvl w:ilvl="5">
      <w:start w:val="1"/>
      <w:numFmt w:val="decimal"/>
      <w:lvlText w:val="%1.%2.%3.%4.%5.%6"/>
      <w:lvlJc w:val="left"/>
      <w:pPr>
        <w:ind w:left="2640" w:hanging="1440"/>
      </w:pPr>
      <w:rPr>
        <w:rFonts w:asciiTheme="majorHAnsi" w:eastAsia="MS Mincho" w:hAnsiTheme="majorHAnsi" w:cs="Times New Roman" w:hint="default"/>
        <w:color w:val="0000FF" w:themeColor="hyperlink"/>
        <w:sz w:val="24"/>
        <w:u w:val="single"/>
      </w:rPr>
    </w:lvl>
    <w:lvl w:ilvl="6">
      <w:start w:val="1"/>
      <w:numFmt w:val="decimal"/>
      <w:lvlText w:val="%1.%2.%3.%4.%5.%6.%7"/>
      <w:lvlJc w:val="left"/>
      <w:pPr>
        <w:ind w:left="2880" w:hanging="1440"/>
      </w:pPr>
      <w:rPr>
        <w:rFonts w:asciiTheme="majorHAnsi" w:eastAsia="MS Mincho" w:hAnsiTheme="majorHAnsi" w:cs="Times New Roman" w:hint="default"/>
        <w:color w:val="0000FF" w:themeColor="hyperlink"/>
        <w:sz w:val="24"/>
        <w:u w:val="single"/>
      </w:rPr>
    </w:lvl>
    <w:lvl w:ilvl="7">
      <w:start w:val="1"/>
      <w:numFmt w:val="decimal"/>
      <w:lvlText w:val="%1.%2.%3.%4.%5.%6.%7.%8"/>
      <w:lvlJc w:val="left"/>
      <w:pPr>
        <w:ind w:left="3480" w:hanging="1800"/>
      </w:pPr>
      <w:rPr>
        <w:rFonts w:asciiTheme="majorHAnsi" w:eastAsia="MS Mincho" w:hAnsiTheme="majorHAnsi" w:cs="Times New Roman" w:hint="default"/>
        <w:color w:val="0000FF" w:themeColor="hyperlink"/>
        <w:sz w:val="24"/>
        <w:u w:val="single"/>
      </w:rPr>
    </w:lvl>
    <w:lvl w:ilvl="8">
      <w:start w:val="1"/>
      <w:numFmt w:val="decimal"/>
      <w:lvlText w:val="%1.%2.%3.%4.%5.%6.%7.%8.%9"/>
      <w:lvlJc w:val="left"/>
      <w:pPr>
        <w:ind w:left="4080" w:hanging="2160"/>
      </w:pPr>
      <w:rPr>
        <w:rFonts w:asciiTheme="majorHAnsi" w:eastAsia="MS Mincho" w:hAnsiTheme="majorHAnsi" w:cs="Times New Roman" w:hint="default"/>
        <w:color w:val="0000FF" w:themeColor="hyperlink"/>
        <w:sz w:val="24"/>
        <w:u w:val="single"/>
      </w:rPr>
    </w:lvl>
  </w:abstractNum>
  <w:abstractNum w:abstractNumId="1">
    <w:nsid w:val="010842BC"/>
    <w:multiLevelType w:val="hybridMultilevel"/>
    <w:tmpl w:val="BFCC9CBA"/>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1DC060C"/>
    <w:multiLevelType w:val="hybridMultilevel"/>
    <w:tmpl w:val="4094D5A4"/>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2A80BAD"/>
    <w:multiLevelType w:val="hybridMultilevel"/>
    <w:tmpl w:val="2E282184"/>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8E035E2"/>
    <w:multiLevelType w:val="multilevel"/>
    <w:tmpl w:val="DD96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A01ED"/>
    <w:multiLevelType w:val="multilevel"/>
    <w:tmpl w:val="8252FF2C"/>
    <w:lvl w:ilvl="0">
      <w:start w:val="5"/>
      <w:numFmt w:val="decimal"/>
      <w:lvlText w:val="%1"/>
      <w:lvlJc w:val="left"/>
      <w:pPr>
        <w:ind w:left="1851" w:hanging="432"/>
      </w:pPr>
      <w:rPr>
        <w:rFonts w:hint="default"/>
      </w:rPr>
    </w:lvl>
    <w:lvl w:ilvl="1">
      <w:start w:val="5"/>
      <w:numFmt w:val="decimal"/>
      <w:lvlText w:val="%1.%2"/>
      <w:lvlJc w:val="left"/>
      <w:pPr>
        <w:ind w:left="57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F235D1B"/>
    <w:multiLevelType w:val="multilevel"/>
    <w:tmpl w:val="1EE0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D46856"/>
    <w:multiLevelType w:val="hybridMultilevel"/>
    <w:tmpl w:val="F56013A6"/>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0430324"/>
    <w:multiLevelType w:val="multilevel"/>
    <w:tmpl w:val="6F3A9238"/>
    <w:lvl w:ilvl="0">
      <w:start w:val="5"/>
      <w:numFmt w:val="decimal"/>
      <w:lvlText w:val="%1"/>
      <w:lvlJc w:val="left"/>
      <w:pPr>
        <w:ind w:left="600" w:hanging="600"/>
      </w:pPr>
    </w:lvl>
    <w:lvl w:ilvl="1">
      <w:start w:val="2"/>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13B831FE"/>
    <w:multiLevelType w:val="multilevel"/>
    <w:tmpl w:val="276E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A4F4E"/>
    <w:multiLevelType w:val="multilevel"/>
    <w:tmpl w:val="72E677AA"/>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7136BEA"/>
    <w:multiLevelType w:val="hybridMultilevel"/>
    <w:tmpl w:val="623CFD8E"/>
    <w:lvl w:ilvl="0" w:tplc="B6BA92DC">
      <w:start w:val="1"/>
      <w:numFmt w:val="decimal"/>
      <w:lvlText w:val="(%1)"/>
      <w:lvlJc w:val="left"/>
      <w:pPr>
        <w:ind w:left="1017" w:hanging="720"/>
      </w:pPr>
      <w:rPr>
        <w:rFonts w:ascii="Calibri" w:eastAsia="Calibri" w:hAnsi="Calibri" w:hint="default"/>
        <w:spacing w:val="-1"/>
        <w:w w:val="100"/>
        <w:sz w:val="24"/>
        <w:szCs w:val="24"/>
      </w:rPr>
    </w:lvl>
    <w:lvl w:ilvl="1" w:tplc="99CC8E08">
      <w:start w:val="1"/>
      <w:numFmt w:val="lowerLetter"/>
      <w:lvlText w:val="%2)"/>
      <w:lvlJc w:val="left"/>
      <w:pPr>
        <w:ind w:left="2294" w:hanging="569"/>
      </w:pPr>
      <w:rPr>
        <w:rFonts w:ascii="Calibri" w:eastAsia="Calibri" w:hAnsi="Calibri" w:hint="default"/>
        <w:w w:val="100"/>
        <w:sz w:val="24"/>
        <w:szCs w:val="24"/>
      </w:rPr>
    </w:lvl>
    <w:lvl w:ilvl="2" w:tplc="5030A11C">
      <w:start w:val="1"/>
      <w:numFmt w:val="bullet"/>
      <w:lvlText w:val="•"/>
      <w:lvlJc w:val="left"/>
      <w:pPr>
        <w:ind w:left="3225" w:hanging="569"/>
      </w:pPr>
    </w:lvl>
    <w:lvl w:ilvl="3" w:tplc="30DCF594">
      <w:start w:val="1"/>
      <w:numFmt w:val="bullet"/>
      <w:lvlText w:val="•"/>
      <w:lvlJc w:val="left"/>
      <w:pPr>
        <w:ind w:left="4150" w:hanging="569"/>
      </w:pPr>
    </w:lvl>
    <w:lvl w:ilvl="4" w:tplc="D8F86018">
      <w:start w:val="1"/>
      <w:numFmt w:val="bullet"/>
      <w:lvlText w:val="•"/>
      <w:lvlJc w:val="left"/>
      <w:pPr>
        <w:ind w:left="5075" w:hanging="569"/>
      </w:pPr>
    </w:lvl>
    <w:lvl w:ilvl="5" w:tplc="0824B636">
      <w:start w:val="1"/>
      <w:numFmt w:val="bullet"/>
      <w:lvlText w:val="•"/>
      <w:lvlJc w:val="left"/>
      <w:pPr>
        <w:ind w:left="6000" w:hanging="569"/>
      </w:pPr>
    </w:lvl>
    <w:lvl w:ilvl="6" w:tplc="D7EAA382">
      <w:start w:val="1"/>
      <w:numFmt w:val="bullet"/>
      <w:lvlText w:val="•"/>
      <w:lvlJc w:val="left"/>
      <w:pPr>
        <w:ind w:left="6925" w:hanging="569"/>
      </w:pPr>
    </w:lvl>
    <w:lvl w:ilvl="7" w:tplc="28326230">
      <w:start w:val="1"/>
      <w:numFmt w:val="bullet"/>
      <w:lvlText w:val="•"/>
      <w:lvlJc w:val="left"/>
      <w:pPr>
        <w:ind w:left="7850" w:hanging="569"/>
      </w:pPr>
    </w:lvl>
    <w:lvl w:ilvl="8" w:tplc="27BE3220">
      <w:start w:val="1"/>
      <w:numFmt w:val="bullet"/>
      <w:lvlText w:val="•"/>
      <w:lvlJc w:val="left"/>
      <w:pPr>
        <w:ind w:left="8776" w:hanging="569"/>
      </w:pPr>
    </w:lvl>
  </w:abstractNum>
  <w:abstractNum w:abstractNumId="12">
    <w:nsid w:val="19435C4F"/>
    <w:multiLevelType w:val="multilevel"/>
    <w:tmpl w:val="1780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85181B"/>
    <w:multiLevelType w:val="multilevel"/>
    <w:tmpl w:val="CDC4596E"/>
    <w:lvl w:ilvl="0">
      <w:start w:val="3"/>
      <w:numFmt w:val="decimal"/>
      <w:lvlText w:val="%1."/>
      <w:lvlJc w:val="left"/>
      <w:pPr>
        <w:ind w:left="630" w:hanging="63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4">
    <w:nsid w:val="1AD3373C"/>
    <w:multiLevelType w:val="multilevel"/>
    <w:tmpl w:val="8C2CE0E2"/>
    <w:lvl w:ilvl="0">
      <w:start w:val="8"/>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nsid w:val="1AD46FE0"/>
    <w:multiLevelType w:val="hybridMultilevel"/>
    <w:tmpl w:val="A7ACD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1DBC59A6"/>
    <w:multiLevelType w:val="multilevel"/>
    <w:tmpl w:val="EC807226"/>
    <w:lvl w:ilvl="0">
      <w:start w:val="3"/>
      <w:numFmt w:val="decimal"/>
      <w:lvlText w:val="%1"/>
      <w:lvlJc w:val="left"/>
      <w:pPr>
        <w:ind w:left="570" w:hanging="57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7">
    <w:nsid w:val="1DD23719"/>
    <w:multiLevelType w:val="hybridMultilevel"/>
    <w:tmpl w:val="EB3AC9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DE91F8C"/>
    <w:multiLevelType w:val="hybridMultilevel"/>
    <w:tmpl w:val="412C93E6"/>
    <w:lvl w:ilvl="0" w:tplc="F7CE4C58">
      <w:start w:val="5"/>
      <w:numFmt w:val="decimal"/>
      <w:lvlText w:val="%1"/>
      <w:lvlJc w:val="left"/>
      <w:pPr>
        <w:ind w:left="2370" w:hanging="360"/>
      </w:pPr>
      <w:rPr>
        <w:rFonts w:ascii="Calibri" w:hAnsi="Calibri" w:hint="default"/>
        <w:b/>
        <w:i w:val="0"/>
        <w:sz w:val="2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1E0B3C42"/>
    <w:multiLevelType w:val="multilevel"/>
    <w:tmpl w:val="078E3D7A"/>
    <w:lvl w:ilvl="0">
      <w:start w:val="3"/>
      <w:numFmt w:val="decimal"/>
      <w:lvlText w:val="%1."/>
      <w:lvlJc w:val="left"/>
      <w:pPr>
        <w:ind w:left="720"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EA44261"/>
    <w:multiLevelType w:val="hybridMultilevel"/>
    <w:tmpl w:val="12ACD5A0"/>
    <w:lvl w:ilvl="0" w:tplc="E4483E9E">
      <w:start w:val="1"/>
      <w:numFmt w:val="lowerLetter"/>
      <w:lvlText w:val="%1)"/>
      <w:lvlJc w:val="left"/>
      <w:pPr>
        <w:ind w:left="720" w:hanging="360"/>
      </w:pPr>
      <w:rPr>
        <w:rFonts w:cs="Times New Roman"/>
        <w:b/>
        <w:i w:val="0"/>
        <w:color w:val="auto"/>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21">
    <w:nsid w:val="1EAC6941"/>
    <w:multiLevelType w:val="multilevel"/>
    <w:tmpl w:val="C4B011B8"/>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1E80C24"/>
    <w:multiLevelType w:val="multilevel"/>
    <w:tmpl w:val="8988CAA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1FC0BC5"/>
    <w:multiLevelType w:val="multilevel"/>
    <w:tmpl w:val="8EE8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BA3EE0"/>
    <w:multiLevelType w:val="hybridMultilevel"/>
    <w:tmpl w:val="570E372C"/>
    <w:lvl w:ilvl="0" w:tplc="0A0CC67E">
      <w:start w:val="1"/>
      <w:numFmt w:val="lowerLetter"/>
      <w:lvlText w:val="%1)"/>
      <w:lvlJc w:val="left"/>
      <w:pPr>
        <w:ind w:left="720" w:hanging="36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28243434"/>
    <w:multiLevelType w:val="hybridMultilevel"/>
    <w:tmpl w:val="5D6A3CFE"/>
    <w:lvl w:ilvl="0" w:tplc="3FE236D8">
      <w:start w:val="5"/>
      <w:numFmt w:val="bullet"/>
      <w:lvlText w:val="-"/>
      <w:lvlJc w:val="left"/>
      <w:pPr>
        <w:ind w:left="720" w:hanging="360"/>
      </w:pPr>
      <w:rPr>
        <w:rFonts w:ascii="Times New Roman" w:eastAsia="MS Mincho"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28DB0C32"/>
    <w:multiLevelType w:val="hybridMultilevel"/>
    <w:tmpl w:val="221C12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2A28766C"/>
    <w:multiLevelType w:val="multilevel"/>
    <w:tmpl w:val="D62C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7172A2"/>
    <w:multiLevelType w:val="hybridMultilevel"/>
    <w:tmpl w:val="F95840C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9">
    <w:nsid w:val="2C5C0864"/>
    <w:multiLevelType w:val="hybridMultilevel"/>
    <w:tmpl w:val="34AAD374"/>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2FDB2DD4"/>
    <w:multiLevelType w:val="multilevel"/>
    <w:tmpl w:val="CE0C3D9E"/>
    <w:lvl w:ilvl="0">
      <w:start w:val="5"/>
      <w:numFmt w:val="decimal"/>
      <w:lvlText w:val="%1."/>
      <w:lvlJc w:val="left"/>
      <w:pPr>
        <w:ind w:left="675" w:hanging="675"/>
      </w:pPr>
      <w:rPr>
        <w:rFonts w:hint="default"/>
      </w:rPr>
    </w:lvl>
    <w:lvl w:ilvl="1">
      <w:start w:val="2"/>
      <w:numFmt w:val="decimal"/>
      <w:lvlText w:val="%1.%2."/>
      <w:lvlJc w:val="left"/>
      <w:pPr>
        <w:ind w:left="791"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657" w:hanging="2160"/>
      </w:pPr>
      <w:rPr>
        <w:rFonts w:hint="default"/>
      </w:rPr>
    </w:lvl>
    <w:lvl w:ilvl="8">
      <w:start w:val="1"/>
      <w:numFmt w:val="decimal"/>
      <w:lvlText w:val="%1.%2.%3.%4.%5.%6.%7.%8.%9."/>
      <w:lvlJc w:val="left"/>
      <w:pPr>
        <w:ind w:left="2728" w:hanging="2160"/>
      </w:pPr>
      <w:rPr>
        <w:rFonts w:hint="default"/>
      </w:rPr>
    </w:lvl>
  </w:abstractNum>
  <w:abstractNum w:abstractNumId="31">
    <w:nsid w:val="303E682D"/>
    <w:multiLevelType w:val="hybridMultilevel"/>
    <w:tmpl w:val="C1B6EB28"/>
    <w:lvl w:ilvl="0" w:tplc="B172F9C8">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31251A8B"/>
    <w:multiLevelType w:val="hybridMultilevel"/>
    <w:tmpl w:val="F5A8C9CA"/>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31DC6EF4"/>
    <w:multiLevelType w:val="hybridMultilevel"/>
    <w:tmpl w:val="B4EC60AE"/>
    <w:lvl w:ilvl="0" w:tplc="B6BA92DC">
      <w:start w:val="1"/>
      <w:numFmt w:val="decimal"/>
      <w:lvlText w:val="(%1)"/>
      <w:lvlJc w:val="left"/>
      <w:pPr>
        <w:ind w:left="1017" w:hanging="720"/>
      </w:pPr>
      <w:rPr>
        <w:rFonts w:ascii="Calibri" w:eastAsia="Calibri" w:hAnsi="Calibri" w:hint="default"/>
        <w:spacing w:val="-1"/>
        <w:w w:val="100"/>
        <w:sz w:val="24"/>
        <w:szCs w:val="24"/>
      </w:rPr>
    </w:lvl>
    <w:lvl w:ilvl="1" w:tplc="041B0017">
      <w:start w:val="1"/>
      <w:numFmt w:val="lowerLetter"/>
      <w:lvlText w:val="%2)"/>
      <w:lvlJc w:val="left"/>
      <w:pPr>
        <w:ind w:left="2294" w:hanging="569"/>
      </w:pPr>
      <w:rPr>
        <w:w w:val="100"/>
        <w:sz w:val="24"/>
        <w:szCs w:val="24"/>
      </w:rPr>
    </w:lvl>
    <w:lvl w:ilvl="2" w:tplc="5030A11C">
      <w:start w:val="1"/>
      <w:numFmt w:val="bullet"/>
      <w:lvlText w:val="•"/>
      <w:lvlJc w:val="left"/>
      <w:pPr>
        <w:ind w:left="3225" w:hanging="569"/>
      </w:pPr>
    </w:lvl>
    <w:lvl w:ilvl="3" w:tplc="30DCF594">
      <w:start w:val="1"/>
      <w:numFmt w:val="bullet"/>
      <w:lvlText w:val="•"/>
      <w:lvlJc w:val="left"/>
      <w:pPr>
        <w:ind w:left="4150" w:hanging="569"/>
      </w:pPr>
    </w:lvl>
    <w:lvl w:ilvl="4" w:tplc="D8F86018">
      <w:start w:val="1"/>
      <w:numFmt w:val="bullet"/>
      <w:lvlText w:val="•"/>
      <w:lvlJc w:val="left"/>
      <w:pPr>
        <w:ind w:left="5075" w:hanging="569"/>
      </w:pPr>
    </w:lvl>
    <w:lvl w:ilvl="5" w:tplc="0824B636">
      <w:start w:val="1"/>
      <w:numFmt w:val="bullet"/>
      <w:lvlText w:val="•"/>
      <w:lvlJc w:val="left"/>
      <w:pPr>
        <w:ind w:left="6000" w:hanging="569"/>
      </w:pPr>
    </w:lvl>
    <w:lvl w:ilvl="6" w:tplc="D7EAA382">
      <w:start w:val="1"/>
      <w:numFmt w:val="bullet"/>
      <w:lvlText w:val="•"/>
      <w:lvlJc w:val="left"/>
      <w:pPr>
        <w:ind w:left="6925" w:hanging="569"/>
      </w:pPr>
    </w:lvl>
    <w:lvl w:ilvl="7" w:tplc="28326230">
      <w:start w:val="1"/>
      <w:numFmt w:val="bullet"/>
      <w:lvlText w:val="•"/>
      <w:lvlJc w:val="left"/>
      <w:pPr>
        <w:ind w:left="7850" w:hanging="569"/>
      </w:pPr>
    </w:lvl>
    <w:lvl w:ilvl="8" w:tplc="27BE3220">
      <w:start w:val="1"/>
      <w:numFmt w:val="bullet"/>
      <w:lvlText w:val="•"/>
      <w:lvlJc w:val="left"/>
      <w:pPr>
        <w:ind w:left="8776" w:hanging="569"/>
      </w:pPr>
    </w:lvl>
  </w:abstractNum>
  <w:abstractNum w:abstractNumId="34">
    <w:nsid w:val="399D77A6"/>
    <w:multiLevelType w:val="hybridMultilevel"/>
    <w:tmpl w:val="BCB29B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3B6A23A3"/>
    <w:multiLevelType w:val="hybridMultilevel"/>
    <w:tmpl w:val="3AE611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3CF82E45"/>
    <w:multiLevelType w:val="multilevel"/>
    <w:tmpl w:val="7B4458D4"/>
    <w:lvl w:ilvl="0">
      <w:start w:val="1"/>
      <w:numFmt w:val="decimal"/>
      <w:pStyle w:val="Nadpis1"/>
      <w:lvlText w:val="%1."/>
      <w:lvlJc w:val="left"/>
      <w:pPr>
        <w:ind w:left="720" w:hanging="360"/>
      </w:pPr>
      <w:rPr>
        <w:rFonts w:cs="Times New Roman"/>
        <w:sz w:val="26"/>
      </w:rPr>
    </w:lvl>
    <w:lvl w:ilvl="1">
      <w:start w:val="1"/>
      <w:numFmt w:val="decimal"/>
      <w:pStyle w:val="Nadpis2"/>
      <w:lvlText w:val="%1.%2"/>
      <w:lvlJc w:val="left"/>
      <w:pPr>
        <w:ind w:left="720" w:hanging="360"/>
      </w:pPr>
      <w:rPr>
        <w:b/>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nsid w:val="3CFA1355"/>
    <w:multiLevelType w:val="hybridMultilevel"/>
    <w:tmpl w:val="D18EC19C"/>
    <w:lvl w:ilvl="0" w:tplc="19C4F3B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8">
    <w:nsid w:val="3D896491"/>
    <w:multiLevelType w:val="hybridMultilevel"/>
    <w:tmpl w:val="A8CAEDF2"/>
    <w:lvl w:ilvl="0" w:tplc="6268CD82">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40524221"/>
    <w:multiLevelType w:val="hybridMultilevel"/>
    <w:tmpl w:val="742AFFC2"/>
    <w:lvl w:ilvl="0" w:tplc="1C52FF62">
      <w:start w:val="3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40C32F0F"/>
    <w:multiLevelType w:val="hybridMultilevel"/>
    <w:tmpl w:val="CD3E4F54"/>
    <w:lvl w:ilvl="0" w:tplc="041B0001">
      <w:start w:val="1"/>
      <w:numFmt w:val="bullet"/>
      <w:lvlText w:val=""/>
      <w:lvlJc w:val="left"/>
      <w:pPr>
        <w:ind w:left="890" w:hanging="360"/>
      </w:pPr>
      <w:rPr>
        <w:rFonts w:ascii="Symbol" w:hAnsi="Symbol" w:hint="default"/>
      </w:rPr>
    </w:lvl>
    <w:lvl w:ilvl="1" w:tplc="041B0003" w:tentative="1">
      <w:start w:val="1"/>
      <w:numFmt w:val="bullet"/>
      <w:lvlText w:val="o"/>
      <w:lvlJc w:val="left"/>
      <w:pPr>
        <w:ind w:left="1610" w:hanging="360"/>
      </w:pPr>
      <w:rPr>
        <w:rFonts w:ascii="Courier New" w:hAnsi="Courier New" w:cs="Courier New" w:hint="default"/>
      </w:rPr>
    </w:lvl>
    <w:lvl w:ilvl="2" w:tplc="041B0005" w:tentative="1">
      <w:start w:val="1"/>
      <w:numFmt w:val="bullet"/>
      <w:lvlText w:val=""/>
      <w:lvlJc w:val="left"/>
      <w:pPr>
        <w:ind w:left="2330" w:hanging="360"/>
      </w:pPr>
      <w:rPr>
        <w:rFonts w:ascii="Wingdings" w:hAnsi="Wingdings" w:hint="default"/>
      </w:rPr>
    </w:lvl>
    <w:lvl w:ilvl="3" w:tplc="041B0001" w:tentative="1">
      <w:start w:val="1"/>
      <w:numFmt w:val="bullet"/>
      <w:lvlText w:val=""/>
      <w:lvlJc w:val="left"/>
      <w:pPr>
        <w:ind w:left="3050" w:hanging="360"/>
      </w:pPr>
      <w:rPr>
        <w:rFonts w:ascii="Symbol" w:hAnsi="Symbol" w:hint="default"/>
      </w:rPr>
    </w:lvl>
    <w:lvl w:ilvl="4" w:tplc="041B0003" w:tentative="1">
      <w:start w:val="1"/>
      <w:numFmt w:val="bullet"/>
      <w:lvlText w:val="o"/>
      <w:lvlJc w:val="left"/>
      <w:pPr>
        <w:ind w:left="3770" w:hanging="360"/>
      </w:pPr>
      <w:rPr>
        <w:rFonts w:ascii="Courier New" w:hAnsi="Courier New" w:cs="Courier New" w:hint="default"/>
      </w:rPr>
    </w:lvl>
    <w:lvl w:ilvl="5" w:tplc="041B0005" w:tentative="1">
      <w:start w:val="1"/>
      <w:numFmt w:val="bullet"/>
      <w:lvlText w:val=""/>
      <w:lvlJc w:val="left"/>
      <w:pPr>
        <w:ind w:left="4490" w:hanging="360"/>
      </w:pPr>
      <w:rPr>
        <w:rFonts w:ascii="Wingdings" w:hAnsi="Wingdings" w:hint="default"/>
      </w:rPr>
    </w:lvl>
    <w:lvl w:ilvl="6" w:tplc="041B0001" w:tentative="1">
      <w:start w:val="1"/>
      <w:numFmt w:val="bullet"/>
      <w:lvlText w:val=""/>
      <w:lvlJc w:val="left"/>
      <w:pPr>
        <w:ind w:left="5210" w:hanging="360"/>
      </w:pPr>
      <w:rPr>
        <w:rFonts w:ascii="Symbol" w:hAnsi="Symbol" w:hint="default"/>
      </w:rPr>
    </w:lvl>
    <w:lvl w:ilvl="7" w:tplc="041B0003" w:tentative="1">
      <w:start w:val="1"/>
      <w:numFmt w:val="bullet"/>
      <w:lvlText w:val="o"/>
      <w:lvlJc w:val="left"/>
      <w:pPr>
        <w:ind w:left="5930" w:hanging="360"/>
      </w:pPr>
      <w:rPr>
        <w:rFonts w:ascii="Courier New" w:hAnsi="Courier New" w:cs="Courier New" w:hint="default"/>
      </w:rPr>
    </w:lvl>
    <w:lvl w:ilvl="8" w:tplc="041B0005" w:tentative="1">
      <w:start w:val="1"/>
      <w:numFmt w:val="bullet"/>
      <w:lvlText w:val=""/>
      <w:lvlJc w:val="left"/>
      <w:pPr>
        <w:ind w:left="6650" w:hanging="360"/>
      </w:pPr>
      <w:rPr>
        <w:rFonts w:ascii="Wingdings" w:hAnsi="Wingdings" w:hint="default"/>
      </w:rPr>
    </w:lvl>
  </w:abstractNum>
  <w:abstractNum w:abstractNumId="41">
    <w:nsid w:val="4114695D"/>
    <w:multiLevelType w:val="hybridMultilevel"/>
    <w:tmpl w:val="32BA896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457423C1"/>
    <w:multiLevelType w:val="hybridMultilevel"/>
    <w:tmpl w:val="DD14ED00"/>
    <w:lvl w:ilvl="0" w:tplc="C3F070DA">
      <w:start w:val="1"/>
      <w:numFmt w:val="decimal"/>
      <w:lvlText w:val="(%1)"/>
      <w:lvlJc w:val="left"/>
      <w:pPr>
        <w:ind w:left="1017" w:hanging="708"/>
      </w:pPr>
      <w:rPr>
        <w:rFonts w:ascii="Calibri" w:eastAsia="Calibri" w:hAnsi="Calibri" w:hint="default"/>
        <w:color w:val="1F221E"/>
        <w:spacing w:val="-1"/>
        <w:w w:val="100"/>
        <w:sz w:val="24"/>
        <w:szCs w:val="24"/>
      </w:rPr>
    </w:lvl>
    <w:lvl w:ilvl="1" w:tplc="C400CD28">
      <w:start w:val="1"/>
      <w:numFmt w:val="lowerLetter"/>
      <w:lvlText w:val="%2)"/>
      <w:lvlJc w:val="left"/>
      <w:pPr>
        <w:ind w:left="2294" w:hanging="569"/>
      </w:pPr>
      <w:rPr>
        <w:rFonts w:ascii="Calibri" w:eastAsia="Calibri" w:hAnsi="Calibri" w:hint="default"/>
        <w:color w:val="1F221E"/>
        <w:spacing w:val="-1"/>
        <w:w w:val="100"/>
        <w:sz w:val="22"/>
        <w:szCs w:val="22"/>
      </w:rPr>
    </w:lvl>
    <w:lvl w:ilvl="2" w:tplc="2488FB8E">
      <w:start w:val="1"/>
      <w:numFmt w:val="bullet"/>
      <w:lvlText w:val="•"/>
      <w:lvlJc w:val="left"/>
      <w:pPr>
        <w:ind w:left="3225" w:hanging="569"/>
      </w:pPr>
    </w:lvl>
    <w:lvl w:ilvl="3" w:tplc="20DE2A32">
      <w:start w:val="1"/>
      <w:numFmt w:val="bullet"/>
      <w:lvlText w:val="•"/>
      <w:lvlJc w:val="left"/>
      <w:pPr>
        <w:ind w:left="4150" w:hanging="569"/>
      </w:pPr>
    </w:lvl>
    <w:lvl w:ilvl="4" w:tplc="12324CFA">
      <w:start w:val="1"/>
      <w:numFmt w:val="bullet"/>
      <w:lvlText w:val="•"/>
      <w:lvlJc w:val="left"/>
      <w:pPr>
        <w:ind w:left="5075" w:hanging="569"/>
      </w:pPr>
    </w:lvl>
    <w:lvl w:ilvl="5" w:tplc="939C54BA">
      <w:start w:val="1"/>
      <w:numFmt w:val="bullet"/>
      <w:lvlText w:val="•"/>
      <w:lvlJc w:val="left"/>
      <w:pPr>
        <w:ind w:left="6000" w:hanging="569"/>
      </w:pPr>
    </w:lvl>
    <w:lvl w:ilvl="6" w:tplc="E7A676D6">
      <w:start w:val="1"/>
      <w:numFmt w:val="bullet"/>
      <w:lvlText w:val="•"/>
      <w:lvlJc w:val="left"/>
      <w:pPr>
        <w:ind w:left="6925" w:hanging="569"/>
      </w:pPr>
    </w:lvl>
    <w:lvl w:ilvl="7" w:tplc="94121BB8">
      <w:start w:val="1"/>
      <w:numFmt w:val="bullet"/>
      <w:lvlText w:val="•"/>
      <w:lvlJc w:val="left"/>
      <w:pPr>
        <w:ind w:left="7850" w:hanging="569"/>
      </w:pPr>
    </w:lvl>
    <w:lvl w:ilvl="8" w:tplc="AEAA2156">
      <w:start w:val="1"/>
      <w:numFmt w:val="bullet"/>
      <w:lvlText w:val="•"/>
      <w:lvlJc w:val="left"/>
      <w:pPr>
        <w:ind w:left="8776" w:hanging="569"/>
      </w:pPr>
    </w:lvl>
  </w:abstractNum>
  <w:abstractNum w:abstractNumId="43">
    <w:nsid w:val="469A4B5D"/>
    <w:multiLevelType w:val="multilevel"/>
    <w:tmpl w:val="C936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6E75296"/>
    <w:multiLevelType w:val="multilevel"/>
    <w:tmpl w:val="F2E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153EC7"/>
    <w:multiLevelType w:val="multilevel"/>
    <w:tmpl w:val="1664535E"/>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4ADA3F99"/>
    <w:multiLevelType w:val="multilevel"/>
    <w:tmpl w:val="ED0EF12E"/>
    <w:lvl w:ilvl="0">
      <w:start w:val="6"/>
      <w:numFmt w:val="decimal"/>
      <w:lvlText w:val="%1"/>
      <w:lvlJc w:val="left"/>
      <w:pPr>
        <w:ind w:left="720" w:hanging="360"/>
      </w:pPr>
      <w:rPr>
        <w:rFonts w:ascii="Calibri" w:hAnsi="Calibri" w:hint="default"/>
        <w:b/>
        <w:i w:val="0"/>
        <w:sz w:val="28"/>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4D992CBE"/>
    <w:multiLevelType w:val="hybridMultilevel"/>
    <w:tmpl w:val="5450DA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4F20517C"/>
    <w:multiLevelType w:val="multilevel"/>
    <w:tmpl w:val="A888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0EA761B"/>
    <w:multiLevelType w:val="multilevel"/>
    <w:tmpl w:val="96BA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1894DD0"/>
    <w:multiLevelType w:val="multilevel"/>
    <w:tmpl w:val="FA8EA946"/>
    <w:lvl w:ilvl="0">
      <w:start w:val="11"/>
      <w:numFmt w:val="decimal"/>
      <w:lvlText w:val="%1."/>
      <w:lvlJc w:val="left"/>
      <w:pPr>
        <w:ind w:left="555" w:hanging="55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55590E2F"/>
    <w:multiLevelType w:val="hybridMultilevel"/>
    <w:tmpl w:val="947E25EC"/>
    <w:lvl w:ilvl="0" w:tplc="041B0001">
      <w:start w:val="1"/>
      <w:numFmt w:val="bullet"/>
      <w:lvlText w:val=""/>
      <w:lvlJc w:val="left"/>
      <w:pPr>
        <w:ind w:left="890" w:hanging="360"/>
      </w:pPr>
      <w:rPr>
        <w:rFonts w:ascii="Symbol" w:hAnsi="Symbol" w:hint="default"/>
      </w:rPr>
    </w:lvl>
    <w:lvl w:ilvl="1" w:tplc="041B0003" w:tentative="1">
      <w:start w:val="1"/>
      <w:numFmt w:val="bullet"/>
      <w:lvlText w:val="o"/>
      <w:lvlJc w:val="left"/>
      <w:pPr>
        <w:ind w:left="1610" w:hanging="360"/>
      </w:pPr>
      <w:rPr>
        <w:rFonts w:ascii="Courier New" w:hAnsi="Courier New" w:cs="Courier New" w:hint="default"/>
      </w:rPr>
    </w:lvl>
    <w:lvl w:ilvl="2" w:tplc="041B0005" w:tentative="1">
      <w:start w:val="1"/>
      <w:numFmt w:val="bullet"/>
      <w:lvlText w:val=""/>
      <w:lvlJc w:val="left"/>
      <w:pPr>
        <w:ind w:left="2330" w:hanging="360"/>
      </w:pPr>
      <w:rPr>
        <w:rFonts w:ascii="Wingdings" w:hAnsi="Wingdings" w:hint="default"/>
      </w:rPr>
    </w:lvl>
    <w:lvl w:ilvl="3" w:tplc="041B0001" w:tentative="1">
      <w:start w:val="1"/>
      <w:numFmt w:val="bullet"/>
      <w:lvlText w:val=""/>
      <w:lvlJc w:val="left"/>
      <w:pPr>
        <w:ind w:left="3050" w:hanging="360"/>
      </w:pPr>
      <w:rPr>
        <w:rFonts w:ascii="Symbol" w:hAnsi="Symbol" w:hint="default"/>
      </w:rPr>
    </w:lvl>
    <w:lvl w:ilvl="4" w:tplc="041B0003" w:tentative="1">
      <w:start w:val="1"/>
      <w:numFmt w:val="bullet"/>
      <w:lvlText w:val="o"/>
      <w:lvlJc w:val="left"/>
      <w:pPr>
        <w:ind w:left="3770" w:hanging="360"/>
      </w:pPr>
      <w:rPr>
        <w:rFonts w:ascii="Courier New" w:hAnsi="Courier New" w:cs="Courier New" w:hint="default"/>
      </w:rPr>
    </w:lvl>
    <w:lvl w:ilvl="5" w:tplc="041B0005" w:tentative="1">
      <w:start w:val="1"/>
      <w:numFmt w:val="bullet"/>
      <w:lvlText w:val=""/>
      <w:lvlJc w:val="left"/>
      <w:pPr>
        <w:ind w:left="4490" w:hanging="360"/>
      </w:pPr>
      <w:rPr>
        <w:rFonts w:ascii="Wingdings" w:hAnsi="Wingdings" w:hint="default"/>
      </w:rPr>
    </w:lvl>
    <w:lvl w:ilvl="6" w:tplc="041B0001" w:tentative="1">
      <w:start w:val="1"/>
      <w:numFmt w:val="bullet"/>
      <w:lvlText w:val=""/>
      <w:lvlJc w:val="left"/>
      <w:pPr>
        <w:ind w:left="5210" w:hanging="360"/>
      </w:pPr>
      <w:rPr>
        <w:rFonts w:ascii="Symbol" w:hAnsi="Symbol" w:hint="default"/>
      </w:rPr>
    </w:lvl>
    <w:lvl w:ilvl="7" w:tplc="041B0003" w:tentative="1">
      <w:start w:val="1"/>
      <w:numFmt w:val="bullet"/>
      <w:lvlText w:val="o"/>
      <w:lvlJc w:val="left"/>
      <w:pPr>
        <w:ind w:left="5930" w:hanging="360"/>
      </w:pPr>
      <w:rPr>
        <w:rFonts w:ascii="Courier New" w:hAnsi="Courier New" w:cs="Courier New" w:hint="default"/>
      </w:rPr>
    </w:lvl>
    <w:lvl w:ilvl="8" w:tplc="041B0005" w:tentative="1">
      <w:start w:val="1"/>
      <w:numFmt w:val="bullet"/>
      <w:lvlText w:val=""/>
      <w:lvlJc w:val="left"/>
      <w:pPr>
        <w:ind w:left="6650" w:hanging="360"/>
      </w:pPr>
      <w:rPr>
        <w:rFonts w:ascii="Wingdings" w:hAnsi="Wingdings" w:hint="default"/>
      </w:rPr>
    </w:lvl>
  </w:abstractNum>
  <w:abstractNum w:abstractNumId="52">
    <w:nsid w:val="57FD3DEF"/>
    <w:multiLevelType w:val="hybridMultilevel"/>
    <w:tmpl w:val="910C0D9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3">
    <w:nsid w:val="584E01B1"/>
    <w:multiLevelType w:val="hybridMultilevel"/>
    <w:tmpl w:val="FEB28442"/>
    <w:lvl w:ilvl="0" w:tplc="76E0F9E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59D46A69"/>
    <w:multiLevelType w:val="multilevel"/>
    <w:tmpl w:val="3A54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D7E7958"/>
    <w:multiLevelType w:val="hybridMultilevel"/>
    <w:tmpl w:val="515CCA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nsid w:val="5D8B6E3D"/>
    <w:multiLevelType w:val="hybridMultilevel"/>
    <w:tmpl w:val="6590DACE"/>
    <w:lvl w:ilvl="0" w:tplc="76E0F9EC">
      <w:numFmt w:val="bullet"/>
      <w:lvlText w:val="-"/>
      <w:lvlJc w:val="left"/>
      <w:pPr>
        <w:ind w:left="502" w:hanging="360"/>
      </w:pPr>
      <w:rPr>
        <w:rFonts w:ascii="Calibri" w:eastAsia="Times New Roman" w:hAnsi="Calibri" w:hint="default"/>
      </w:rPr>
    </w:lvl>
    <w:lvl w:ilvl="1" w:tplc="041B0003">
      <w:start w:val="1"/>
      <w:numFmt w:val="decimal"/>
      <w:lvlText w:val="%2."/>
      <w:lvlJc w:val="left"/>
      <w:pPr>
        <w:tabs>
          <w:tab w:val="num" w:pos="1222"/>
        </w:tabs>
        <w:ind w:left="1222" w:hanging="360"/>
      </w:pPr>
      <w:rPr>
        <w:rFonts w:cs="Times New Roman"/>
      </w:rPr>
    </w:lvl>
    <w:lvl w:ilvl="2" w:tplc="041B0005">
      <w:start w:val="1"/>
      <w:numFmt w:val="decimal"/>
      <w:lvlText w:val="%3."/>
      <w:lvlJc w:val="left"/>
      <w:pPr>
        <w:tabs>
          <w:tab w:val="num" w:pos="1942"/>
        </w:tabs>
        <w:ind w:left="1942" w:hanging="360"/>
      </w:pPr>
      <w:rPr>
        <w:rFonts w:cs="Times New Roman"/>
      </w:rPr>
    </w:lvl>
    <w:lvl w:ilvl="3" w:tplc="041B0001">
      <w:start w:val="1"/>
      <w:numFmt w:val="decimal"/>
      <w:lvlText w:val="%4."/>
      <w:lvlJc w:val="left"/>
      <w:pPr>
        <w:tabs>
          <w:tab w:val="num" w:pos="2662"/>
        </w:tabs>
        <w:ind w:left="2662" w:hanging="360"/>
      </w:pPr>
      <w:rPr>
        <w:rFonts w:cs="Times New Roman"/>
      </w:rPr>
    </w:lvl>
    <w:lvl w:ilvl="4" w:tplc="041B0003">
      <w:start w:val="1"/>
      <w:numFmt w:val="decimal"/>
      <w:lvlText w:val="%5."/>
      <w:lvlJc w:val="left"/>
      <w:pPr>
        <w:tabs>
          <w:tab w:val="num" w:pos="3382"/>
        </w:tabs>
        <w:ind w:left="3382" w:hanging="360"/>
      </w:pPr>
      <w:rPr>
        <w:rFonts w:cs="Times New Roman"/>
      </w:rPr>
    </w:lvl>
    <w:lvl w:ilvl="5" w:tplc="041B0005">
      <w:start w:val="1"/>
      <w:numFmt w:val="decimal"/>
      <w:lvlText w:val="%6."/>
      <w:lvlJc w:val="left"/>
      <w:pPr>
        <w:tabs>
          <w:tab w:val="num" w:pos="4102"/>
        </w:tabs>
        <w:ind w:left="4102" w:hanging="360"/>
      </w:pPr>
      <w:rPr>
        <w:rFonts w:cs="Times New Roman"/>
      </w:rPr>
    </w:lvl>
    <w:lvl w:ilvl="6" w:tplc="041B0001">
      <w:start w:val="1"/>
      <w:numFmt w:val="decimal"/>
      <w:lvlText w:val="%7."/>
      <w:lvlJc w:val="left"/>
      <w:pPr>
        <w:tabs>
          <w:tab w:val="num" w:pos="4822"/>
        </w:tabs>
        <w:ind w:left="4822" w:hanging="360"/>
      </w:pPr>
      <w:rPr>
        <w:rFonts w:cs="Times New Roman"/>
      </w:rPr>
    </w:lvl>
    <w:lvl w:ilvl="7" w:tplc="041B0003">
      <w:start w:val="1"/>
      <w:numFmt w:val="decimal"/>
      <w:lvlText w:val="%8."/>
      <w:lvlJc w:val="left"/>
      <w:pPr>
        <w:tabs>
          <w:tab w:val="num" w:pos="5542"/>
        </w:tabs>
        <w:ind w:left="5542" w:hanging="360"/>
      </w:pPr>
      <w:rPr>
        <w:rFonts w:cs="Times New Roman"/>
      </w:rPr>
    </w:lvl>
    <w:lvl w:ilvl="8" w:tplc="041B0005">
      <w:start w:val="1"/>
      <w:numFmt w:val="decimal"/>
      <w:lvlText w:val="%9."/>
      <w:lvlJc w:val="left"/>
      <w:pPr>
        <w:tabs>
          <w:tab w:val="num" w:pos="6262"/>
        </w:tabs>
        <w:ind w:left="6262" w:hanging="360"/>
      </w:pPr>
      <w:rPr>
        <w:rFonts w:cs="Times New Roman"/>
      </w:rPr>
    </w:lvl>
  </w:abstractNum>
  <w:abstractNum w:abstractNumId="57">
    <w:nsid w:val="5D9C7901"/>
    <w:multiLevelType w:val="multilevel"/>
    <w:tmpl w:val="C0DE9120"/>
    <w:lvl w:ilvl="0">
      <w:start w:val="4"/>
      <w:numFmt w:val="decimal"/>
      <w:lvlText w:val="%1."/>
      <w:lvlJc w:val="left"/>
      <w:pPr>
        <w:ind w:left="420" w:hanging="4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8">
    <w:nsid w:val="5ED26339"/>
    <w:multiLevelType w:val="multilevel"/>
    <w:tmpl w:val="A6B6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F5F0971"/>
    <w:multiLevelType w:val="multilevel"/>
    <w:tmpl w:val="BDFE3A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0">
    <w:nsid w:val="604C0605"/>
    <w:multiLevelType w:val="hybridMultilevel"/>
    <w:tmpl w:val="849024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61606EB4"/>
    <w:multiLevelType w:val="multilevel"/>
    <w:tmpl w:val="91E4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36A2ECC"/>
    <w:multiLevelType w:val="multilevel"/>
    <w:tmpl w:val="F4BA460A"/>
    <w:lvl w:ilvl="0">
      <w:start w:val="12"/>
      <w:numFmt w:val="decimal"/>
      <w:lvlText w:val="%1."/>
      <w:lvlJc w:val="left"/>
      <w:pPr>
        <w:ind w:left="570" w:hanging="57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3">
    <w:nsid w:val="64F02655"/>
    <w:multiLevelType w:val="hybridMultilevel"/>
    <w:tmpl w:val="9C96BF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683B6B04"/>
    <w:multiLevelType w:val="multilevel"/>
    <w:tmpl w:val="845A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8B10D9E"/>
    <w:multiLevelType w:val="hybridMultilevel"/>
    <w:tmpl w:val="21BA4E6A"/>
    <w:lvl w:ilvl="0" w:tplc="86BC5686">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6AF50DC4"/>
    <w:multiLevelType w:val="multilevel"/>
    <w:tmpl w:val="852E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BAF7A26"/>
    <w:multiLevelType w:val="hybridMultilevel"/>
    <w:tmpl w:val="A49448C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8">
    <w:nsid w:val="6C1D6BC5"/>
    <w:multiLevelType w:val="hybridMultilevel"/>
    <w:tmpl w:val="10D87DD0"/>
    <w:lvl w:ilvl="0" w:tplc="B80648BE">
      <w:numFmt w:val="bullet"/>
      <w:lvlText w:val="-"/>
      <w:lvlJc w:val="left"/>
      <w:pPr>
        <w:ind w:left="1065" w:hanging="360"/>
      </w:pPr>
      <w:rPr>
        <w:rFonts w:ascii="Cambria" w:eastAsia="MS Mincho" w:hAnsi="Cambria" w:cs="Times New Roman" w:hint="default"/>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69">
    <w:nsid w:val="6C2927D4"/>
    <w:multiLevelType w:val="multilevel"/>
    <w:tmpl w:val="EF182FE8"/>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EF208BC"/>
    <w:multiLevelType w:val="hybridMultilevel"/>
    <w:tmpl w:val="0178ADF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1">
    <w:nsid w:val="6F0B436C"/>
    <w:multiLevelType w:val="hybridMultilevel"/>
    <w:tmpl w:val="76E6FA1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2">
    <w:nsid w:val="714816CF"/>
    <w:multiLevelType w:val="hybridMultilevel"/>
    <w:tmpl w:val="695423BC"/>
    <w:lvl w:ilvl="0" w:tplc="3DC89D84">
      <w:start w:val="1"/>
      <w:numFmt w:val="decimal"/>
      <w:lvlText w:val="(%1)"/>
      <w:lvlJc w:val="left"/>
      <w:pPr>
        <w:ind w:left="1017" w:hanging="720"/>
      </w:pPr>
      <w:rPr>
        <w:rFonts w:ascii="Calibri" w:eastAsia="Calibri" w:hAnsi="Calibri" w:hint="default"/>
        <w:spacing w:val="-1"/>
        <w:w w:val="100"/>
        <w:sz w:val="22"/>
        <w:szCs w:val="22"/>
      </w:rPr>
    </w:lvl>
    <w:lvl w:ilvl="1" w:tplc="8086F848">
      <w:start w:val="1"/>
      <w:numFmt w:val="lowerLetter"/>
      <w:lvlText w:val="%2)"/>
      <w:lvlJc w:val="left"/>
      <w:pPr>
        <w:ind w:left="2294" w:hanging="569"/>
      </w:pPr>
      <w:rPr>
        <w:rFonts w:ascii="Calibri" w:eastAsia="Calibri" w:hAnsi="Calibri" w:hint="default"/>
        <w:w w:val="100"/>
        <w:sz w:val="24"/>
        <w:szCs w:val="24"/>
      </w:rPr>
    </w:lvl>
    <w:lvl w:ilvl="2" w:tplc="69E4A8D0">
      <w:start w:val="1"/>
      <w:numFmt w:val="bullet"/>
      <w:lvlText w:val="•"/>
      <w:lvlJc w:val="left"/>
      <w:pPr>
        <w:ind w:left="3225" w:hanging="569"/>
      </w:pPr>
    </w:lvl>
    <w:lvl w:ilvl="3" w:tplc="AEF69504">
      <w:start w:val="1"/>
      <w:numFmt w:val="bullet"/>
      <w:lvlText w:val="•"/>
      <w:lvlJc w:val="left"/>
      <w:pPr>
        <w:ind w:left="4150" w:hanging="569"/>
      </w:pPr>
    </w:lvl>
    <w:lvl w:ilvl="4" w:tplc="608C5B48">
      <w:start w:val="1"/>
      <w:numFmt w:val="bullet"/>
      <w:lvlText w:val="•"/>
      <w:lvlJc w:val="left"/>
      <w:pPr>
        <w:ind w:left="5075" w:hanging="569"/>
      </w:pPr>
    </w:lvl>
    <w:lvl w:ilvl="5" w:tplc="42E4AC14">
      <w:start w:val="1"/>
      <w:numFmt w:val="bullet"/>
      <w:lvlText w:val="•"/>
      <w:lvlJc w:val="left"/>
      <w:pPr>
        <w:ind w:left="6000" w:hanging="569"/>
      </w:pPr>
    </w:lvl>
    <w:lvl w:ilvl="6" w:tplc="15D0113C">
      <w:start w:val="1"/>
      <w:numFmt w:val="bullet"/>
      <w:lvlText w:val="•"/>
      <w:lvlJc w:val="left"/>
      <w:pPr>
        <w:ind w:left="6925" w:hanging="569"/>
      </w:pPr>
    </w:lvl>
    <w:lvl w:ilvl="7" w:tplc="8A30E5CC">
      <w:start w:val="1"/>
      <w:numFmt w:val="bullet"/>
      <w:lvlText w:val="•"/>
      <w:lvlJc w:val="left"/>
      <w:pPr>
        <w:ind w:left="7850" w:hanging="569"/>
      </w:pPr>
    </w:lvl>
    <w:lvl w:ilvl="8" w:tplc="818C35A4">
      <w:start w:val="1"/>
      <w:numFmt w:val="bullet"/>
      <w:lvlText w:val="•"/>
      <w:lvlJc w:val="left"/>
      <w:pPr>
        <w:ind w:left="8776" w:hanging="569"/>
      </w:pPr>
    </w:lvl>
  </w:abstractNum>
  <w:abstractNum w:abstractNumId="73">
    <w:nsid w:val="71D30A06"/>
    <w:multiLevelType w:val="hybridMultilevel"/>
    <w:tmpl w:val="817AA6C6"/>
    <w:lvl w:ilvl="0" w:tplc="1C52FF62">
      <w:start w:val="3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745B26E6"/>
    <w:multiLevelType w:val="hybridMultilevel"/>
    <w:tmpl w:val="910C0D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74BC107B"/>
    <w:multiLevelType w:val="multilevel"/>
    <w:tmpl w:val="C652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59527B4"/>
    <w:multiLevelType w:val="multilevel"/>
    <w:tmpl w:val="AB6A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5DD6745"/>
    <w:multiLevelType w:val="multilevel"/>
    <w:tmpl w:val="0872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6D22C7C"/>
    <w:multiLevelType w:val="multilevel"/>
    <w:tmpl w:val="AD6E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C2F6181"/>
    <w:multiLevelType w:val="hybridMultilevel"/>
    <w:tmpl w:val="DC58AB6C"/>
    <w:lvl w:ilvl="0" w:tplc="D2A49B58">
      <w:start w:val="1"/>
      <w:numFmt w:val="lowerLetter"/>
      <w:lvlText w:val="%1)"/>
      <w:lvlJc w:val="left"/>
      <w:pPr>
        <w:ind w:left="780" w:hanging="360"/>
      </w:pPr>
      <w:rPr>
        <w:sz w:val="24"/>
        <w:szCs w:val="24"/>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80">
    <w:nsid w:val="7CC9076E"/>
    <w:multiLevelType w:val="multilevel"/>
    <w:tmpl w:val="B41C40FC"/>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7E060889"/>
    <w:multiLevelType w:val="hybridMultilevel"/>
    <w:tmpl w:val="B6985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67"/>
  </w:num>
  <w:num w:numId="4">
    <w:abstractNumId w:val="37"/>
  </w:num>
  <w:num w:numId="5">
    <w:abstractNumId w:val="38"/>
  </w:num>
  <w:num w:numId="6">
    <w:abstractNumId w:val="79"/>
  </w:num>
  <w:num w:numId="7">
    <w:abstractNumId w:val="19"/>
  </w:num>
  <w:num w:numId="8">
    <w:abstractNumId w:val="13"/>
  </w:num>
  <w:num w:numId="9">
    <w:abstractNumId w:val="16"/>
  </w:num>
  <w:num w:numId="10">
    <w:abstractNumId w:val="57"/>
  </w:num>
  <w:num w:numId="11">
    <w:abstractNumId w:val="81"/>
  </w:num>
  <w:num w:numId="12">
    <w:abstractNumId w:val="5"/>
  </w:num>
  <w:num w:numId="13">
    <w:abstractNumId w:val="5"/>
    <w:lvlOverride w:ilvl="0">
      <w:startOverride w:val="5"/>
    </w:lvlOverride>
    <w:lvlOverride w:ilvl="1">
      <w:startOverride w:val="2"/>
    </w:lvlOverride>
  </w:num>
  <w:num w:numId="14">
    <w:abstractNumId w:val="70"/>
  </w:num>
  <w:num w:numId="15">
    <w:abstractNumId w:val="52"/>
  </w:num>
  <w:num w:numId="16">
    <w:abstractNumId w:val="17"/>
  </w:num>
  <w:num w:numId="17">
    <w:abstractNumId w:val="63"/>
  </w:num>
  <w:num w:numId="18">
    <w:abstractNumId w:val="24"/>
  </w:num>
  <w:num w:numId="19">
    <w:abstractNumId w:val="15"/>
  </w:num>
  <w:num w:numId="20">
    <w:abstractNumId w:val="60"/>
  </w:num>
  <w:num w:numId="21">
    <w:abstractNumId w:val="47"/>
  </w:num>
  <w:num w:numId="22">
    <w:abstractNumId w:val="27"/>
  </w:num>
  <w:num w:numId="23">
    <w:abstractNumId w:val="43"/>
  </w:num>
  <w:num w:numId="24">
    <w:abstractNumId w:val="21"/>
  </w:num>
  <w:num w:numId="25">
    <w:abstractNumId w:val="74"/>
  </w:num>
  <w:num w:numId="26">
    <w:abstractNumId w:val="41"/>
  </w:num>
  <w:num w:numId="27">
    <w:abstractNumId w:val="18"/>
  </w:num>
  <w:num w:numId="28">
    <w:abstractNumId w:val="10"/>
  </w:num>
  <w:num w:numId="29">
    <w:abstractNumId w:val="80"/>
  </w:num>
  <w:num w:numId="30">
    <w:abstractNumId w:val="46"/>
  </w:num>
  <w:num w:numId="31">
    <w:abstractNumId w:val="8"/>
    <w:lvlOverride w:ilvl="0">
      <w:startOverride w:val="5"/>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0"/>
  </w:num>
  <w:num w:numId="34">
    <w:abstractNumId w:val="45"/>
  </w:num>
  <w:num w:numId="3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42"/>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72"/>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65"/>
  </w:num>
  <w:num w:numId="41">
    <w:abstractNumId w:val="22"/>
  </w:num>
  <w:num w:numId="42">
    <w:abstractNumId w:val="71"/>
  </w:num>
  <w:num w:numId="43">
    <w:abstractNumId w:val="34"/>
  </w:num>
  <w:num w:numId="44">
    <w:abstractNumId w:val="2"/>
  </w:num>
  <w:num w:numId="45">
    <w:abstractNumId w:val="53"/>
  </w:num>
  <w:num w:numId="46">
    <w:abstractNumId w:val="32"/>
  </w:num>
  <w:num w:numId="47">
    <w:abstractNumId w:val="1"/>
  </w:num>
  <w:num w:numId="48">
    <w:abstractNumId w:val="3"/>
  </w:num>
  <w:num w:numId="49">
    <w:abstractNumId w:val="7"/>
  </w:num>
  <w:num w:numId="50">
    <w:abstractNumId w:val="29"/>
  </w:num>
  <w:num w:numId="51">
    <w:abstractNumId w:val="14"/>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3"/>
  </w:num>
  <w:num w:numId="54">
    <w:abstractNumId w:val="39"/>
  </w:num>
  <w:num w:numId="55">
    <w:abstractNumId w:val="6"/>
  </w:num>
  <w:num w:numId="56">
    <w:abstractNumId w:val="69"/>
  </w:num>
  <w:num w:numId="57">
    <w:abstractNumId w:val="40"/>
  </w:num>
  <w:num w:numId="58">
    <w:abstractNumId w:val="44"/>
  </w:num>
  <w:num w:numId="59">
    <w:abstractNumId w:val="9"/>
  </w:num>
  <w:num w:numId="60">
    <w:abstractNumId w:val="54"/>
  </w:num>
  <w:num w:numId="61">
    <w:abstractNumId w:val="49"/>
  </w:num>
  <w:num w:numId="62">
    <w:abstractNumId w:val="76"/>
  </w:num>
  <w:num w:numId="63">
    <w:abstractNumId w:val="78"/>
  </w:num>
  <w:num w:numId="64">
    <w:abstractNumId w:val="75"/>
  </w:num>
  <w:num w:numId="65">
    <w:abstractNumId w:val="66"/>
  </w:num>
  <w:num w:numId="66">
    <w:abstractNumId w:val="64"/>
  </w:num>
  <w:num w:numId="67">
    <w:abstractNumId w:val="77"/>
  </w:num>
  <w:num w:numId="68">
    <w:abstractNumId w:val="12"/>
  </w:num>
  <w:num w:numId="69">
    <w:abstractNumId w:val="48"/>
  </w:num>
  <w:num w:numId="70">
    <w:abstractNumId w:val="4"/>
  </w:num>
  <w:num w:numId="71">
    <w:abstractNumId w:val="58"/>
  </w:num>
  <w:num w:numId="72">
    <w:abstractNumId w:val="23"/>
  </w:num>
  <w:num w:numId="73">
    <w:abstractNumId w:val="61"/>
  </w:num>
  <w:num w:numId="74">
    <w:abstractNumId w:val="26"/>
  </w:num>
  <w:num w:numId="75">
    <w:abstractNumId w:val="51"/>
  </w:num>
  <w:num w:numId="76">
    <w:abstractNumId w:val="50"/>
  </w:num>
  <w:num w:numId="77">
    <w:abstractNumId w:val="62"/>
  </w:num>
  <w:num w:numId="78">
    <w:abstractNumId w:val="31"/>
  </w:num>
  <w:num w:numId="79">
    <w:abstractNumId w:val="25"/>
  </w:num>
  <w:num w:numId="80">
    <w:abstractNumId w:val="35"/>
  </w:num>
  <w:num w:numId="81">
    <w:abstractNumId w:val="55"/>
  </w:num>
  <w:num w:numId="82">
    <w:abstractNumId w:val="68"/>
  </w:num>
  <w:num w:numId="83">
    <w:abstractNumId w:val="59"/>
  </w:num>
  <w:num w:numId="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81F"/>
    <w:rsid w:val="00012FC2"/>
    <w:rsid w:val="00037FBB"/>
    <w:rsid w:val="00051C4E"/>
    <w:rsid w:val="000575FD"/>
    <w:rsid w:val="000713C8"/>
    <w:rsid w:val="00073016"/>
    <w:rsid w:val="000830B6"/>
    <w:rsid w:val="0009586C"/>
    <w:rsid w:val="000A3079"/>
    <w:rsid w:val="000A5022"/>
    <w:rsid w:val="000B0FF9"/>
    <w:rsid w:val="000C1EBA"/>
    <w:rsid w:val="000C3E02"/>
    <w:rsid w:val="000F29D6"/>
    <w:rsid w:val="00102A9D"/>
    <w:rsid w:val="00111536"/>
    <w:rsid w:val="001131B1"/>
    <w:rsid w:val="001276C1"/>
    <w:rsid w:val="00133520"/>
    <w:rsid w:val="001405CF"/>
    <w:rsid w:val="00147C2F"/>
    <w:rsid w:val="001517E1"/>
    <w:rsid w:val="0015324E"/>
    <w:rsid w:val="001535EB"/>
    <w:rsid w:val="00162BC6"/>
    <w:rsid w:val="001937F1"/>
    <w:rsid w:val="001A440A"/>
    <w:rsid w:val="001C349F"/>
    <w:rsid w:val="001D71C0"/>
    <w:rsid w:val="001F2059"/>
    <w:rsid w:val="001F3DF7"/>
    <w:rsid w:val="001F573F"/>
    <w:rsid w:val="00210165"/>
    <w:rsid w:val="00227236"/>
    <w:rsid w:val="002628D8"/>
    <w:rsid w:val="002A2499"/>
    <w:rsid w:val="002A513C"/>
    <w:rsid w:val="002A6CC3"/>
    <w:rsid w:val="002B574D"/>
    <w:rsid w:val="002B6584"/>
    <w:rsid w:val="002C0384"/>
    <w:rsid w:val="002E5BF8"/>
    <w:rsid w:val="00305181"/>
    <w:rsid w:val="00306555"/>
    <w:rsid w:val="00320D60"/>
    <w:rsid w:val="0034273C"/>
    <w:rsid w:val="00351A8A"/>
    <w:rsid w:val="003577B5"/>
    <w:rsid w:val="00360A34"/>
    <w:rsid w:val="00367B40"/>
    <w:rsid w:val="003713D5"/>
    <w:rsid w:val="00373435"/>
    <w:rsid w:val="003735AA"/>
    <w:rsid w:val="00376588"/>
    <w:rsid w:val="003C08D9"/>
    <w:rsid w:val="003C7E32"/>
    <w:rsid w:val="003D0A9C"/>
    <w:rsid w:val="003E0B2C"/>
    <w:rsid w:val="003F0B5D"/>
    <w:rsid w:val="003F4455"/>
    <w:rsid w:val="00404F67"/>
    <w:rsid w:val="00405E1E"/>
    <w:rsid w:val="0042505E"/>
    <w:rsid w:val="0044345B"/>
    <w:rsid w:val="00444824"/>
    <w:rsid w:val="004741A3"/>
    <w:rsid w:val="00483C7F"/>
    <w:rsid w:val="004849A8"/>
    <w:rsid w:val="004B2190"/>
    <w:rsid w:val="004C2DE8"/>
    <w:rsid w:val="004E55A4"/>
    <w:rsid w:val="004F6114"/>
    <w:rsid w:val="00523E1A"/>
    <w:rsid w:val="005424B7"/>
    <w:rsid w:val="00552ACE"/>
    <w:rsid w:val="00552F53"/>
    <w:rsid w:val="005608A6"/>
    <w:rsid w:val="00570B49"/>
    <w:rsid w:val="0057257D"/>
    <w:rsid w:val="00577419"/>
    <w:rsid w:val="005812CB"/>
    <w:rsid w:val="00583284"/>
    <w:rsid w:val="005B3F16"/>
    <w:rsid w:val="005C59C0"/>
    <w:rsid w:val="005C672C"/>
    <w:rsid w:val="005F4591"/>
    <w:rsid w:val="005F7E14"/>
    <w:rsid w:val="006063AF"/>
    <w:rsid w:val="00611668"/>
    <w:rsid w:val="006620F9"/>
    <w:rsid w:val="00664B31"/>
    <w:rsid w:val="00671369"/>
    <w:rsid w:val="00684CD5"/>
    <w:rsid w:val="006A0FCD"/>
    <w:rsid w:val="006A1110"/>
    <w:rsid w:val="006A136B"/>
    <w:rsid w:val="006A6FF7"/>
    <w:rsid w:val="006B491E"/>
    <w:rsid w:val="006D4FAA"/>
    <w:rsid w:val="006D55FA"/>
    <w:rsid w:val="006E1B83"/>
    <w:rsid w:val="006F16D2"/>
    <w:rsid w:val="006F42F0"/>
    <w:rsid w:val="006F6210"/>
    <w:rsid w:val="00702792"/>
    <w:rsid w:val="00703A01"/>
    <w:rsid w:val="00720316"/>
    <w:rsid w:val="0073003D"/>
    <w:rsid w:val="007336BB"/>
    <w:rsid w:val="007355A7"/>
    <w:rsid w:val="00736E1F"/>
    <w:rsid w:val="007431AE"/>
    <w:rsid w:val="00782024"/>
    <w:rsid w:val="00785EA3"/>
    <w:rsid w:val="007C1FE7"/>
    <w:rsid w:val="007E1F2D"/>
    <w:rsid w:val="007F50A2"/>
    <w:rsid w:val="00810925"/>
    <w:rsid w:val="00840CF7"/>
    <w:rsid w:val="0084583D"/>
    <w:rsid w:val="00846819"/>
    <w:rsid w:val="00867BFF"/>
    <w:rsid w:val="0087170D"/>
    <w:rsid w:val="0087693D"/>
    <w:rsid w:val="008870FE"/>
    <w:rsid w:val="008940BB"/>
    <w:rsid w:val="008A6A7F"/>
    <w:rsid w:val="008D333D"/>
    <w:rsid w:val="008E1781"/>
    <w:rsid w:val="008E2A03"/>
    <w:rsid w:val="008F29B8"/>
    <w:rsid w:val="009045F6"/>
    <w:rsid w:val="00910744"/>
    <w:rsid w:val="00921F29"/>
    <w:rsid w:val="00923A64"/>
    <w:rsid w:val="00946DE8"/>
    <w:rsid w:val="009660EE"/>
    <w:rsid w:val="009768F8"/>
    <w:rsid w:val="00996F8D"/>
    <w:rsid w:val="009A0027"/>
    <w:rsid w:val="009A212D"/>
    <w:rsid w:val="009A2CDF"/>
    <w:rsid w:val="009A7B0B"/>
    <w:rsid w:val="009B65BF"/>
    <w:rsid w:val="009D0DFA"/>
    <w:rsid w:val="009F4327"/>
    <w:rsid w:val="00A1222F"/>
    <w:rsid w:val="00A428D5"/>
    <w:rsid w:val="00A436E4"/>
    <w:rsid w:val="00A52F59"/>
    <w:rsid w:val="00A53767"/>
    <w:rsid w:val="00A62193"/>
    <w:rsid w:val="00A72266"/>
    <w:rsid w:val="00A87A2E"/>
    <w:rsid w:val="00A9522D"/>
    <w:rsid w:val="00AB6AA1"/>
    <w:rsid w:val="00AD09B4"/>
    <w:rsid w:val="00AE6B81"/>
    <w:rsid w:val="00AF0352"/>
    <w:rsid w:val="00B046D0"/>
    <w:rsid w:val="00B058D7"/>
    <w:rsid w:val="00B125A9"/>
    <w:rsid w:val="00B15B10"/>
    <w:rsid w:val="00B2255C"/>
    <w:rsid w:val="00B23142"/>
    <w:rsid w:val="00B33B84"/>
    <w:rsid w:val="00B358B6"/>
    <w:rsid w:val="00B62670"/>
    <w:rsid w:val="00B62803"/>
    <w:rsid w:val="00B85521"/>
    <w:rsid w:val="00B90D56"/>
    <w:rsid w:val="00B95C64"/>
    <w:rsid w:val="00BB7022"/>
    <w:rsid w:val="00BC1447"/>
    <w:rsid w:val="00BC3987"/>
    <w:rsid w:val="00BE3E2D"/>
    <w:rsid w:val="00BE780B"/>
    <w:rsid w:val="00BF7AE2"/>
    <w:rsid w:val="00C00024"/>
    <w:rsid w:val="00C0224C"/>
    <w:rsid w:val="00C13F8A"/>
    <w:rsid w:val="00C26949"/>
    <w:rsid w:val="00C77320"/>
    <w:rsid w:val="00C92355"/>
    <w:rsid w:val="00CB112C"/>
    <w:rsid w:val="00CB4C4A"/>
    <w:rsid w:val="00CD12E1"/>
    <w:rsid w:val="00CD383E"/>
    <w:rsid w:val="00CE0083"/>
    <w:rsid w:val="00D14F08"/>
    <w:rsid w:val="00D3036D"/>
    <w:rsid w:val="00D84F47"/>
    <w:rsid w:val="00D8705B"/>
    <w:rsid w:val="00D948D7"/>
    <w:rsid w:val="00DD52D2"/>
    <w:rsid w:val="00DD715E"/>
    <w:rsid w:val="00DD74C2"/>
    <w:rsid w:val="00DF5CFC"/>
    <w:rsid w:val="00E02570"/>
    <w:rsid w:val="00E27150"/>
    <w:rsid w:val="00E44920"/>
    <w:rsid w:val="00E72413"/>
    <w:rsid w:val="00E7261D"/>
    <w:rsid w:val="00E81927"/>
    <w:rsid w:val="00E86605"/>
    <w:rsid w:val="00EC3346"/>
    <w:rsid w:val="00EE01B4"/>
    <w:rsid w:val="00EE34A4"/>
    <w:rsid w:val="00EF2265"/>
    <w:rsid w:val="00EF73E7"/>
    <w:rsid w:val="00F01C63"/>
    <w:rsid w:val="00F2300A"/>
    <w:rsid w:val="00F4181F"/>
    <w:rsid w:val="00F43069"/>
    <w:rsid w:val="00F47595"/>
    <w:rsid w:val="00F5050D"/>
    <w:rsid w:val="00F835AA"/>
    <w:rsid w:val="00F83826"/>
    <w:rsid w:val="00F92E1D"/>
    <w:rsid w:val="00F94172"/>
    <w:rsid w:val="00FB0B26"/>
    <w:rsid w:val="00FB3B43"/>
    <w:rsid w:val="00FC33B8"/>
    <w:rsid w:val="00FC7509"/>
    <w:rsid w:val="00FD2950"/>
    <w:rsid w:val="00FD3CC4"/>
    <w:rsid w:val="00FE0774"/>
    <w:rsid w:val="00FF0235"/>
  </w:rsids>
  <m:mathPr>
    <m:mathFont m:val="Cambria Math"/>
    <m:brkBin m:val="before"/>
    <m:brkBinSub m:val="--"/>
    <m:smallFrac m:val="0"/>
    <m:dispDef/>
    <m:lMargin m:val="0"/>
    <m:rMargin m:val="0"/>
    <m:defJc m:val="centerGroup"/>
    <m:wrapIndent m:val="1440"/>
    <m:intLim m:val="subSup"/>
    <m:naryLim m:val="undOvr"/>
  </m:mathPr>
  <w:themeFontLang w:val="sk-SK"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068CE"/>
    <w:pPr>
      <w:jc w:val="both"/>
    </w:pPr>
    <w:rPr>
      <w:rFonts w:ascii="Cambria" w:eastAsia="MS Mincho" w:hAnsi="Cambria" w:cs="Times New Roman"/>
      <w:color w:val="00000A"/>
      <w:sz w:val="24"/>
      <w:szCs w:val="24"/>
    </w:rPr>
  </w:style>
  <w:style w:type="paragraph" w:styleId="Nadpis1">
    <w:name w:val="heading 1"/>
    <w:basedOn w:val="Normlny"/>
    <w:link w:val="Nadpis1Char"/>
    <w:uiPriority w:val="9"/>
    <w:qFormat/>
    <w:rsid w:val="00684D5C"/>
    <w:pPr>
      <w:keepNext/>
      <w:keepLines/>
      <w:numPr>
        <w:numId w:val="1"/>
      </w:numPr>
      <w:tabs>
        <w:tab w:val="left" w:pos="426"/>
      </w:tabs>
      <w:ind w:left="0" w:firstLine="0"/>
      <w:jc w:val="left"/>
      <w:outlineLvl w:val="0"/>
    </w:pPr>
    <w:rPr>
      <w:rFonts w:asciiTheme="majorHAnsi" w:eastAsiaTheme="majorEastAsia" w:hAnsiTheme="majorHAnsi" w:cstheme="majorBidi"/>
      <w:b/>
      <w:bCs/>
      <w:color w:val="365F91" w:themeColor="accent1" w:themeShade="BF"/>
    </w:rPr>
  </w:style>
  <w:style w:type="paragraph" w:styleId="Nadpis2">
    <w:name w:val="heading 2"/>
    <w:basedOn w:val="Normlny"/>
    <w:link w:val="Nadpis2Char"/>
    <w:uiPriority w:val="9"/>
    <w:unhideWhenUsed/>
    <w:qFormat/>
    <w:rsid w:val="00684D5C"/>
    <w:pPr>
      <w:keepNext/>
      <w:keepLines/>
      <w:numPr>
        <w:ilvl w:val="1"/>
        <w:numId w:val="1"/>
      </w:numPr>
      <w:tabs>
        <w:tab w:val="left" w:pos="567"/>
      </w:tabs>
      <w:spacing w:after="120"/>
      <w:ind w:left="0" w:firstLine="0"/>
      <w:jc w:val="left"/>
      <w:outlineLvl w:val="1"/>
    </w:pPr>
    <w:rPr>
      <w:rFonts w:asciiTheme="majorHAnsi" w:eastAsiaTheme="majorEastAsia" w:hAnsiTheme="majorHAnsi" w:cstheme="majorBidi"/>
      <w:b/>
      <w:bCs/>
      <w:color w:val="0F243E" w:themeColor="text2" w:themeShade="80"/>
      <w:sz w:val="26"/>
      <w:szCs w:val="26"/>
    </w:rPr>
  </w:style>
  <w:style w:type="paragraph" w:styleId="Nadpis3">
    <w:name w:val="heading 3"/>
    <w:basedOn w:val="Normlny"/>
    <w:next w:val="Normlny"/>
    <w:link w:val="Nadpis3Char"/>
    <w:uiPriority w:val="9"/>
    <w:unhideWhenUsed/>
    <w:qFormat/>
    <w:rsid w:val="00AD09B4"/>
    <w:pPr>
      <w:keepNext/>
      <w:keepLines/>
      <w:spacing w:before="200" w:line="276" w:lineRule="auto"/>
      <w:jc w:val="left"/>
      <w:outlineLvl w:val="2"/>
    </w:pPr>
    <w:rPr>
      <w:rFonts w:asciiTheme="majorHAnsi" w:eastAsiaTheme="majorEastAsia" w:hAnsiTheme="majorHAnsi" w:cstheme="majorBidi"/>
      <w:b/>
      <w:bCs/>
      <w:color w:val="4F81BD" w:themeColor="accent1"/>
      <w:sz w:val="22"/>
      <w:szCs w:val="22"/>
    </w:rPr>
  </w:style>
  <w:style w:type="paragraph" w:styleId="Nadpis4">
    <w:name w:val="heading 4"/>
    <w:basedOn w:val="Normlny"/>
    <w:next w:val="Normlny"/>
    <w:link w:val="Nadpis4Char"/>
    <w:uiPriority w:val="9"/>
    <w:unhideWhenUsed/>
    <w:qFormat/>
    <w:rsid w:val="00AD09B4"/>
    <w:pPr>
      <w:keepNext/>
      <w:keepLines/>
      <w:spacing w:before="200"/>
      <w:jc w:val="left"/>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AD09B4"/>
    <w:pPr>
      <w:keepNext/>
      <w:keepLines/>
      <w:spacing w:before="200"/>
      <w:jc w:val="left"/>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unhideWhenUsed/>
    <w:qFormat/>
    <w:rsid w:val="00AD09B4"/>
    <w:pPr>
      <w:keepNext/>
      <w:keepLines/>
      <w:spacing w:before="200"/>
      <w:jc w:val="left"/>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376588"/>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F83826"/>
    <w:pPr>
      <w:spacing w:before="240" w:after="60"/>
      <w:outlineLvl w:val="7"/>
    </w:pPr>
    <w:rPr>
      <w:rFonts w:ascii="Calibri" w:eastAsia="Times New Roman" w:hAnsi="Calibri"/>
      <w:i/>
      <w:iCs/>
      <w:color w:val="000000"/>
      <w:lang w:eastAsia="cs-CZ"/>
    </w:rPr>
  </w:style>
  <w:style w:type="paragraph" w:styleId="Nadpis9">
    <w:name w:val="heading 9"/>
    <w:basedOn w:val="Normlny"/>
    <w:next w:val="Normlny"/>
    <w:link w:val="Nadpis9Char"/>
    <w:uiPriority w:val="99"/>
    <w:qFormat/>
    <w:rsid w:val="00F83826"/>
    <w:pPr>
      <w:spacing w:before="240" w:after="60"/>
      <w:outlineLvl w:val="8"/>
    </w:pPr>
    <w:rPr>
      <w:rFonts w:ascii="Arial" w:eastAsia="Times New Roman" w:hAnsi="Arial" w:cs="Arial"/>
      <w:color w:val="000000"/>
      <w:sz w:val="22"/>
      <w:szCs w:val="22"/>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qFormat/>
    <w:rsid w:val="00684D5C"/>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Predvolenpsmoodseku"/>
    <w:link w:val="Nadpis2"/>
    <w:uiPriority w:val="9"/>
    <w:qFormat/>
    <w:rsid w:val="00684D5C"/>
    <w:rPr>
      <w:rFonts w:asciiTheme="majorHAnsi" w:eastAsiaTheme="majorEastAsia" w:hAnsiTheme="majorHAnsi" w:cstheme="majorBidi"/>
      <w:b/>
      <w:bCs/>
      <w:color w:val="0F243E" w:themeColor="text2" w:themeShade="80"/>
      <w:sz w:val="26"/>
      <w:szCs w:val="26"/>
    </w:rPr>
  </w:style>
  <w:style w:type="character" w:customStyle="1" w:styleId="Nadpis3Char">
    <w:name w:val="Nadpis 3 Char"/>
    <w:basedOn w:val="Predvolenpsmoodseku"/>
    <w:link w:val="Nadpis3"/>
    <w:uiPriority w:val="9"/>
    <w:rsid w:val="00AD09B4"/>
    <w:rPr>
      <w:rFonts w:asciiTheme="majorHAnsi" w:eastAsiaTheme="majorEastAsia" w:hAnsiTheme="majorHAnsi" w:cstheme="majorBidi"/>
      <w:b/>
      <w:bCs/>
      <w:color w:val="4F81BD" w:themeColor="accent1"/>
      <w:sz w:val="22"/>
    </w:rPr>
  </w:style>
  <w:style w:type="character" w:customStyle="1" w:styleId="Nadpis4Char">
    <w:name w:val="Nadpis 4 Char"/>
    <w:basedOn w:val="Predvolenpsmoodseku"/>
    <w:link w:val="Nadpis4"/>
    <w:uiPriority w:val="9"/>
    <w:rsid w:val="00AD09B4"/>
    <w:rPr>
      <w:rFonts w:asciiTheme="majorHAnsi" w:eastAsiaTheme="majorEastAsia" w:hAnsiTheme="majorHAnsi" w:cstheme="majorBidi"/>
      <w:b/>
      <w:bCs/>
      <w:i/>
      <w:iCs/>
      <w:color w:val="4F81BD" w:themeColor="accent1"/>
      <w:sz w:val="24"/>
      <w:szCs w:val="24"/>
    </w:rPr>
  </w:style>
  <w:style w:type="character" w:customStyle="1" w:styleId="Nadpis5Char">
    <w:name w:val="Nadpis 5 Char"/>
    <w:basedOn w:val="Predvolenpsmoodseku"/>
    <w:link w:val="Nadpis5"/>
    <w:uiPriority w:val="9"/>
    <w:rsid w:val="00AD09B4"/>
    <w:rPr>
      <w:rFonts w:asciiTheme="majorHAnsi" w:eastAsiaTheme="majorEastAsia" w:hAnsiTheme="majorHAnsi" w:cstheme="majorBidi"/>
      <w:color w:val="243F60" w:themeColor="accent1" w:themeShade="7F"/>
      <w:sz w:val="24"/>
      <w:szCs w:val="24"/>
    </w:rPr>
  </w:style>
  <w:style w:type="character" w:customStyle="1" w:styleId="Nadpis6Char">
    <w:name w:val="Nadpis 6 Char"/>
    <w:basedOn w:val="Predvolenpsmoodseku"/>
    <w:link w:val="Nadpis6"/>
    <w:uiPriority w:val="9"/>
    <w:rsid w:val="00AD09B4"/>
    <w:rPr>
      <w:rFonts w:asciiTheme="majorHAnsi" w:eastAsiaTheme="majorEastAsia" w:hAnsiTheme="majorHAnsi" w:cstheme="majorBidi"/>
      <w:i/>
      <w:iCs/>
      <w:color w:val="243F60" w:themeColor="accent1" w:themeShade="7F"/>
      <w:sz w:val="24"/>
      <w:szCs w:val="24"/>
    </w:rPr>
  </w:style>
  <w:style w:type="character" w:customStyle="1" w:styleId="Nadpis7Char">
    <w:name w:val="Nadpis 7 Char"/>
    <w:basedOn w:val="Predvolenpsmoodseku"/>
    <w:link w:val="Nadpis7"/>
    <w:semiHidden/>
    <w:rsid w:val="00376588"/>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Predvolenpsmoodseku"/>
    <w:link w:val="Nadpis8"/>
    <w:uiPriority w:val="9"/>
    <w:semiHidden/>
    <w:rsid w:val="00F83826"/>
    <w:rPr>
      <w:rFonts w:ascii="Calibri" w:eastAsia="Times New Roman" w:hAnsi="Calibri" w:cs="Times New Roman"/>
      <w:i/>
      <w:iCs/>
      <w:color w:val="000000"/>
      <w:sz w:val="24"/>
      <w:szCs w:val="24"/>
      <w:lang w:eastAsia="cs-CZ"/>
    </w:rPr>
  </w:style>
  <w:style w:type="character" w:customStyle="1" w:styleId="Nadpis9Char">
    <w:name w:val="Nadpis 9 Char"/>
    <w:basedOn w:val="Predvolenpsmoodseku"/>
    <w:link w:val="Nadpis9"/>
    <w:uiPriority w:val="99"/>
    <w:rsid w:val="00F83826"/>
    <w:rPr>
      <w:rFonts w:ascii="Arial" w:eastAsia="Times New Roman" w:hAnsi="Arial" w:cs="Arial"/>
      <w:color w:val="000000"/>
      <w:sz w:val="22"/>
      <w:lang w:eastAsia="cs-CZ"/>
    </w:rPr>
  </w:style>
  <w:style w:type="character" w:customStyle="1" w:styleId="Internetovodkaz">
    <w:name w:val="Internetový odkaz"/>
    <w:basedOn w:val="Predvolenpsmoodseku"/>
    <w:uiPriority w:val="99"/>
    <w:unhideWhenUsed/>
    <w:rsid w:val="00C20B13"/>
    <w:rPr>
      <w:color w:val="0000FF" w:themeColor="hyperlink"/>
      <w:u w:val="single"/>
    </w:rPr>
  </w:style>
  <w:style w:type="character" w:customStyle="1" w:styleId="Zdraznenie">
    <w:name w:val="Zdôraznenie"/>
    <w:uiPriority w:val="20"/>
    <w:qFormat/>
    <w:rsid w:val="00636B70"/>
    <w:rPr>
      <w:rFonts w:cs="Times New Roman"/>
      <w:i/>
    </w:rPr>
  </w:style>
  <w:style w:type="character" w:styleId="Siln">
    <w:name w:val="Strong"/>
    <w:basedOn w:val="Predvolenpsmoodseku"/>
    <w:uiPriority w:val="22"/>
    <w:qFormat/>
    <w:rsid w:val="00681EE5"/>
    <w:rPr>
      <w:b/>
      <w:bCs/>
    </w:rPr>
  </w:style>
  <w:style w:type="character" w:customStyle="1" w:styleId="ObyajntextChar">
    <w:name w:val="Obyčajný text Char"/>
    <w:basedOn w:val="Predvolenpsmoodseku"/>
    <w:link w:val="Obyajntext"/>
    <w:uiPriority w:val="99"/>
    <w:qFormat/>
    <w:rsid w:val="005F427A"/>
    <w:rPr>
      <w:rFonts w:ascii="Calibri" w:hAnsi="Calibri" w:cs="Calibri"/>
    </w:rPr>
  </w:style>
  <w:style w:type="paragraph" w:styleId="Obyajntext">
    <w:name w:val="Plain Text"/>
    <w:basedOn w:val="Normlny"/>
    <w:link w:val="ObyajntextChar"/>
    <w:uiPriority w:val="99"/>
    <w:unhideWhenUsed/>
    <w:qFormat/>
    <w:rsid w:val="005F427A"/>
    <w:rPr>
      <w:rFonts w:ascii="Calibri" w:eastAsiaTheme="minorHAnsi" w:hAnsi="Calibri" w:cs="Calibri"/>
      <w:sz w:val="22"/>
      <w:szCs w:val="22"/>
    </w:rPr>
  </w:style>
  <w:style w:type="character" w:customStyle="1" w:styleId="apple-converted-space">
    <w:name w:val="apple-converted-space"/>
    <w:basedOn w:val="Predvolenpsmoodseku"/>
    <w:qFormat/>
    <w:rsid w:val="005F427A"/>
  </w:style>
  <w:style w:type="character" w:customStyle="1" w:styleId="ListLabel1">
    <w:name w:val="ListLabel 1"/>
    <w:qFormat/>
    <w:rPr>
      <w:rFonts w:cs="Times New Roman"/>
      <w:b/>
      <w:i w:val="0"/>
      <w:color w:val="00000A"/>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b/>
    </w:rPr>
  </w:style>
  <w:style w:type="character" w:customStyle="1" w:styleId="ListLabel12">
    <w:name w:val="ListLabel 12"/>
    <w:qFormat/>
    <w:rPr>
      <w:rFonts w:eastAsia="MS Mincho" w:cs="Times New Roman"/>
      <w:sz w:val="24"/>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40">
    <w:name w:val="ListLabel 40"/>
    <w:qFormat/>
    <w:rPr>
      <w:sz w:val="24"/>
      <w:szCs w:val="24"/>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90">
    <w:name w:val="ListLabel 90"/>
    <w:qFormat/>
    <w:rPr>
      <w:rFonts w:cs="Times New Roman"/>
    </w:rPr>
  </w:style>
  <w:style w:type="character" w:customStyle="1" w:styleId="ListLabel91">
    <w:name w:val="ListLabel 91"/>
    <w:qFormat/>
    <w:rPr>
      <w:b/>
    </w:rPr>
  </w:style>
  <w:style w:type="character" w:customStyle="1" w:styleId="ListLabel92">
    <w:name w:val="ListLabel 92"/>
    <w:qFormat/>
    <w:rPr>
      <w:rFonts w:ascii="Cambria" w:hAnsi="Cambria" w:cs="Times New Roman"/>
      <w:b/>
      <w:i w:val="0"/>
      <w:color w:val="00000A"/>
      <w:sz w:val="24"/>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ascii="Calibri" w:hAnsi="Calibri" w:cs="Times New Roman"/>
      <w:sz w:val="24"/>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sz w:val="24"/>
      <w:szCs w:val="24"/>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Odrky">
    <w:name w:val="Odrážky"/>
    <w:qFormat/>
    <w:rPr>
      <w:rFonts w:ascii="OpenSymbol" w:eastAsia="OpenSymbol" w:hAnsi="OpenSymbol" w:cs="OpenSymbol"/>
    </w:rPr>
  </w:style>
  <w:style w:type="character" w:customStyle="1" w:styleId="ListLabel120">
    <w:name w:val="ListLabel 120"/>
    <w:qFormat/>
    <w:rPr>
      <w:rFonts w:cs="Times New Roman"/>
    </w:rPr>
  </w:style>
  <w:style w:type="character" w:customStyle="1" w:styleId="ListLabel121">
    <w:name w:val="ListLabel 121"/>
    <w:qFormat/>
    <w:rPr>
      <w:b/>
    </w:rPr>
  </w:style>
  <w:style w:type="character" w:customStyle="1" w:styleId="ListLabel122">
    <w:name w:val="ListLabel 122"/>
    <w:qFormat/>
    <w:rPr>
      <w:rFonts w:ascii="Calibri" w:hAnsi="Calibri" w:cs="Times New Roman"/>
      <w:sz w:val="24"/>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ascii="Times New Roman" w:hAnsi="Times New Roman" w:cs="OpenSymbol"/>
      <w:sz w:val="24"/>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Times New Roman"/>
    </w:rPr>
  </w:style>
  <w:style w:type="character" w:customStyle="1" w:styleId="ListLabel141">
    <w:name w:val="ListLabel 141"/>
    <w:qFormat/>
    <w:rPr>
      <w:b/>
    </w:rPr>
  </w:style>
  <w:style w:type="character" w:customStyle="1" w:styleId="ListLabel142">
    <w:name w:val="ListLabel 142"/>
    <w:qFormat/>
    <w:rPr>
      <w:rFonts w:ascii="Calibri" w:hAnsi="Calibri" w:cs="Times New Roman"/>
      <w:sz w:val="24"/>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ascii="Times New Roman" w:hAnsi="Times New Roman" w:cs="OpenSymbol"/>
      <w:sz w:val="24"/>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39">
    <w:name w:val="ListLabel 39"/>
    <w:qFormat/>
    <w:rPr>
      <w:rFonts w:cs="Times New Roman"/>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4">
    <w:name w:val="ListLabel 64"/>
    <w:qFormat/>
    <w:rPr>
      <w:rFonts w:eastAsia="Times New Roman"/>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0">
    <w:name w:val="ListLabel 60"/>
    <w:qFormat/>
    <w:rPr>
      <w:rFonts w:eastAsia="Times New Roman" w:cs="Times New Roman"/>
      <w:sz w:val="24"/>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160">
    <w:name w:val="ListLabel 160"/>
    <w:qFormat/>
    <w:rPr>
      <w:rFonts w:cs="Times New Roman"/>
      <w:sz w:val="26"/>
    </w:rPr>
  </w:style>
  <w:style w:type="character" w:customStyle="1" w:styleId="ListLabel161">
    <w:name w:val="ListLabel 161"/>
    <w:qFormat/>
    <w:rPr>
      <w:b/>
    </w:rPr>
  </w:style>
  <w:style w:type="character" w:customStyle="1" w:styleId="ListLabel162">
    <w:name w:val="ListLabel 162"/>
    <w:qFormat/>
    <w:rPr>
      <w:rFonts w:ascii="Calibri" w:hAnsi="Calibri" w:cs="Times New Roman"/>
      <w:sz w:val="24"/>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ascii="Times New Roman" w:hAnsi="Times New Roman" w:cs="OpenSymbol"/>
      <w:sz w:val="24"/>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Times New Roman"/>
    </w:rPr>
  </w:style>
  <w:style w:type="character" w:customStyle="1" w:styleId="ListLabel181">
    <w:name w:val="ListLabel 181"/>
    <w:qFormat/>
    <w:rPr>
      <w:sz w:val="24"/>
      <w:szCs w:val="24"/>
    </w:rPr>
  </w:style>
  <w:style w:type="character" w:customStyle="1" w:styleId="ListLabel182">
    <w:name w:val="ListLabel 182"/>
    <w:qFormat/>
    <w:rPr>
      <w:b/>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Aria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Times New Roman"/>
      <w:sz w:val="24"/>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Times New Roman"/>
      <w:sz w:val="26"/>
    </w:rPr>
  </w:style>
  <w:style w:type="character" w:customStyle="1" w:styleId="ListLabel220">
    <w:name w:val="ListLabel 220"/>
    <w:qFormat/>
    <w:rPr>
      <w:b/>
    </w:rPr>
  </w:style>
  <w:style w:type="character" w:customStyle="1" w:styleId="ListLabel221">
    <w:name w:val="ListLabel 221"/>
    <w:qFormat/>
    <w:rPr>
      <w:rFonts w:ascii="Calibri" w:hAnsi="Calibri" w:cs="Times New Roman"/>
      <w:sz w:val="24"/>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ascii="Times New Roman" w:hAnsi="Times New Roman" w:cs="OpenSymbol"/>
      <w:sz w:val="24"/>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b/>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Aria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Times New Roman"/>
      <w:sz w:val="24"/>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ascii="Times New Roman" w:hAnsi="Times New Roman" w:cs="Times New Roman"/>
      <w:b w:val="0"/>
      <w:color w:val="00000A"/>
      <w:sz w:val="24"/>
      <w:szCs w:val="24"/>
      <w:u w:val="none"/>
    </w:rPr>
  </w:style>
  <w:style w:type="character" w:customStyle="1" w:styleId="ListLabel277">
    <w:name w:val="ListLabel 277"/>
    <w:qFormat/>
    <w:rPr>
      <w:rFonts w:ascii="Times New Roman" w:hAnsi="Times New Roman" w:cs="Times New Roman"/>
      <w:b w:val="0"/>
      <w:sz w:val="24"/>
      <w:szCs w:val="24"/>
      <w:lang w:eastAsia="sk-SK"/>
    </w:rPr>
  </w:style>
  <w:style w:type="character" w:customStyle="1" w:styleId="ListLabel278">
    <w:name w:val="ListLabel 278"/>
    <w:qFormat/>
    <w:rPr>
      <w:rFonts w:ascii="Times New Roman" w:hAnsi="Times New Roman" w:cs="Times New Roman"/>
      <w:b w:val="0"/>
      <w:vanish/>
      <w:sz w:val="24"/>
      <w:szCs w:val="24"/>
    </w:rPr>
  </w:style>
  <w:style w:type="character" w:customStyle="1" w:styleId="ListLabel279">
    <w:name w:val="ListLabel 279"/>
    <w:qFormat/>
    <w:rPr>
      <w:rFonts w:ascii="Times New Roman" w:hAnsi="Times New Roman" w:cs="Times New Roman"/>
      <w:color w:val="00000A"/>
      <w:sz w:val="24"/>
      <w:szCs w:val="24"/>
      <w:u w:val="none"/>
    </w:rPr>
  </w:style>
  <w:style w:type="character" w:customStyle="1" w:styleId="ListLabel280">
    <w:name w:val="ListLabel 280"/>
    <w:qFormat/>
    <w:rPr>
      <w:rFonts w:ascii="Times New Roman" w:hAnsi="Times New Roman" w:cs="Times New Roman"/>
      <w:sz w:val="24"/>
      <w:szCs w:val="24"/>
      <w:lang w:eastAsia="sk-SK"/>
    </w:rPr>
  </w:style>
  <w:style w:type="character" w:customStyle="1" w:styleId="ListLabel281">
    <w:name w:val="ListLabel 281"/>
    <w:qFormat/>
    <w:rPr>
      <w:rFonts w:ascii="Times New Roman" w:hAnsi="Times New Roman" w:cs="Times New Roman"/>
      <w:vanish/>
      <w:sz w:val="24"/>
      <w:szCs w:val="24"/>
    </w:rPr>
  </w:style>
  <w:style w:type="character" w:customStyle="1" w:styleId="ListLabel282">
    <w:name w:val="ListLabel 282"/>
    <w:qFormat/>
    <w:rPr>
      <w:rFonts w:ascii="Times New Roman" w:hAnsi="Times New Roman" w:cs="Times New Roman"/>
      <w:color w:val="00000A"/>
      <w:sz w:val="24"/>
      <w:szCs w:val="24"/>
      <w:highlight w:val="white"/>
      <w:u w:val="none"/>
    </w:rPr>
  </w:style>
  <w:style w:type="character" w:customStyle="1" w:styleId="ListLabel283">
    <w:name w:val="ListLabel 283"/>
    <w:qFormat/>
    <w:rPr>
      <w:rFonts w:ascii="Times New Roman" w:hAnsi="Times New Roman" w:cs="Times New Roman"/>
      <w:b w:val="0"/>
      <w:color w:val="00000A"/>
      <w:sz w:val="24"/>
      <w:szCs w:val="24"/>
      <w:highlight w:val="white"/>
      <w:u w:val="none"/>
    </w:rPr>
  </w:style>
  <w:style w:type="character" w:customStyle="1" w:styleId="ListLabel284">
    <w:name w:val="ListLabel 284"/>
    <w:qFormat/>
    <w:rPr>
      <w:rFonts w:ascii="Times New Roman" w:hAnsi="Times New Roman"/>
      <w:color w:val="000000"/>
      <w:sz w:val="24"/>
      <w:szCs w:val="24"/>
      <w:u w:val="none"/>
    </w:rPr>
  </w:style>
  <w:style w:type="character" w:customStyle="1" w:styleId="ListLabel285">
    <w:name w:val="ListLabel 285"/>
    <w:qFormat/>
    <w:rPr>
      <w:rFonts w:ascii="Times New Roman" w:eastAsiaTheme="majorEastAsia" w:hAnsi="Times New Roman" w:cs="Arial"/>
      <w:color w:val="00000A"/>
      <w:sz w:val="24"/>
      <w:szCs w:val="24"/>
    </w:rPr>
  </w:style>
  <w:style w:type="character" w:customStyle="1" w:styleId="ListLabel286">
    <w:name w:val="ListLabel 286"/>
    <w:qFormat/>
    <w:rPr>
      <w:rFonts w:cstheme="majorHAnsi"/>
    </w:rPr>
  </w:style>
  <w:style w:type="character" w:customStyle="1" w:styleId="ListLabel287">
    <w:name w:val="ListLabel 287"/>
    <w:qFormat/>
    <w:rPr>
      <w:rFonts w:cstheme="majorHAnsi"/>
      <w:color w:val="00000A"/>
      <w:sz w:val="22"/>
      <w:szCs w:val="22"/>
    </w:rPr>
  </w:style>
  <w:style w:type="character" w:customStyle="1" w:styleId="ListLabel288">
    <w:name w:val="ListLabel 288"/>
    <w:qFormat/>
    <w:rPr>
      <w:rFonts w:asciiTheme="majorHAnsi" w:hAnsiTheme="majorHAnsi"/>
    </w:rPr>
  </w:style>
  <w:style w:type="character" w:customStyle="1" w:styleId="ListLabel289">
    <w:name w:val="ListLabel 289"/>
    <w:qFormat/>
    <w:rPr>
      <w:rFonts w:cstheme="majorHAnsi"/>
      <w:sz w:val="20"/>
      <w:szCs w:val="18"/>
    </w:rPr>
  </w:style>
  <w:style w:type="character" w:customStyle="1" w:styleId="ListLabel290">
    <w:name w:val="ListLabel 290"/>
    <w:qFormat/>
    <w:rPr>
      <w:rFonts w:cstheme="majorHAnsi"/>
      <w:sz w:val="20"/>
      <w:szCs w:val="18"/>
      <w:lang w:eastAsia="sk-SK"/>
    </w:rPr>
  </w:style>
  <w:style w:type="character" w:customStyle="1" w:styleId="ListLabel291">
    <w:name w:val="ListLabel 291"/>
    <w:qFormat/>
    <w:rPr>
      <w:rFonts w:cstheme="majorHAnsi"/>
      <w:color w:val="00000A"/>
      <w:sz w:val="20"/>
      <w:szCs w:val="22"/>
    </w:rPr>
  </w:style>
  <w:style w:type="character" w:customStyle="1" w:styleId="ListLabel292">
    <w:name w:val="ListLabel 292"/>
    <w:qFormat/>
    <w:rPr>
      <w:rFonts w:eastAsia="Times New Roman" w:cstheme="majorHAnsi"/>
      <w:sz w:val="20"/>
      <w:szCs w:val="20"/>
      <w:lang w:eastAsia="sk-SK"/>
    </w:rPr>
  </w:style>
  <w:style w:type="paragraph" w:customStyle="1" w:styleId="Nadpis">
    <w:name w:val="Nadpis"/>
    <w:basedOn w:val="Normlny"/>
    <w:next w:val="Zkladntext"/>
    <w:qFormat/>
    <w:pPr>
      <w:keepNext/>
      <w:spacing w:before="240" w:after="120"/>
    </w:pPr>
    <w:rPr>
      <w:rFonts w:ascii="Liberation Sans" w:eastAsia="Noto Sans CJK SC Regular" w:hAnsi="Liberation Sans" w:cs="FreeSans"/>
      <w:sz w:val="28"/>
      <w:szCs w:val="28"/>
    </w:rPr>
  </w:style>
  <w:style w:type="paragraph" w:styleId="Zkladntext">
    <w:name w:val="Body Text"/>
    <w:basedOn w:val="Normlny"/>
    <w:link w:val="ZkladntextChar"/>
    <w:uiPriority w:val="99"/>
    <w:pPr>
      <w:spacing w:after="140" w:line="288" w:lineRule="auto"/>
    </w:pPr>
  </w:style>
  <w:style w:type="character" w:customStyle="1" w:styleId="ZkladntextChar">
    <w:name w:val="Základný text Char"/>
    <w:basedOn w:val="Predvolenpsmoodseku"/>
    <w:link w:val="Zkladntext"/>
    <w:uiPriority w:val="99"/>
    <w:rsid w:val="00AD09B4"/>
    <w:rPr>
      <w:rFonts w:ascii="Cambria" w:eastAsia="MS Mincho" w:hAnsi="Cambria" w:cs="Times New Roman"/>
      <w:color w:val="00000A"/>
      <w:sz w:val="24"/>
      <w:szCs w:val="24"/>
    </w:rPr>
  </w:style>
  <w:style w:type="paragraph" w:styleId="Zoznam">
    <w:name w:val="List"/>
    <w:basedOn w:val="Zkladntext"/>
    <w:rPr>
      <w:rFonts w:cs="FreeSans"/>
    </w:rPr>
  </w:style>
  <w:style w:type="paragraph" w:styleId="Popis">
    <w:name w:val="caption"/>
    <w:basedOn w:val="Normlny"/>
    <w:uiPriority w:val="35"/>
    <w:qFormat/>
    <w:pPr>
      <w:spacing w:after="200"/>
    </w:pPr>
    <w:rPr>
      <w:i/>
      <w:iCs/>
      <w:color w:val="1F497D" w:themeColor="text2"/>
      <w:sz w:val="18"/>
      <w:szCs w:val="18"/>
    </w:rPr>
  </w:style>
  <w:style w:type="paragraph" w:customStyle="1" w:styleId="Index">
    <w:name w:val="Index"/>
    <w:basedOn w:val="Normlny"/>
    <w:qFormat/>
    <w:pPr>
      <w:suppressLineNumbers/>
    </w:pPr>
    <w:rPr>
      <w:rFonts w:cs="FreeSans"/>
    </w:rPr>
  </w:style>
  <w:style w:type="paragraph" w:customStyle="1" w:styleId="Default">
    <w:name w:val="Default"/>
    <w:qFormat/>
    <w:rsid w:val="00D068CE"/>
    <w:pPr>
      <w:widowControl w:val="0"/>
    </w:pPr>
    <w:rPr>
      <w:rFonts w:ascii="Myriad Pro" w:eastAsia="MS Mincho" w:hAnsi="Myriad Pro" w:cs="Myriad Pro"/>
      <w:color w:val="000000"/>
      <w:sz w:val="24"/>
      <w:szCs w:val="24"/>
      <w:lang w:val="en-US"/>
    </w:rPr>
  </w:style>
  <w:style w:type="paragraph" w:styleId="Obsah1">
    <w:name w:val="toc 1"/>
    <w:basedOn w:val="Normlny"/>
    <w:autoRedefine/>
    <w:uiPriority w:val="39"/>
    <w:unhideWhenUsed/>
    <w:rsid w:val="00CB4C4A"/>
    <w:pPr>
      <w:tabs>
        <w:tab w:val="left" w:pos="851"/>
        <w:tab w:val="right" w:leader="dot" w:pos="9488"/>
      </w:tabs>
      <w:ind w:left="851" w:hanging="851"/>
      <w:jc w:val="left"/>
    </w:pPr>
    <w:rPr>
      <w:rFonts w:asciiTheme="majorHAnsi" w:eastAsiaTheme="minorEastAsia" w:hAnsiTheme="majorHAnsi" w:cstheme="minorBidi"/>
      <w:b/>
      <w:noProof/>
      <w:color w:val="auto"/>
    </w:rPr>
  </w:style>
  <w:style w:type="paragraph" w:styleId="Obsah2">
    <w:name w:val="toc 2"/>
    <w:basedOn w:val="Normlny"/>
    <w:autoRedefine/>
    <w:uiPriority w:val="39"/>
    <w:unhideWhenUsed/>
    <w:rsid w:val="00AB6AA1"/>
    <w:pPr>
      <w:tabs>
        <w:tab w:val="left" w:pos="880"/>
        <w:tab w:val="right" w:leader="dot" w:pos="9488"/>
      </w:tabs>
      <w:ind w:left="613" w:hanging="613"/>
      <w:jc w:val="left"/>
    </w:pPr>
    <w:rPr>
      <w:rFonts w:ascii="Calibri" w:eastAsiaTheme="minorEastAsia" w:hAnsi="Calibri" w:cstheme="minorBidi"/>
    </w:rPr>
  </w:style>
  <w:style w:type="paragraph" w:styleId="Odsekzoznamu">
    <w:name w:val="List Paragraph"/>
    <w:basedOn w:val="Normlny"/>
    <w:uiPriority w:val="34"/>
    <w:qFormat/>
    <w:rsid w:val="00684D5C"/>
    <w:pPr>
      <w:spacing w:after="200" w:line="276" w:lineRule="auto"/>
      <w:ind w:left="720"/>
      <w:contextualSpacing/>
      <w:jc w:val="left"/>
    </w:pPr>
    <w:rPr>
      <w:rFonts w:ascii="Calibri" w:eastAsia="Times New Roman" w:hAnsi="Calibri"/>
      <w:sz w:val="22"/>
      <w:szCs w:val="22"/>
      <w:lang w:eastAsia="sk-SK"/>
    </w:rPr>
  </w:style>
  <w:style w:type="paragraph" w:styleId="Normlnywebov">
    <w:name w:val="Normal (Web)"/>
    <w:basedOn w:val="Normlny"/>
    <w:uiPriority w:val="99"/>
    <w:qFormat/>
    <w:rsid w:val="00636B70"/>
    <w:pPr>
      <w:spacing w:beforeAutospacing="1" w:afterAutospacing="1"/>
    </w:pPr>
    <w:rPr>
      <w:rFonts w:ascii="Times New Roman" w:eastAsia="Times New Roman" w:hAnsi="Times New Roman"/>
    </w:rPr>
  </w:style>
  <w:style w:type="paragraph" w:styleId="Bezriadkovania">
    <w:name w:val="No Spacing"/>
    <w:basedOn w:val="Normlny"/>
    <w:uiPriority w:val="99"/>
    <w:qFormat/>
    <w:rsid w:val="005F427A"/>
    <w:pPr>
      <w:jc w:val="left"/>
    </w:pPr>
    <w:rPr>
      <w:rFonts w:ascii="Calibri" w:eastAsiaTheme="minorHAnsi" w:hAnsi="Calibri" w:cs="Calibri"/>
      <w:sz w:val="22"/>
      <w:szCs w:val="22"/>
    </w:rPr>
  </w:style>
  <w:style w:type="paragraph" w:customStyle="1" w:styleId="Obsahtabuky">
    <w:name w:val="Obsah tabuľky"/>
    <w:basedOn w:val="Normlny"/>
    <w:qFormat/>
  </w:style>
  <w:style w:type="paragraph" w:customStyle="1" w:styleId="Nadpistabuky">
    <w:name w:val="Nadpis tabuľky"/>
    <w:basedOn w:val="Obsahtabuky"/>
    <w:qFormat/>
  </w:style>
  <w:style w:type="paragraph" w:styleId="Hlavika">
    <w:name w:val="header"/>
    <w:basedOn w:val="Normlny"/>
    <w:link w:val="HlavikaChar"/>
    <w:uiPriority w:val="99"/>
    <w:pPr>
      <w:tabs>
        <w:tab w:val="center" w:pos="4320"/>
        <w:tab w:val="right" w:pos="8640"/>
      </w:tabs>
    </w:pPr>
  </w:style>
  <w:style w:type="character" w:customStyle="1" w:styleId="HlavikaChar">
    <w:name w:val="Hlavička Char"/>
    <w:basedOn w:val="Predvolenpsmoodseku"/>
    <w:link w:val="Hlavika"/>
    <w:uiPriority w:val="99"/>
    <w:rsid w:val="00AD09B4"/>
    <w:rPr>
      <w:rFonts w:ascii="Cambria" w:eastAsia="MS Mincho" w:hAnsi="Cambria" w:cs="Times New Roman"/>
      <w:color w:val="00000A"/>
      <w:sz w:val="24"/>
      <w:szCs w:val="24"/>
    </w:rPr>
  </w:style>
  <w:style w:type="paragraph" w:styleId="Pta">
    <w:name w:val="footer"/>
    <w:basedOn w:val="Normlny"/>
    <w:link w:val="PtaChar"/>
    <w:uiPriority w:val="99"/>
    <w:pPr>
      <w:tabs>
        <w:tab w:val="center" w:pos="4320"/>
        <w:tab w:val="right" w:pos="8640"/>
      </w:tabs>
    </w:pPr>
  </w:style>
  <w:style w:type="character" w:customStyle="1" w:styleId="PtaChar">
    <w:name w:val="Päta Char"/>
    <w:basedOn w:val="Predvolenpsmoodseku"/>
    <w:link w:val="Pta"/>
    <w:uiPriority w:val="99"/>
    <w:rsid w:val="00AD09B4"/>
    <w:rPr>
      <w:rFonts w:ascii="Cambria" w:eastAsia="MS Mincho" w:hAnsi="Cambria" w:cs="Times New Roman"/>
      <w:color w:val="00000A"/>
      <w:sz w:val="24"/>
      <w:szCs w:val="24"/>
    </w:rPr>
  </w:style>
  <w:style w:type="paragraph" w:styleId="Zkladntext2">
    <w:name w:val="Body Text 2"/>
    <w:basedOn w:val="Normlny"/>
    <w:link w:val="Zkladntext2Char"/>
    <w:uiPriority w:val="99"/>
    <w:qFormat/>
    <w:rPr>
      <w:rFonts w:ascii="Times New Roman" w:eastAsia="Times New Roman" w:hAnsi="Times New Roman"/>
      <w:sz w:val="22"/>
      <w:szCs w:val="20"/>
      <w:lang w:eastAsia="ko-KR"/>
    </w:rPr>
  </w:style>
  <w:style w:type="character" w:customStyle="1" w:styleId="Zkladntext2Char">
    <w:name w:val="Základný text 2 Char"/>
    <w:basedOn w:val="Predvolenpsmoodseku"/>
    <w:link w:val="Zkladntext2"/>
    <w:uiPriority w:val="99"/>
    <w:rsid w:val="00AD09B4"/>
    <w:rPr>
      <w:rFonts w:ascii="Times New Roman" w:eastAsia="Times New Roman" w:hAnsi="Times New Roman" w:cs="Times New Roman"/>
      <w:color w:val="00000A"/>
      <w:sz w:val="22"/>
      <w:szCs w:val="20"/>
      <w:lang w:eastAsia="ko-KR"/>
    </w:rPr>
  </w:style>
  <w:style w:type="paragraph" w:styleId="Nzov">
    <w:name w:val="Title"/>
    <w:basedOn w:val="Normlny"/>
    <w:link w:val="NzovChar"/>
    <w:uiPriority w:val="99"/>
    <w:qFormat/>
    <w:pPr>
      <w:jc w:val="center"/>
    </w:pPr>
    <w:rPr>
      <w:rFonts w:ascii="Times New Roman" w:eastAsia="Times New Roman" w:hAnsi="Times New Roman"/>
      <w:szCs w:val="20"/>
      <w:lang w:eastAsia="cs-CZ"/>
    </w:rPr>
  </w:style>
  <w:style w:type="character" w:customStyle="1" w:styleId="NzovChar">
    <w:name w:val="Názov Char"/>
    <w:basedOn w:val="Predvolenpsmoodseku"/>
    <w:link w:val="Nzov"/>
    <w:uiPriority w:val="99"/>
    <w:rsid w:val="00AD09B4"/>
    <w:rPr>
      <w:rFonts w:ascii="Times New Roman" w:eastAsia="Times New Roman" w:hAnsi="Times New Roman" w:cs="Times New Roman"/>
      <w:color w:val="00000A"/>
      <w:sz w:val="24"/>
      <w:szCs w:val="20"/>
      <w:lang w:eastAsia="cs-CZ"/>
    </w:rPr>
  </w:style>
  <w:style w:type="paragraph" w:styleId="Textbubliny">
    <w:name w:val="Balloon Text"/>
    <w:basedOn w:val="Normlny"/>
    <w:link w:val="TextbublinyChar"/>
    <w:uiPriority w:val="99"/>
    <w:semiHidden/>
    <w:unhideWhenUsed/>
    <w:rsid w:val="00A52F59"/>
    <w:rPr>
      <w:rFonts w:ascii="Tahoma" w:hAnsi="Tahoma" w:cs="Tahoma"/>
      <w:sz w:val="16"/>
      <w:szCs w:val="16"/>
    </w:rPr>
  </w:style>
  <w:style w:type="character" w:customStyle="1" w:styleId="TextbublinyChar">
    <w:name w:val="Text bubliny Char"/>
    <w:basedOn w:val="Predvolenpsmoodseku"/>
    <w:link w:val="Textbubliny"/>
    <w:uiPriority w:val="99"/>
    <w:semiHidden/>
    <w:rsid w:val="00A52F59"/>
    <w:rPr>
      <w:rFonts w:ascii="Tahoma" w:eastAsia="MS Mincho" w:hAnsi="Tahoma" w:cs="Tahoma"/>
      <w:color w:val="00000A"/>
      <w:sz w:val="16"/>
      <w:szCs w:val="16"/>
    </w:rPr>
  </w:style>
  <w:style w:type="character" w:styleId="Hypertextovprepojenie">
    <w:name w:val="Hyperlink"/>
    <w:basedOn w:val="Predvolenpsmoodseku"/>
    <w:uiPriority w:val="99"/>
    <w:unhideWhenUsed/>
    <w:rsid w:val="00AD09B4"/>
    <w:rPr>
      <w:color w:val="0000FF" w:themeColor="hyperlink"/>
      <w:u w:val="single"/>
    </w:rPr>
  </w:style>
  <w:style w:type="character" w:customStyle="1" w:styleId="TextkomentraChar">
    <w:name w:val="Text komentára Char"/>
    <w:basedOn w:val="Predvolenpsmoodseku"/>
    <w:link w:val="Textkomentra"/>
    <w:uiPriority w:val="99"/>
    <w:semiHidden/>
    <w:rsid w:val="00AD09B4"/>
    <w:rPr>
      <w:rFonts w:ascii="Calibri" w:eastAsia="Times New Roman" w:hAnsi="Calibri" w:cs="Times New Roman"/>
      <w:szCs w:val="20"/>
      <w:lang w:eastAsia="sk-SK"/>
    </w:rPr>
  </w:style>
  <w:style w:type="paragraph" w:styleId="Textkomentra">
    <w:name w:val="annotation text"/>
    <w:basedOn w:val="Normlny"/>
    <w:link w:val="TextkomentraChar"/>
    <w:uiPriority w:val="99"/>
    <w:semiHidden/>
    <w:unhideWhenUsed/>
    <w:rsid w:val="00AD09B4"/>
    <w:pPr>
      <w:spacing w:after="200" w:line="276" w:lineRule="auto"/>
      <w:jc w:val="left"/>
    </w:pPr>
    <w:rPr>
      <w:rFonts w:ascii="Calibri" w:eastAsia="Times New Roman" w:hAnsi="Calibri"/>
      <w:color w:val="auto"/>
      <w:sz w:val="20"/>
      <w:szCs w:val="20"/>
      <w:lang w:eastAsia="sk-SK"/>
    </w:rPr>
  </w:style>
  <w:style w:type="character" w:customStyle="1" w:styleId="TextpoznmkypodiarouChar">
    <w:name w:val="Text poznámky pod čiarou Char"/>
    <w:basedOn w:val="Predvolenpsmoodseku"/>
    <w:link w:val="Textpoznmkypodiarou"/>
    <w:uiPriority w:val="99"/>
    <w:rsid w:val="00AD09B4"/>
    <w:rPr>
      <w:rFonts w:ascii="Times New Roman" w:eastAsia="Times New Roman" w:hAnsi="Times New Roman" w:cs="Times New Roman"/>
      <w:szCs w:val="20"/>
      <w:lang w:eastAsia="sk-SK"/>
    </w:rPr>
  </w:style>
  <w:style w:type="paragraph" w:styleId="Textpoznmkypodiarou">
    <w:name w:val="footnote text"/>
    <w:basedOn w:val="Normlny"/>
    <w:link w:val="TextpoznmkypodiarouChar"/>
    <w:uiPriority w:val="99"/>
    <w:unhideWhenUsed/>
    <w:rsid w:val="00AD09B4"/>
    <w:pPr>
      <w:jc w:val="left"/>
    </w:pPr>
    <w:rPr>
      <w:rFonts w:ascii="Times New Roman" w:eastAsia="Times New Roman" w:hAnsi="Times New Roman"/>
      <w:color w:val="auto"/>
      <w:sz w:val="20"/>
      <w:szCs w:val="20"/>
      <w:lang w:eastAsia="sk-SK"/>
    </w:rPr>
  </w:style>
  <w:style w:type="paragraph" w:customStyle="1" w:styleId="tlArial11ptTunervenPodaokraja">
    <w:name w:val="Štýl Arial 11 pt Tučné Červená Podľa okraja"/>
    <w:basedOn w:val="Normlny"/>
    <w:rsid w:val="00AD09B4"/>
    <w:rPr>
      <w:rFonts w:ascii="Arial" w:eastAsia="Times New Roman" w:hAnsi="Arial"/>
      <w:bCs/>
      <w:color w:val="auto"/>
      <w:sz w:val="22"/>
      <w:szCs w:val="20"/>
      <w:lang w:eastAsia="cs-CZ"/>
    </w:rPr>
  </w:style>
  <w:style w:type="paragraph" w:styleId="Zarkazkladnhotextu">
    <w:name w:val="Body Text Indent"/>
    <w:basedOn w:val="Normlny"/>
    <w:link w:val="ZarkazkladnhotextuChar"/>
    <w:unhideWhenUsed/>
    <w:rsid w:val="00AD09B4"/>
    <w:pPr>
      <w:spacing w:after="120"/>
      <w:ind w:left="283"/>
      <w:jc w:val="left"/>
    </w:pPr>
    <w:rPr>
      <w:rFonts w:ascii="Times New Roman" w:eastAsia="Times New Roman" w:hAnsi="Times New Roman"/>
      <w:color w:val="auto"/>
      <w:lang w:eastAsia="sk-SK"/>
    </w:rPr>
  </w:style>
  <w:style w:type="character" w:customStyle="1" w:styleId="ZarkazkladnhotextuChar">
    <w:name w:val="Zarážka základného textu Char"/>
    <w:basedOn w:val="Predvolenpsmoodseku"/>
    <w:link w:val="Zarkazkladnhotextu"/>
    <w:rsid w:val="00AD09B4"/>
    <w:rPr>
      <w:rFonts w:ascii="Times New Roman" w:eastAsia="Times New Roman" w:hAnsi="Times New Roman" w:cs="Times New Roman"/>
      <w:sz w:val="24"/>
      <w:szCs w:val="24"/>
      <w:lang w:eastAsia="sk-SK"/>
    </w:rPr>
  </w:style>
  <w:style w:type="character" w:customStyle="1" w:styleId="PredmetkomentraChar">
    <w:name w:val="Predmet komentára Char"/>
    <w:basedOn w:val="TextkomentraChar"/>
    <w:link w:val="Predmetkomentra"/>
    <w:uiPriority w:val="99"/>
    <w:semiHidden/>
    <w:rsid w:val="00AD09B4"/>
    <w:rPr>
      <w:rFonts w:ascii="Calibri" w:eastAsia="Calibri" w:hAnsi="Calibri" w:cs="Times New Roman"/>
      <w:b/>
      <w:bCs/>
      <w:szCs w:val="20"/>
      <w:lang w:eastAsia="sk-SK"/>
    </w:rPr>
  </w:style>
  <w:style w:type="paragraph" w:styleId="Predmetkomentra">
    <w:name w:val="annotation subject"/>
    <w:basedOn w:val="Textkomentra"/>
    <w:next w:val="Textkomentra"/>
    <w:link w:val="PredmetkomentraChar"/>
    <w:uiPriority w:val="99"/>
    <w:semiHidden/>
    <w:unhideWhenUsed/>
    <w:rsid w:val="00AD09B4"/>
    <w:pPr>
      <w:spacing w:line="240" w:lineRule="auto"/>
    </w:pPr>
    <w:rPr>
      <w:rFonts w:eastAsia="Calibri"/>
      <w:b/>
      <w:bCs/>
      <w:lang w:eastAsia="en-US"/>
    </w:rPr>
  </w:style>
  <w:style w:type="paragraph" w:styleId="Hlavikaobsahu">
    <w:name w:val="TOC Heading"/>
    <w:basedOn w:val="Nadpis1"/>
    <w:next w:val="Normlny"/>
    <w:uiPriority w:val="39"/>
    <w:unhideWhenUsed/>
    <w:qFormat/>
    <w:rsid w:val="00AD09B4"/>
    <w:pPr>
      <w:outlineLvl w:val="9"/>
    </w:pPr>
    <w:rPr>
      <w:lang w:eastAsia="sk-SK"/>
    </w:rPr>
  </w:style>
  <w:style w:type="paragraph" w:styleId="Podtitul">
    <w:name w:val="Subtitle"/>
    <w:basedOn w:val="Normlny"/>
    <w:next w:val="Normlny"/>
    <w:link w:val="PodtitulChar"/>
    <w:uiPriority w:val="11"/>
    <w:qFormat/>
    <w:rsid w:val="00AD09B4"/>
    <w:pPr>
      <w:numPr>
        <w:ilvl w:val="1"/>
      </w:numPr>
      <w:jc w:val="left"/>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uiPriority w:val="11"/>
    <w:rsid w:val="00AD09B4"/>
    <w:rPr>
      <w:rFonts w:asciiTheme="majorHAnsi" w:eastAsiaTheme="majorEastAsia" w:hAnsiTheme="majorHAnsi" w:cstheme="majorBidi"/>
      <w:i/>
      <w:iCs/>
      <w:color w:val="4F81BD" w:themeColor="accent1"/>
      <w:spacing w:val="15"/>
      <w:sz w:val="24"/>
      <w:szCs w:val="24"/>
    </w:rPr>
  </w:style>
  <w:style w:type="paragraph" w:styleId="Zoznamobrzkov">
    <w:name w:val="table of figures"/>
    <w:basedOn w:val="Normlny"/>
    <w:next w:val="Normlny"/>
    <w:uiPriority w:val="99"/>
    <w:unhideWhenUsed/>
    <w:rsid w:val="00AD09B4"/>
    <w:pPr>
      <w:jc w:val="left"/>
    </w:pPr>
    <w:rPr>
      <w:rFonts w:asciiTheme="minorHAnsi" w:eastAsiaTheme="minorEastAsia" w:hAnsiTheme="minorHAnsi" w:cstheme="minorBidi"/>
      <w:color w:val="auto"/>
    </w:rPr>
  </w:style>
  <w:style w:type="character" w:customStyle="1" w:styleId="m-6072827416725835815msohyperlink">
    <w:name w:val="m_-6072827416725835815msohyperlink"/>
    <w:basedOn w:val="Predvolenpsmoodseku"/>
    <w:rsid w:val="00AD09B4"/>
  </w:style>
  <w:style w:type="paragraph" w:styleId="Obsah3">
    <w:name w:val="toc 3"/>
    <w:basedOn w:val="Normlny"/>
    <w:next w:val="Normlny"/>
    <w:autoRedefine/>
    <w:uiPriority w:val="39"/>
    <w:unhideWhenUsed/>
    <w:rsid w:val="00B90D56"/>
    <w:pPr>
      <w:jc w:val="left"/>
    </w:pPr>
  </w:style>
  <w:style w:type="character" w:styleId="slostrany">
    <w:name w:val="page number"/>
    <w:basedOn w:val="Predvolenpsmoodseku"/>
    <w:uiPriority w:val="99"/>
    <w:unhideWhenUsed/>
    <w:rsid w:val="00F83826"/>
  </w:style>
  <w:style w:type="character" w:styleId="PsacstrojHTML">
    <w:name w:val="HTML Typewriter"/>
    <w:basedOn w:val="Predvolenpsmoodseku"/>
    <w:uiPriority w:val="99"/>
    <w:semiHidden/>
    <w:rsid w:val="00F83826"/>
    <w:rPr>
      <w:rFonts w:ascii="Courier New" w:hAnsi="Courier New" w:cs="Courier New"/>
      <w:sz w:val="20"/>
      <w:szCs w:val="20"/>
    </w:rPr>
  </w:style>
  <w:style w:type="character" w:styleId="Odkaznapoznmkupodiarou">
    <w:name w:val="footnote reference"/>
    <w:uiPriority w:val="99"/>
    <w:unhideWhenUsed/>
    <w:rsid w:val="00F83826"/>
    <w:rPr>
      <w:vertAlign w:val="superscript"/>
    </w:rPr>
  </w:style>
  <w:style w:type="table" w:styleId="Mriekatabuky">
    <w:name w:val="Table Grid"/>
    <w:basedOn w:val="Normlnatabuka"/>
    <w:uiPriority w:val="59"/>
    <w:rsid w:val="00F83826"/>
    <w:rPr>
      <w:rFonts w:ascii="Cambria" w:eastAsia="MS Mincho" w:hAnsi="Cambria" w:cs="Times New Roman"/>
      <w:szCs w:val="20"/>
      <w:lang w:eastAsia="sk-SK"/>
    </w:rPr>
    <w:tblPr/>
  </w:style>
  <w:style w:type="character" w:styleId="PouitHypertextovPrepojenie">
    <w:name w:val="FollowedHyperlink"/>
    <w:uiPriority w:val="99"/>
    <w:semiHidden/>
    <w:unhideWhenUsed/>
    <w:rsid w:val="00F83826"/>
    <w:rPr>
      <w:color w:val="800080"/>
      <w:u w:val="single"/>
    </w:rPr>
  </w:style>
  <w:style w:type="character" w:customStyle="1" w:styleId="snormalnyChar">
    <w:name w:val="s_normalny Char"/>
    <w:link w:val="snormalny"/>
    <w:locked/>
    <w:rsid w:val="00F83826"/>
    <w:rPr>
      <w:rFonts w:ascii="Arial" w:eastAsia="Times New Roman" w:hAnsi="Arial" w:cs="Arial"/>
      <w:color w:val="1F497D"/>
    </w:rPr>
  </w:style>
  <w:style w:type="paragraph" w:customStyle="1" w:styleId="snormalny">
    <w:name w:val="s_normalny"/>
    <w:basedOn w:val="Normlny"/>
    <w:link w:val="snormalnyChar"/>
    <w:qFormat/>
    <w:rsid w:val="00F83826"/>
    <w:pPr>
      <w:spacing w:after="200" w:line="276" w:lineRule="auto"/>
      <w:jc w:val="left"/>
    </w:pPr>
    <w:rPr>
      <w:rFonts w:ascii="Arial" w:eastAsia="Times New Roman" w:hAnsi="Arial" w:cs="Arial"/>
      <w:color w:val="1F497D"/>
      <w:sz w:val="20"/>
      <w:szCs w:val="22"/>
    </w:rPr>
  </w:style>
  <w:style w:type="character" w:customStyle="1" w:styleId="TextkomentraChar1">
    <w:name w:val="Text komentára Char1"/>
    <w:uiPriority w:val="99"/>
    <w:semiHidden/>
    <w:rsid w:val="00F83826"/>
    <w:rPr>
      <w:rFonts w:ascii="Cambria" w:eastAsia="MS Mincho" w:hAnsi="Cambria" w:cs="Times New Roman"/>
      <w:sz w:val="20"/>
      <w:szCs w:val="20"/>
    </w:rPr>
  </w:style>
  <w:style w:type="character" w:customStyle="1" w:styleId="PredmetkomentraChar1">
    <w:name w:val="Predmet komentára Char1"/>
    <w:basedOn w:val="TextkomentraChar"/>
    <w:uiPriority w:val="99"/>
    <w:semiHidden/>
    <w:rsid w:val="00F83826"/>
    <w:rPr>
      <w:rFonts w:ascii="Calibri" w:eastAsia="Times New Roman" w:hAnsi="Calibri" w:cs="Times New Roman"/>
      <w:b/>
      <w:bCs/>
      <w:sz w:val="20"/>
      <w:szCs w:val="20"/>
      <w:lang w:eastAsia="sk-SK"/>
    </w:rPr>
  </w:style>
  <w:style w:type="character" w:customStyle="1" w:styleId="TextkomentraChar2">
    <w:name w:val="Text komentára Char2"/>
    <w:uiPriority w:val="99"/>
    <w:semiHidden/>
    <w:rsid w:val="00F83826"/>
    <w:rPr>
      <w:rFonts w:ascii="Cambria" w:eastAsia="MS Mincho" w:hAnsi="Cambria" w:cs="Times New Roman"/>
      <w:sz w:val="20"/>
      <w:szCs w:val="20"/>
      <w:lang w:val="sk-SK"/>
    </w:rPr>
  </w:style>
  <w:style w:type="character" w:customStyle="1" w:styleId="ZarkazkladnhotextuChar1">
    <w:name w:val="Zarážka základného textu Char1"/>
    <w:basedOn w:val="Predvolenpsmoodseku"/>
    <w:uiPriority w:val="99"/>
    <w:semiHidden/>
    <w:rsid w:val="00F83826"/>
  </w:style>
  <w:style w:type="character" w:customStyle="1" w:styleId="Zkladntext2Char1">
    <w:name w:val="Základný text 2 Char1"/>
    <w:basedOn w:val="Predvolenpsmoodseku"/>
    <w:uiPriority w:val="99"/>
    <w:semiHidden/>
    <w:rsid w:val="00F83826"/>
  </w:style>
  <w:style w:type="paragraph" w:customStyle="1" w:styleId="vchoz">
    <w:name w:val="vchoz"/>
    <w:basedOn w:val="Normlny"/>
    <w:rsid w:val="00F83826"/>
    <w:pPr>
      <w:spacing w:before="100" w:beforeAutospacing="1" w:after="100" w:afterAutospacing="1"/>
    </w:pPr>
    <w:rPr>
      <w:rFonts w:ascii="Times New Roman" w:eastAsia="Times New Roman" w:hAnsi="Times New Roman"/>
      <w:color w:val="auto"/>
      <w:lang w:eastAsia="sk-SK"/>
    </w:rPr>
  </w:style>
  <w:style w:type="character" w:styleId="Zvraznenie">
    <w:name w:val="Emphasis"/>
    <w:uiPriority w:val="20"/>
    <w:qFormat/>
    <w:rsid w:val="00F83826"/>
    <w:rPr>
      <w:rFonts w:cs="Times New Roman"/>
      <w:i/>
    </w:rPr>
  </w:style>
  <w:style w:type="character" w:customStyle="1" w:styleId="Zarkazkladnhotextu3Char">
    <w:name w:val="Zarážka základného textu 3 Char"/>
    <w:link w:val="Zarkazkladnhotextu3"/>
    <w:uiPriority w:val="99"/>
    <w:semiHidden/>
    <w:rsid w:val="00F83826"/>
    <w:rPr>
      <w:rFonts w:ascii="Times New Roman" w:eastAsia="Times New Roman" w:hAnsi="Times New Roman"/>
      <w:color w:val="000000"/>
      <w:sz w:val="16"/>
      <w:szCs w:val="16"/>
      <w:lang w:eastAsia="cs-CZ"/>
    </w:rPr>
  </w:style>
  <w:style w:type="paragraph" w:styleId="Zarkazkladnhotextu3">
    <w:name w:val="Body Text Indent 3"/>
    <w:basedOn w:val="Normlny"/>
    <w:link w:val="Zarkazkladnhotextu3Char"/>
    <w:uiPriority w:val="99"/>
    <w:semiHidden/>
    <w:unhideWhenUsed/>
    <w:rsid w:val="00F83826"/>
    <w:pPr>
      <w:spacing w:after="120"/>
      <w:ind w:left="283"/>
    </w:pPr>
    <w:rPr>
      <w:rFonts w:ascii="Times New Roman" w:eastAsia="Times New Roman" w:hAnsi="Times New Roman" w:cstheme="minorBidi"/>
      <w:color w:val="000000"/>
      <w:sz w:val="16"/>
      <w:szCs w:val="16"/>
      <w:lang w:eastAsia="cs-CZ"/>
    </w:rPr>
  </w:style>
  <w:style w:type="character" w:customStyle="1" w:styleId="Zarkazkladnhotextu3Char1">
    <w:name w:val="Zarážka základného textu 3 Char1"/>
    <w:basedOn w:val="Predvolenpsmoodseku"/>
    <w:uiPriority w:val="99"/>
    <w:semiHidden/>
    <w:rsid w:val="00F83826"/>
    <w:rPr>
      <w:rFonts w:ascii="Cambria" w:eastAsia="MS Mincho" w:hAnsi="Cambria" w:cs="Times New Roman"/>
      <w:color w:val="00000A"/>
      <w:sz w:val="16"/>
      <w:szCs w:val="16"/>
    </w:rPr>
  </w:style>
  <w:style w:type="character" w:customStyle="1" w:styleId="Zkladntext3Char">
    <w:name w:val="Základný text 3 Char"/>
    <w:link w:val="Zkladntext3"/>
    <w:uiPriority w:val="99"/>
    <w:semiHidden/>
    <w:rsid w:val="00F83826"/>
    <w:rPr>
      <w:rFonts w:ascii="Calibri" w:eastAsia="Times New Roman" w:hAnsi="Calibri"/>
      <w:sz w:val="16"/>
      <w:szCs w:val="16"/>
    </w:rPr>
  </w:style>
  <w:style w:type="paragraph" w:styleId="Zkladntext3">
    <w:name w:val="Body Text 3"/>
    <w:basedOn w:val="Normlny"/>
    <w:link w:val="Zkladntext3Char"/>
    <w:uiPriority w:val="99"/>
    <w:semiHidden/>
    <w:unhideWhenUsed/>
    <w:rsid w:val="00F83826"/>
    <w:pPr>
      <w:spacing w:after="120"/>
    </w:pPr>
    <w:rPr>
      <w:rFonts w:ascii="Calibri" w:eastAsia="Times New Roman" w:hAnsi="Calibri" w:cstheme="minorBidi"/>
      <w:color w:val="auto"/>
      <w:sz w:val="16"/>
      <w:szCs w:val="16"/>
    </w:rPr>
  </w:style>
  <w:style w:type="character" w:customStyle="1" w:styleId="Zkladntext3Char1">
    <w:name w:val="Základný text 3 Char1"/>
    <w:basedOn w:val="Predvolenpsmoodseku"/>
    <w:uiPriority w:val="99"/>
    <w:semiHidden/>
    <w:rsid w:val="00F83826"/>
    <w:rPr>
      <w:rFonts w:ascii="Cambria" w:eastAsia="MS Mincho" w:hAnsi="Cambria" w:cs="Times New Roman"/>
      <w:color w:val="00000A"/>
      <w:sz w:val="16"/>
      <w:szCs w:val="16"/>
    </w:rPr>
  </w:style>
  <w:style w:type="character" w:styleId="Odkaznakomentr">
    <w:name w:val="annotation reference"/>
    <w:uiPriority w:val="99"/>
    <w:semiHidden/>
    <w:unhideWhenUsed/>
    <w:rsid w:val="00F83826"/>
    <w:rPr>
      <w:sz w:val="16"/>
      <w:szCs w:val="16"/>
    </w:rPr>
  </w:style>
  <w:style w:type="paragraph" w:customStyle="1" w:styleId="blok">
    <w:name w:val="blok"/>
    <w:basedOn w:val="Normlny"/>
    <w:rsid w:val="00F83826"/>
    <w:pPr>
      <w:spacing w:before="100" w:beforeAutospacing="1" w:after="100" w:afterAutospacing="1"/>
      <w:jc w:val="left"/>
    </w:pPr>
    <w:rPr>
      <w:rFonts w:ascii="Times New Roman" w:eastAsia="Times New Roman" w:hAnsi="Times New Roman"/>
      <w:color w:val="auto"/>
      <w:lang w:eastAsia="sk-SK"/>
    </w:rPr>
  </w:style>
  <w:style w:type="character" w:customStyle="1" w:styleId="st1">
    <w:name w:val="st1"/>
    <w:rsid w:val="00F83826"/>
  </w:style>
  <w:style w:type="character" w:customStyle="1" w:styleId="h1a">
    <w:name w:val="h1a"/>
    <w:basedOn w:val="Predvolenpsmoodseku"/>
    <w:rsid w:val="00F83826"/>
  </w:style>
  <w:style w:type="paragraph" w:styleId="z-Hornokrajformulra">
    <w:name w:val="HTML Top of Form"/>
    <w:basedOn w:val="Normlny"/>
    <w:next w:val="Normlny"/>
    <w:link w:val="z-HornokrajformulraChar"/>
    <w:hidden/>
    <w:uiPriority w:val="99"/>
    <w:semiHidden/>
    <w:unhideWhenUsed/>
    <w:rsid w:val="00F83826"/>
    <w:pPr>
      <w:pBdr>
        <w:bottom w:val="single" w:sz="6" w:space="1" w:color="auto"/>
      </w:pBdr>
      <w:jc w:val="center"/>
    </w:pPr>
    <w:rPr>
      <w:rFonts w:ascii="Arial" w:eastAsia="Times New Roman" w:hAnsi="Arial" w:cs="Arial"/>
      <w:vanish/>
      <w:color w:val="auto"/>
      <w:sz w:val="16"/>
      <w:szCs w:val="16"/>
      <w:lang w:eastAsia="sk-SK"/>
    </w:rPr>
  </w:style>
  <w:style w:type="character" w:customStyle="1" w:styleId="z-HornokrajformulraChar">
    <w:name w:val="z-Horný okraj formulára Char"/>
    <w:basedOn w:val="Predvolenpsmoodseku"/>
    <w:link w:val="z-Hornokrajformulra"/>
    <w:uiPriority w:val="99"/>
    <w:semiHidden/>
    <w:rsid w:val="00F83826"/>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unhideWhenUsed/>
    <w:rsid w:val="00F83826"/>
    <w:pPr>
      <w:pBdr>
        <w:top w:val="single" w:sz="6" w:space="1" w:color="auto"/>
      </w:pBdr>
      <w:jc w:val="center"/>
    </w:pPr>
    <w:rPr>
      <w:rFonts w:ascii="Arial" w:eastAsia="Times New Roman" w:hAnsi="Arial" w:cs="Arial"/>
      <w:vanish/>
      <w:color w:val="auto"/>
      <w:sz w:val="16"/>
      <w:szCs w:val="16"/>
      <w:lang w:eastAsia="sk-SK"/>
    </w:rPr>
  </w:style>
  <w:style w:type="character" w:customStyle="1" w:styleId="z-SpodnokrajformulraChar">
    <w:name w:val="z-Spodný okraj formulára Char"/>
    <w:basedOn w:val="Predvolenpsmoodseku"/>
    <w:link w:val="z-Spodnokrajformulra"/>
    <w:uiPriority w:val="99"/>
    <w:rsid w:val="00F83826"/>
    <w:rPr>
      <w:rFonts w:ascii="Arial" w:eastAsia="Times New Roman" w:hAnsi="Arial" w:cs="Arial"/>
      <w:vanish/>
      <w:sz w:val="16"/>
      <w:szCs w:val="16"/>
      <w:lang w:eastAsia="sk-SK"/>
    </w:rPr>
  </w:style>
  <w:style w:type="paragraph" w:customStyle="1" w:styleId="yiv5001537072msolistparagraph">
    <w:name w:val="yiv5001537072msolistparagraph"/>
    <w:basedOn w:val="Normlny"/>
    <w:rsid w:val="00306555"/>
    <w:pPr>
      <w:spacing w:before="100" w:beforeAutospacing="1" w:after="100" w:afterAutospacing="1"/>
      <w:jc w:val="left"/>
    </w:pPr>
    <w:rPr>
      <w:rFonts w:ascii="Times New Roman" w:eastAsia="Times New Roman" w:hAnsi="Times New Roman"/>
      <w:color w:val="auto"/>
      <w:lang w:eastAsia="sk-SK" w:bidi="lo-LA"/>
    </w:rPr>
  </w:style>
  <w:style w:type="table" w:styleId="Svetlzoznamzvraznenie2">
    <w:name w:val="Light List Accent 2"/>
    <w:basedOn w:val="Normlnatabuka"/>
    <w:uiPriority w:val="61"/>
    <w:rsid w:val="007431AE"/>
    <w:rPr>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Paragraph">
    <w:name w:val="Table Paragraph"/>
    <w:basedOn w:val="Normlny"/>
    <w:uiPriority w:val="1"/>
    <w:semiHidden/>
    <w:qFormat/>
    <w:rsid w:val="007431AE"/>
    <w:pPr>
      <w:widowControl w:val="0"/>
      <w:jc w:val="left"/>
    </w:pPr>
    <w:rPr>
      <w:rFonts w:asciiTheme="minorHAnsi" w:eastAsiaTheme="minorHAnsi" w:hAnsiTheme="minorHAnsi" w:cstheme="minorBidi"/>
      <w:color w:val="auto"/>
      <w:sz w:val="22"/>
      <w:szCs w:val="22"/>
    </w:rPr>
  </w:style>
  <w:style w:type="table" w:customStyle="1" w:styleId="TableNormal">
    <w:name w:val="Table Normal"/>
    <w:uiPriority w:val="2"/>
    <w:semiHidden/>
    <w:qFormat/>
    <w:rsid w:val="007431AE"/>
    <w:pPr>
      <w:widowControl w:val="0"/>
    </w:pPr>
    <w:rPr>
      <w:sz w:val="22"/>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068CE"/>
    <w:pPr>
      <w:jc w:val="both"/>
    </w:pPr>
    <w:rPr>
      <w:rFonts w:ascii="Cambria" w:eastAsia="MS Mincho" w:hAnsi="Cambria" w:cs="Times New Roman"/>
      <w:color w:val="00000A"/>
      <w:sz w:val="24"/>
      <w:szCs w:val="24"/>
    </w:rPr>
  </w:style>
  <w:style w:type="paragraph" w:styleId="Nadpis1">
    <w:name w:val="heading 1"/>
    <w:basedOn w:val="Normlny"/>
    <w:link w:val="Nadpis1Char"/>
    <w:uiPriority w:val="9"/>
    <w:qFormat/>
    <w:rsid w:val="00684D5C"/>
    <w:pPr>
      <w:keepNext/>
      <w:keepLines/>
      <w:numPr>
        <w:numId w:val="1"/>
      </w:numPr>
      <w:tabs>
        <w:tab w:val="left" w:pos="426"/>
      </w:tabs>
      <w:ind w:left="0" w:firstLine="0"/>
      <w:jc w:val="left"/>
      <w:outlineLvl w:val="0"/>
    </w:pPr>
    <w:rPr>
      <w:rFonts w:asciiTheme="majorHAnsi" w:eastAsiaTheme="majorEastAsia" w:hAnsiTheme="majorHAnsi" w:cstheme="majorBidi"/>
      <w:b/>
      <w:bCs/>
      <w:color w:val="365F91" w:themeColor="accent1" w:themeShade="BF"/>
    </w:rPr>
  </w:style>
  <w:style w:type="paragraph" w:styleId="Nadpis2">
    <w:name w:val="heading 2"/>
    <w:basedOn w:val="Normlny"/>
    <w:link w:val="Nadpis2Char"/>
    <w:uiPriority w:val="9"/>
    <w:unhideWhenUsed/>
    <w:qFormat/>
    <w:rsid w:val="00684D5C"/>
    <w:pPr>
      <w:keepNext/>
      <w:keepLines/>
      <w:numPr>
        <w:ilvl w:val="1"/>
        <w:numId w:val="1"/>
      </w:numPr>
      <w:tabs>
        <w:tab w:val="left" w:pos="567"/>
      </w:tabs>
      <w:spacing w:after="120"/>
      <w:ind w:left="0" w:firstLine="0"/>
      <w:jc w:val="left"/>
      <w:outlineLvl w:val="1"/>
    </w:pPr>
    <w:rPr>
      <w:rFonts w:asciiTheme="majorHAnsi" w:eastAsiaTheme="majorEastAsia" w:hAnsiTheme="majorHAnsi" w:cstheme="majorBidi"/>
      <w:b/>
      <w:bCs/>
      <w:color w:val="0F243E" w:themeColor="text2" w:themeShade="80"/>
      <w:sz w:val="26"/>
      <w:szCs w:val="26"/>
    </w:rPr>
  </w:style>
  <w:style w:type="paragraph" w:styleId="Nadpis3">
    <w:name w:val="heading 3"/>
    <w:basedOn w:val="Normlny"/>
    <w:next w:val="Normlny"/>
    <w:link w:val="Nadpis3Char"/>
    <w:uiPriority w:val="9"/>
    <w:unhideWhenUsed/>
    <w:qFormat/>
    <w:rsid w:val="00AD09B4"/>
    <w:pPr>
      <w:keepNext/>
      <w:keepLines/>
      <w:spacing w:before="200" w:line="276" w:lineRule="auto"/>
      <w:jc w:val="left"/>
      <w:outlineLvl w:val="2"/>
    </w:pPr>
    <w:rPr>
      <w:rFonts w:asciiTheme="majorHAnsi" w:eastAsiaTheme="majorEastAsia" w:hAnsiTheme="majorHAnsi" w:cstheme="majorBidi"/>
      <w:b/>
      <w:bCs/>
      <w:color w:val="4F81BD" w:themeColor="accent1"/>
      <w:sz w:val="22"/>
      <w:szCs w:val="22"/>
    </w:rPr>
  </w:style>
  <w:style w:type="paragraph" w:styleId="Nadpis4">
    <w:name w:val="heading 4"/>
    <w:basedOn w:val="Normlny"/>
    <w:next w:val="Normlny"/>
    <w:link w:val="Nadpis4Char"/>
    <w:uiPriority w:val="9"/>
    <w:unhideWhenUsed/>
    <w:qFormat/>
    <w:rsid w:val="00AD09B4"/>
    <w:pPr>
      <w:keepNext/>
      <w:keepLines/>
      <w:spacing w:before="200"/>
      <w:jc w:val="left"/>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AD09B4"/>
    <w:pPr>
      <w:keepNext/>
      <w:keepLines/>
      <w:spacing w:before="200"/>
      <w:jc w:val="left"/>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unhideWhenUsed/>
    <w:qFormat/>
    <w:rsid w:val="00AD09B4"/>
    <w:pPr>
      <w:keepNext/>
      <w:keepLines/>
      <w:spacing w:before="200"/>
      <w:jc w:val="left"/>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376588"/>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F83826"/>
    <w:pPr>
      <w:spacing w:before="240" w:after="60"/>
      <w:outlineLvl w:val="7"/>
    </w:pPr>
    <w:rPr>
      <w:rFonts w:ascii="Calibri" w:eastAsia="Times New Roman" w:hAnsi="Calibri"/>
      <w:i/>
      <w:iCs/>
      <w:color w:val="000000"/>
      <w:lang w:eastAsia="cs-CZ"/>
    </w:rPr>
  </w:style>
  <w:style w:type="paragraph" w:styleId="Nadpis9">
    <w:name w:val="heading 9"/>
    <w:basedOn w:val="Normlny"/>
    <w:next w:val="Normlny"/>
    <w:link w:val="Nadpis9Char"/>
    <w:uiPriority w:val="99"/>
    <w:qFormat/>
    <w:rsid w:val="00F83826"/>
    <w:pPr>
      <w:spacing w:before="240" w:after="60"/>
      <w:outlineLvl w:val="8"/>
    </w:pPr>
    <w:rPr>
      <w:rFonts w:ascii="Arial" w:eastAsia="Times New Roman" w:hAnsi="Arial" w:cs="Arial"/>
      <w:color w:val="000000"/>
      <w:sz w:val="22"/>
      <w:szCs w:val="22"/>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qFormat/>
    <w:rsid w:val="00684D5C"/>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Predvolenpsmoodseku"/>
    <w:link w:val="Nadpis2"/>
    <w:uiPriority w:val="9"/>
    <w:qFormat/>
    <w:rsid w:val="00684D5C"/>
    <w:rPr>
      <w:rFonts w:asciiTheme="majorHAnsi" w:eastAsiaTheme="majorEastAsia" w:hAnsiTheme="majorHAnsi" w:cstheme="majorBidi"/>
      <w:b/>
      <w:bCs/>
      <w:color w:val="0F243E" w:themeColor="text2" w:themeShade="80"/>
      <w:sz w:val="26"/>
      <w:szCs w:val="26"/>
    </w:rPr>
  </w:style>
  <w:style w:type="character" w:customStyle="1" w:styleId="Nadpis3Char">
    <w:name w:val="Nadpis 3 Char"/>
    <w:basedOn w:val="Predvolenpsmoodseku"/>
    <w:link w:val="Nadpis3"/>
    <w:uiPriority w:val="9"/>
    <w:rsid w:val="00AD09B4"/>
    <w:rPr>
      <w:rFonts w:asciiTheme="majorHAnsi" w:eastAsiaTheme="majorEastAsia" w:hAnsiTheme="majorHAnsi" w:cstheme="majorBidi"/>
      <w:b/>
      <w:bCs/>
      <w:color w:val="4F81BD" w:themeColor="accent1"/>
      <w:sz w:val="22"/>
    </w:rPr>
  </w:style>
  <w:style w:type="character" w:customStyle="1" w:styleId="Nadpis4Char">
    <w:name w:val="Nadpis 4 Char"/>
    <w:basedOn w:val="Predvolenpsmoodseku"/>
    <w:link w:val="Nadpis4"/>
    <w:uiPriority w:val="9"/>
    <w:rsid w:val="00AD09B4"/>
    <w:rPr>
      <w:rFonts w:asciiTheme="majorHAnsi" w:eastAsiaTheme="majorEastAsia" w:hAnsiTheme="majorHAnsi" w:cstheme="majorBidi"/>
      <w:b/>
      <w:bCs/>
      <w:i/>
      <w:iCs/>
      <w:color w:val="4F81BD" w:themeColor="accent1"/>
      <w:sz w:val="24"/>
      <w:szCs w:val="24"/>
    </w:rPr>
  </w:style>
  <w:style w:type="character" w:customStyle="1" w:styleId="Nadpis5Char">
    <w:name w:val="Nadpis 5 Char"/>
    <w:basedOn w:val="Predvolenpsmoodseku"/>
    <w:link w:val="Nadpis5"/>
    <w:uiPriority w:val="9"/>
    <w:rsid w:val="00AD09B4"/>
    <w:rPr>
      <w:rFonts w:asciiTheme="majorHAnsi" w:eastAsiaTheme="majorEastAsia" w:hAnsiTheme="majorHAnsi" w:cstheme="majorBidi"/>
      <w:color w:val="243F60" w:themeColor="accent1" w:themeShade="7F"/>
      <w:sz w:val="24"/>
      <w:szCs w:val="24"/>
    </w:rPr>
  </w:style>
  <w:style w:type="character" w:customStyle="1" w:styleId="Nadpis6Char">
    <w:name w:val="Nadpis 6 Char"/>
    <w:basedOn w:val="Predvolenpsmoodseku"/>
    <w:link w:val="Nadpis6"/>
    <w:uiPriority w:val="9"/>
    <w:rsid w:val="00AD09B4"/>
    <w:rPr>
      <w:rFonts w:asciiTheme="majorHAnsi" w:eastAsiaTheme="majorEastAsia" w:hAnsiTheme="majorHAnsi" w:cstheme="majorBidi"/>
      <w:i/>
      <w:iCs/>
      <w:color w:val="243F60" w:themeColor="accent1" w:themeShade="7F"/>
      <w:sz w:val="24"/>
      <w:szCs w:val="24"/>
    </w:rPr>
  </w:style>
  <w:style w:type="character" w:customStyle="1" w:styleId="Nadpis7Char">
    <w:name w:val="Nadpis 7 Char"/>
    <w:basedOn w:val="Predvolenpsmoodseku"/>
    <w:link w:val="Nadpis7"/>
    <w:semiHidden/>
    <w:rsid w:val="00376588"/>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Predvolenpsmoodseku"/>
    <w:link w:val="Nadpis8"/>
    <w:uiPriority w:val="9"/>
    <w:semiHidden/>
    <w:rsid w:val="00F83826"/>
    <w:rPr>
      <w:rFonts w:ascii="Calibri" w:eastAsia="Times New Roman" w:hAnsi="Calibri" w:cs="Times New Roman"/>
      <w:i/>
      <w:iCs/>
      <w:color w:val="000000"/>
      <w:sz w:val="24"/>
      <w:szCs w:val="24"/>
      <w:lang w:eastAsia="cs-CZ"/>
    </w:rPr>
  </w:style>
  <w:style w:type="character" w:customStyle="1" w:styleId="Nadpis9Char">
    <w:name w:val="Nadpis 9 Char"/>
    <w:basedOn w:val="Predvolenpsmoodseku"/>
    <w:link w:val="Nadpis9"/>
    <w:uiPriority w:val="99"/>
    <w:rsid w:val="00F83826"/>
    <w:rPr>
      <w:rFonts w:ascii="Arial" w:eastAsia="Times New Roman" w:hAnsi="Arial" w:cs="Arial"/>
      <w:color w:val="000000"/>
      <w:sz w:val="22"/>
      <w:lang w:eastAsia="cs-CZ"/>
    </w:rPr>
  </w:style>
  <w:style w:type="character" w:customStyle="1" w:styleId="Internetovodkaz">
    <w:name w:val="Internetový odkaz"/>
    <w:basedOn w:val="Predvolenpsmoodseku"/>
    <w:uiPriority w:val="99"/>
    <w:unhideWhenUsed/>
    <w:rsid w:val="00C20B13"/>
    <w:rPr>
      <w:color w:val="0000FF" w:themeColor="hyperlink"/>
      <w:u w:val="single"/>
    </w:rPr>
  </w:style>
  <w:style w:type="character" w:customStyle="1" w:styleId="Zdraznenie">
    <w:name w:val="Zdôraznenie"/>
    <w:uiPriority w:val="20"/>
    <w:qFormat/>
    <w:rsid w:val="00636B70"/>
    <w:rPr>
      <w:rFonts w:cs="Times New Roman"/>
      <w:i/>
    </w:rPr>
  </w:style>
  <w:style w:type="character" w:styleId="Siln">
    <w:name w:val="Strong"/>
    <w:basedOn w:val="Predvolenpsmoodseku"/>
    <w:uiPriority w:val="22"/>
    <w:qFormat/>
    <w:rsid w:val="00681EE5"/>
    <w:rPr>
      <w:b/>
      <w:bCs/>
    </w:rPr>
  </w:style>
  <w:style w:type="character" w:customStyle="1" w:styleId="ObyajntextChar">
    <w:name w:val="Obyčajný text Char"/>
    <w:basedOn w:val="Predvolenpsmoodseku"/>
    <w:link w:val="Obyajntext"/>
    <w:uiPriority w:val="99"/>
    <w:qFormat/>
    <w:rsid w:val="005F427A"/>
    <w:rPr>
      <w:rFonts w:ascii="Calibri" w:hAnsi="Calibri" w:cs="Calibri"/>
    </w:rPr>
  </w:style>
  <w:style w:type="paragraph" w:styleId="Obyajntext">
    <w:name w:val="Plain Text"/>
    <w:basedOn w:val="Normlny"/>
    <w:link w:val="ObyajntextChar"/>
    <w:uiPriority w:val="99"/>
    <w:unhideWhenUsed/>
    <w:qFormat/>
    <w:rsid w:val="005F427A"/>
    <w:rPr>
      <w:rFonts w:ascii="Calibri" w:eastAsiaTheme="minorHAnsi" w:hAnsi="Calibri" w:cs="Calibri"/>
      <w:sz w:val="22"/>
      <w:szCs w:val="22"/>
    </w:rPr>
  </w:style>
  <w:style w:type="character" w:customStyle="1" w:styleId="apple-converted-space">
    <w:name w:val="apple-converted-space"/>
    <w:basedOn w:val="Predvolenpsmoodseku"/>
    <w:qFormat/>
    <w:rsid w:val="005F427A"/>
  </w:style>
  <w:style w:type="character" w:customStyle="1" w:styleId="ListLabel1">
    <w:name w:val="ListLabel 1"/>
    <w:qFormat/>
    <w:rPr>
      <w:rFonts w:cs="Times New Roman"/>
      <w:b/>
      <w:i w:val="0"/>
      <w:color w:val="00000A"/>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b/>
    </w:rPr>
  </w:style>
  <w:style w:type="character" w:customStyle="1" w:styleId="ListLabel12">
    <w:name w:val="ListLabel 12"/>
    <w:qFormat/>
    <w:rPr>
      <w:rFonts w:eastAsia="MS Mincho" w:cs="Times New Roman"/>
      <w:sz w:val="24"/>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40">
    <w:name w:val="ListLabel 40"/>
    <w:qFormat/>
    <w:rPr>
      <w:sz w:val="24"/>
      <w:szCs w:val="24"/>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90">
    <w:name w:val="ListLabel 90"/>
    <w:qFormat/>
    <w:rPr>
      <w:rFonts w:cs="Times New Roman"/>
    </w:rPr>
  </w:style>
  <w:style w:type="character" w:customStyle="1" w:styleId="ListLabel91">
    <w:name w:val="ListLabel 91"/>
    <w:qFormat/>
    <w:rPr>
      <w:b/>
    </w:rPr>
  </w:style>
  <w:style w:type="character" w:customStyle="1" w:styleId="ListLabel92">
    <w:name w:val="ListLabel 92"/>
    <w:qFormat/>
    <w:rPr>
      <w:rFonts w:ascii="Cambria" w:hAnsi="Cambria" w:cs="Times New Roman"/>
      <w:b/>
      <w:i w:val="0"/>
      <w:color w:val="00000A"/>
      <w:sz w:val="24"/>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ascii="Calibri" w:hAnsi="Calibri" w:cs="Times New Roman"/>
      <w:sz w:val="24"/>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sz w:val="24"/>
      <w:szCs w:val="24"/>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Odrky">
    <w:name w:val="Odrážky"/>
    <w:qFormat/>
    <w:rPr>
      <w:rFonts w:ascii="OpenSymbol" w:eastAsia="OpenSymbol" w:hAnsi="OpenSymbol" w:cs="OpenSymbol"/>
    </w:rPr>
  </w:style>
  <w:style w:type="character" w:customStyle="1" w:styleId="ListLabel120">
    <w:name w:val="ListLabel 120"/>
    <w:qFormat/>
    <w:rPr>
      <w:rFonts w:cs="Times New Roman"/>
    </w:rPr>
  </w:style>
  <w:style w:type="character" w:customStyle="1" w:styleId="ListLabel121">
    <w:name w:val="ListLabel 121"/>
    <w:qFormat/>
    <w:rPr>
      <w:b/>
    </w:rPr>
  </w:style>
  <w:style w:type="character" w:customStyle="1" w:styleId="ListLabel122">
    <w:name w:val="ListLabel 122"/>
    <w:qFormat/>
    <w:rPr>
      <w:rFonts w:ascii="Calibri" w:hAnsi="Calibri" w:cs="Times New Roman"/>
      <w:sz w:val="24"/>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ascii="Times New Roman" w:hAnsi="Times New Roman" w:cs="OpenSymbol"/>
      <w:sz w:val="24"/>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Times New Roman"/>
    </w:rPr>
  </w:style>
  <w:style w:type="character" w:customStyle="1" w:styleId="ListLabel141">
    <w:name w:val="ListLabel 141"/>
    <w:qFormat/>
    <w:rPr>
      <w:b/>
    </w:rPr>
  </w:style>
  <w:style w:type="character" w:customStyle="1" w:styleId="ListLabel142">
    <w:name w:val="ListLabel 142"/>
    <w:qFormat/>
    <w:rPr>
      <w:rFonts w:ascii="Calibri" w:hAnsi="Calibri" w:cs="Times New Roman"/>
      <w:sz w:val="24"/>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ascii="Times New Roman" w:hAnsi="Times New Roman" w:cs="OpenSymbol"/>
      <w:sz w:val="24"/>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39">
    <w:name w:val="ListLabel 39"/>
    <w:qFormat/>
    <w:rPr>
      <w:rFonts w:cs="Times New Roman"/>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4">
    <w:name w:val="ListLabel 64"/>
    <w:qFormat/>
    <w:rPr>
      <w:rFonts w:eastAsia="Times New Roman"/>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0">
    <w:name w:val="ListLabel 60"/>
    <w:qFormat/>
    <w:rPr>
      <w:rFonts w:eastAsia="Times New Roman" w:cs="Times New Roman"/>
      <w:sz w:val="24"/>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160">
    <w:name w:val="ListLabel 160"/>
    <w:qFormat/>
    <w:rPr>
      <w:rFonts w:cs="Times New Roman"/>
      <w:sz w:val="26"/>
    </w:rPr>
  </w:style>
  <w:style w:type="character" w:customStyle="1" w:styleId="ListLabel161">
    <w:name w:val="ListLabel 161"/>
    <w:qFormat/>
    <w:rPr>
      <w:b/>
    </w:rPr>
  </w:style>
  <w:style w:type="character" w:customStyle="1" w:styleId="ListLabel162">
    <w:name w:val="ListLabel 162"/>
    <w:qFormat/>
    <w:rPr>
      <w:rFonts w:ascii="Calibri" w:hAnsi="Calibri" w:cs="Times New Roman"/>
      <w:sz w:val="24"/>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ascii="Times New Roman" w:hAnsi="Times New Roman" w:cs="OpenSymbol"/>
      <w:sz w:val="24"/>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Times New Roman"/>
    </w:rPr>
  </w:style>
  <w:style w:type="character" w:customStyle="1" w:styleId="ListLabel181">
    <w:name w:val="ListLabel 181"/>
    <w:qFormat/>
    <w:rPr>
      <w:sz w:val="24"/>
      <w:szCs w:val="24"/>
    </w:rPr>
  </w:style>
  <w:style w:type="character" w:customStyle="1" w:styleId="ListLabel182">
    <w:name w:val="ListLabel 182"/>
    <w:qFormat/>
    <w:rPr>
      <w:b/>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Aria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Times New Roman"/>
      <w:sz w:val="24"/>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Times New Roman"/>
      <w:sz w:val="26"/>
    </w:rPr>
  </w:style>
  <w:style w:type="character" w:customStyle="1" w:styleId="ListLabel220">
    <w:name w:val="ListLabel 220"/>
    <w:qFormat/>
    <w:rPr>
      <w:b/>
    </w:rPr>
  </w:style>
  <w:style w:type="character" w:customStyle="1" w:styleId="ListLabel221">
    <w:name w:val="ListLabel 221"/>
    <w:qFormat/>
    <w:rPr>
      <w:rFonts w:ascii="Calibri" w:hAnsi="Calibri" w:cs="Times New Roman"/>
      <w:sz w:val="24"/>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ascii="Times New Roman" w:hAnsi="Times New Roman" w:cs="OpenSymbol"/>
      <w:sz w:val="24"/>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b/>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Aria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Times New Roman"/>
      <w:sz w:val="24"/>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ascii="Times New Roman" w:hAnsi="Times New Roman" w:cs="Times New Roman"/>
      <w:b w:val="0"/>
      <w:color w:val="00000A"/>
      <w:sz w:val="24"/>
      <w:szCs w:val="24"/>
      <w:u w:val="none"/>
    </w:rPr>
  </w:style>
  <w:style w:type="character" w:customStyle="1" w:styleId="ListLabel277">
    <w:name w:val="ListLabel 277"/>
    <w:qFormat/>
    <w:rPr>
      <w:rFonts w:ascii="Times New Roman" w:hAnsi="Times New Roman" w:cs="Times New Roman"/>
      <w:b w:val="0"/>
      <w:sz w:val="24"/>
      <w:szCs w:val="24"/>
      <w:lang w:eastAsia="sk-SK"/>
    </w:rPr>
  </w:style>
  <w:style w:type="character" w:customStyle="1" w:styleId="ListLabel278">
    <w:name w:val="ListLabel 278"/>
    <w:qFormat/>
    <w:rPr>
      <w:rFonts w:ascii="Times New Roman" w:hAnsi="Times New Roman" w:cs="Times New Roman"/>
      <w:b w:val="0"/>
      <w:vanish/>
      <w:sz w:val="24"/>
      <w:szCs w:val="24"/>
    </w:rPr>
  </w:style>
  <w:style w:type="character" w:customStyle="1" w:styleId="ListLabel279">
    <w:name w:val="ListLabel 279"/>
    <w:qFormat/>
    <w:rPr>
      <w:rFonts w:ascii="Times New Roman" w:hAnsi="Times New Roman" w:cs="Times New Roman"/>
      <w:color w:val="00000A"/>
      <w:sz w:val="24"/>
      <w:szCs w:val="24"/>
      <w:u w:val="none"/>
    </w:rPr>
  </w:style>
  <w:style w:type="character" w:customStyle="1" w:styleId="ListLabel280">
    <w:name w:val="ListLabel 280"/>
    <w:qFormat/>
    <w:rPr>
      <w:rFonts w:ascii="Times New Roman" w:hAnsi="Times New Roman" w:cs="Times New Roman"/>
      <w:sz w:val="24"/>
      <w:szCs w:val="24"/>
      <w:lang w:eastAsia="sk-SK"/>
    </w:rPr>
  </w:style>
  <w:style w:type="character" w:customStyle="1" w:styleId="ListLabel281">
    <w:name w:val="ListLabel 281"/>
    <w:qFormat/>
    <w:rPr>
      <w:rFonts w:ascii="Times New Roman" w:hAnsi="Times New Roman" w:cs="Times New Roman"/>
      <w:vanish/>
      <w:sz w:val="24"/>
      <w:szCs w:val="24"/>
    </w:rPr>
  </w:style>
  <w:style w:type="character" w:customStyle="1" w:styleId="ListLabel282">
    <w:name w:val="ListLabel 282"/>
    <w:qFormat/>
    <w:rPr>
      <w:rFonts w:ascii="Times New Roman" w:hAnsi="Times New Roman" w:cs="Times New Roman"/>
      <w:color w:val="00000A"/>
      <w:sz w:val="24"/>
      <w:szCs w:val="24"/>
      <w:highlight w:val="white"/>
      <w:u w:val="none"/>
    </w:rPr>
  </w:style>
  <w:style w:type="character" w:customStyle="1" w:styleId="ListLabel283">
    <w:name w:val="ListLabel 283"/>
    <w:qFormat/>
    <w:rPr>
      <w:rFonts w:ascii="Times New Roman" w:hAnsi="Times New Roman" w:cs="Times New Roman"/>
      <w:b w:val="0"/>
      <w:color w:val="00000A"/>
      <w:sz w:val="24"/>
      <w:szCs w:val="24"/>
      <w:highlight w:val="white"/>
      <w:u w:val="none"/>
    </w:rPr>
  </w:style>
  <w:style w:type="character" w:customStyle="1" w:styleId="ListLabel284">
    <w:name w:val="ListLabel 284"/>
    <w:qFormat/>
    <w:rPr>
      <w:rFonts w:ascii="Times New Roman" w:hAnsi="Times New Roman"/>
      <w:color w:val="000000"/>
      <w:sz w:val="24"/>
      <w:szCs w:val="24"/>
      <w:u w:val="none"/>
    </w:rPr>
  </w:style>
  <w:style w:type="character" w:customStyle="1" w:styleId="ListLabel285">
    <w:name w:val="ListLabel 285"/>
    <w:qFormat/>
    <w:rPr>
      <w:rFonts w:ascii="Times New Roman" w:eastAsiaTheme="majorEastAsia" w:hAnsi="Times New Roman" w:cs="Arial"/>
      <w:color w:val="00000A"/>
      <w:sz w:val="24"/>
      <w:szCs w:val="24"/>
    </w:rPr>
  </w:style>
  <w:style w:type="character" w:customStyle="1" w:styleId="ListLabel286">
    <w:name w:val="ListLabel 286"/>
    <w:qFormat/>
    <w:rPr>
      <w:rFonts w:cstheme="majorHAnsi"/>
    </w:rPr>
  </w:style>
  <w:style w:type="character" w:customStyle="1" w:styleId="ListLabel287">
    <w:name w:val="ListLabel 287"/>
    <w:qFormat/>
    <w:rPr>
      <w:rFonts w:cstheme="majorHAnsi"/>
      <w:color w:val="00000A"/>
      <w:sz w:val="22"/>
      <w:szCs w:val="22"/>
    </w:rPr>
  </w:style>
  <w:style w:type="character" w:customStyle="1" w:styleId="ListLabel288">
    <w:name w:val="ListLabel 288"/>
    <w:qFormat/>
    <w:rPr>
      <w:rFonts w:asciiTheme="majorHAnsi" w:hAnsiTheme="majorHAnsi"/>
    </w:rPr>
  </w:style>
  <w:style w:type="character" w:customStyle="1" w:styleId="ListLabel289">
    <w:name w:val="ListLabel 289"/>
    <w:qFormat/>
    <w:rPr>
      <w:rFonts w:cstheme="majorHAnsi"/>
      <w:sz w:val="20"/>
      <w:szCs w:val="18"/>
    </w:rPr>
  </w:style>
  <w:style w:type="character" w:customStyle="1" w:styleId="ListLabel290">
    <w:name w:val="ListLabel 290"/>
    <w:qFormat/>
    <w:rPr>
      <w:rFonts w:cstheme="majorHAnsi"/>
      <w:sz w:val="20"/>
      <w:szCs w:val="18"/>
      <w:lang w:eastAsia="sk-SK"/>
    </w:rPr>
  </w:style>
  <w:style w:type="character" w:customStyle="1" w:styleId="ListLabel291">
    <w:name w:val="ListLabel 291"/>
    <w:qFormat/>
    <w:rPr>
      <w:rFonts w:cstheme="majorHAnsi"/>
      <w:color w:val="00000A"/>
      <w:sz w:val="20"/>
      <w:szCs w:val="22"/>
    </w:rPr>
  </w:style>
  <w:style w:type="character" w:customStyle="1" w:styleId="ListLabel292">
    <w:name w:val="ListLabel 292"/>
    <w:qFormat/>
    <w:rPr>
      <w:rFonts w:eastAsia="Times New Roman" w:cstheme="majorHAnsi"/>
      <w:sz w:val="20"/>
      <w:szCs w:val="20"/>
      <w:lang w:eastAsia="sk-SK"/>
    </w:rPr>
  </w:style>
  <w:style w:type="paragraph" w:customStyle="1" w:styleId="Nadpis">
    <w:name w:val="Nadpis"/>
    <w:basedOn w:val="Normlny"/>
    <w:next w:val="Zkladntext"/>
    <w:qFormat/>
    <w:pPr>
      <w:keepNext/>
      <w:spacing w:before="240" w:after="120"/>
    </w:pPr>
    <w:rPr>
      <w:rFonts w:ascii="Liberation Sans" w:eastAsia="Noto Sans CJK SC Regular" w:hAnsi="Liberation Sans" w:cs="FreeSans"/>
      <w:sz w:val="28"/>
      <w:szCs w:val="28"/>
    </w:rPr>
  </w:style>
  <w:style w:type="paragraph" w:styleId="Zkladntext">
    <w:name w:val="Body Text"/>
    <w:basedOn w:val="Normlny"/>
    <w:link w:val="ZkladntextChar"/>
    <w:uiPriority w:val="99"/>
    <w:pPr>
      <w:spacing w:after="140" w:line="288" w:lineRule="auto"/>
    </w:pPr>
  </w:style>
  <w:style w:type="character" w:customStyle="1" w:styleId="ZkladntextChar">
    <w:name w:val="Základný text Char"/>
    <w:basedOn w:val="Predvolenpsmoodseku"/>
    <w:link w:val="Zkladntext"/>
    <w:uiPriority w:val="99"/>
    <w:rsid w:val="00AD09B4"/>
    <w:rPr>
      <w:rFonts w:ascii="Cambria" w:eastAsia="MS Mincho" w:hAnsi="Cambria" w:cs="Times New Roman"/>
      <w:color w:val="00000A"/>
      <w:sz w:val="24"/>
      <w:szCs w:val="24"/>
    </w:rPr>
  </w:style>
  <w:style w:type="paragraph" w:styleId="Zoznam">
    <w:name w:val="List"/>
    <w:basedOn w:val="Zkladntext"/>
    <w:rPr>
      <w:rFonts w:cs="FreeSans"/>
    </w:rPr>
  </w:style>
  <w:style w:type="paragraph" w:styleId="Popis">
    <w:name w:val="caption"/>
    <w:basedOn w:val="Normlny"/>
    <w:uiPriority w:val="35"/>
    <w:qFormat/>
    <w:pPr>
      <w:spacing w:after="200"/>
    </w:pPr>
    <w:rPr>
      <w:i/>
      <w:iCs/>
      <w:color w:val="1F497D" w:themeColor="text2"/>
      <w:sz w:val="18"/>
      <w:szCs w:val="18"/>
    </w:rPr>
  </w:style>
  <w:style w:type="paragraph" w:customStyle="1" w:styleId="Index">
    <w:name w:val="Index"/>
    <w:basedOn w:val="Normlny"/>
    <w:qFormat/>
    <w:pPr>
      <w:suppressLineNumbers/>
    </w:pPr>
    <w:rPr>
      <w:rFonts w:cs="FreeSans"/>
    </w:rPr>
  </w:style>
  <w:style w:type="paragraph" w:customStyle="1" w:styleId="Default">
    <w:name w:val="Default"/>
    <w:qFormat/>
    <w:rsid w:val="00D068CE"/>
    <w:pPr>
      <w:widowControl w:val="0"/>
    </w:pPr>
    <w:rPr>
      <w:rFonts w:ascii="Myriad Pro" w:eastAsia="MS Mincho" w:hAnsi="Myriad Pro" w:cs="Myriad Pro"/>
      <w:color w:val="000000"/>
      <w:sz w:val="24"/>
      <w:szCs w:val="24"/>
      <w:lang w:val="en-US"/>
    </w:rPr>
  </w:style>
  <w:style w:type="paragraph" w:styleId="Obsah1">
    <w:name w:val="toc 1"/>
    <w:basedOn w:val="Normlny"/>
    <w:autoRedefine/>
    <w:uiPriority w:val="39"/>
    <w:unhideWhenUsed/>
    <w:rsid w:val="00CB4C4A"/>
    <w:pPr>
      <w:tabs>
        <w:tab w:val="left" w:pos="851"/>
        <w:tab w:val="right" w:leader="dot" w:pos="9488"/>
      </w:tabs>
      <w:ind w:left="851" w:hanging="851"/>
      <w:jc w:val="left"/>
    </w:pPr>
    <w:rPr>
      <w:rFonts w:asciiTheme="majorHAnsi" w:eastAsiaTheme="minorEastAsia" w:hAnsiTheme="majorHAnsi" w:cstheme="minorBidi"/>
      <w:b/>
      <w:noProof/>
      <w:color w:val="auto"/>
    </w:rPr>
  </w:style>
  <w:style w:type="paragraph" w:styleId="Obsah2">
    <w:name w:val="toc 2"/>
    <w:basedOn w:val="Normlny"/>
    <w:autoRedefine/>
    <w:uiPriority w:val="39"/>
    <w:unhideWhenUsed/>
    <w:rsid w:val="00AB6AA1"/>
    <w:pPr>
      <w:tabs>
        <w:tab w:val="left" w:pos="880"/>
        <w:tab w:val="right" w:leader="dot" w:pos="9488"/>
      </w:tabs>
      <w:ind w:left="613" w:hanging="613"/>
      <w:jc w:val="left"/>
    </w:pPr>
    <w:rPr>
      <w:rFonts w:ascii="Calibri" w:eastAsiaTheme="minorEastAsia" w:hAnsi="Calibri" w:cstheme="minorBidi"/>
    </w:rPr>
  </w:style>
  <w:style w:type="paragraph" w:styleId="Odsekzoznamu">
    <w:name w:val="List Paragraph"/>
    <w:basedOn w:val="Normlny"/>
    <w:uiPriority w:val="34"/>
    <w:qFormat/>
    <w:rsid w:val="00684D5C"/>
    <w:pPr>
      <w:spacing w:after="200" w:line="276" w:lineRule="auto"/>
      <w:ind w:left="720"/>
      <w:contextualSpacing/>
      <w:jc w:val="left"/>
    </w:pPr>
    <w:rPr>
      <w:rFonts w:ascii="Calibri" w:eastAsia="Times New Roman" w:hAnsi="Calibri"/>
      <w:sz w:val="22"/>
      <w:szCs w:val="22"/>
      <w:lang w:eastAsia="sk-SK"/>
    </w:rPr>
  </w:style>
  <w:style w:type="paragraph" w:styleId="Normlnywebov">
    <w:name w:val="Normal (Web)"/>
    <w:basedOn w:val="Normlny"/>
    <w:uiPriority w:val="99"/>
    <w:qFormat/>
    <w:rsid w:val="00636B70"/>
    <w:pPr>
      <w:spacing w:beforeAutospacing="1" w:afterAutospacing="1"/>
    </w:pPr>
    <w:rPr>
      <w:rFonts w:ascii="Times New Roman" w:eastAsia="Times New Roman" w:hAnsi="Times New Roman"/>
    </w:rPr>
  </w:style>
  <w:style w:type="paragraph" w:styleId="Bezriadkovania">
    <w:name w:val="No Spacing"/>
    <w:basedOn w:val="Normlny"/>
    <w:uiPriority w:val="99"/>
    <w:qFormat/>
    <w:rsid w:val="005F427A"/>
    <w:pPr>
      <w:jc w:val="left"/>
    </w:pPr>
    <w:rPr>
      <w:rFonts w:ascii="Calibri" w:eastAsiaTheme="minorHAnsi" w:hAnsi="Calibri" w:cs="Calibri"/>
      <w:sz w:val="22"/>
      <w:szCs w:val="22"/>
    </w:rPr>
  </w:style>
  <w:style w:type="paragraph" w:customStyle="1" w:styleId="Obsahtabuky">
    <w:name w:val="Obsah tabuľky"/>
    <w:basedOn w:val="Normlny"/>
    <w:qFormat/>
  </w:style>
  <w:style w:type="paragraph" w:customStyle="1" w:styleId="Nadpistabuky">
    <w:name w:val="Nadpis tabuľky"/>
    <w:basedOn w:val="Obsahtabuky"/>
    <w:qFormat/>
  </w:style>
  <w:style w:type="paragraph" w:styleId="Hlavika">
    <w:name w:val="header"/>
    <w:basedOn w:val="Normlny"/>
    <w:link w:val="HlavikaChar"/>
    <w:uiPriority w:val="99"/>
    <w:pPr>
      <w:tabs>
        <w:tab w:val="center" w:pos="4320"/>
        <w:tab w:val="right" w:pos="8640"/>
      </w:tabs>
    </w:pPr>
  </w:style>
  <w:style w:type="character" w:customStyle="1" w:styleId="HlavikaChar">
    <w:name w:val="Hlavička Char"/>
    <w:basedOn w:val="Predvolenpsmoodseku"/>
    <w:link w:val="Hlavika"/>
    <w:uiPriority w:val="99"/>
    <w:rsid w:val="00AD09B4"/>
    <w:rPr>
      <w:rFonts w:ascii="Cambria" w:eastAsia="MS Mincho" w:hAnsi="Cambria" w:cs="Times New Roman"/>
      <w:color w:val="00000A"/>
      <w:sz w:val="24"/>
      <w:szCs w:val="24"/>
    </w:rPr>
  </w:style>
  <w:style w:type="paragraph" w:styleId="Pta">
    <w:name w:val="footer"/>
    <w:basedOn w:val="Normlny"/>
    <w:link w:val="PtaChar"/>
    <w:uiPriority w:val="99"/>
    <w:pPr>
      <w:tabs>
        <w:tab w:val="center" w:pos="4320"/>
        <w:tab w:val="right" w:pos="8640"/>
      </w:tabs>
    </w:pPr>
  </w:style>
  <w:style w:type="character" w:customStyle="1" w:styleId="PtaChar">
    <w:name w:val="Päta Char"/>
    <w:basedOn w:val="Predvolenpsmoodseku"/>
    <w:link w:val="Pta"/>
    <w:uiPriority w:val="99"/>
    <w:rsid w:val="00AD09B4"/>
    <w:rPr>
      <w:rFonts w:ascii="Cambria" w:eastAsia="MS Mincho" w:hAnsi="Cambria" w:cs="Times New Roman"/>
      <w:color w:val="00000A"/>
      <w:sz w:val="24"/>
      <w:szCs w:val="24"/>
    </w:rPr>
  </w:style>
  <w:style w:type="paragraph" w:styleId="Zkladntext2">
    <w:name w:val="Body Text 2"/>
    <w:basedOn w:val="Normlny"/>
    <w:link w:val="Zkladntext2Char"/>
    <w:uiPriority w:val="99"/>
    <w:qFormat/>
    <w:rPr>
      <w:rFonts w:ascii="Times New Roman" w:eastAsia="Times New Roman" w:hAnsi="Times New Roman"/>
      <w:sz w:val="22"/>
      <w:szCs w:val="20"/>
      <w:lang w:eastAsia="ko-KR"/>
    </w:rPr>
  </w:style>
  <w:style w:type="character" w:customStyle="1" w:styleId="Zkladntext2Char">
    <w:name w:val="Základný text 2 Char"/>
    <w:basedOn w:val="Predvolenpsmoodseku"/>
    <w:link w:val="Zkladntext2"/>
    <w:uiPriority w:val="99"/>
    <w:rsid w:val="00AD09B4"/>
    <w:rPr>
      <w:rFonts w:ascii="Times New Roman" w:eastAsia="Times New Roman" w:hAnsi="Times New Roman" w:cs="Times New Roman"/>
      <w:color w:val="00000A"/>
      <w:sz w:val="22"/>
      <w:szCs w:val="20"/>
      <w:lang w:eastAsia="ko-KR"/>
    </w:rPr>
  </w:style>
  <w:style w:type="paragraph" w:styleId="Nzov">
    <w:name w:val="Title"/>
    <w:basedOn w:val="Normlny"/>
    <w:link w:val="NzovChar"/>
    <w:uiPriority w:val="99"/>
    <w:qFormat/>
    <w:pPr>
      <w:jc w:val="center"/>
    </w:pPr>
    <w:rPr>
      <w:rFonts w:ascii="Times New Roman" w:eastAsia="Times New Roman" w:hAnsi="Times New Roman"/>
      <w:szCs w:val="20"/>
      <w:lang w:eastAsia="cs-CZ"/>
    </w:rPr>
  </w:style>
  <w:style w:type="character" w:customStyle="1" w:styleId="NzovChar">
    <w:name w:val="Názov Char"/>
    <w:basedOn w:val="Predvolenpsmoodseku"/>
    <w:link w:val="Nzov"/>
    <w:uiPriority w:val="99"/>
    <w:rsid w:val="00AD09B4"/>
    <w:rPr>
      <w:rFonts w:ascii="Times New Roman" w:eastAsia="Times New Roman" w:hAnsi="Times New Roman" w:cs="Times New Roman"/>
      <w:color w:val="00000A"/>
      <w:sz w:val="24"/>
      <w:szCs w:val="20"/>
      <w:lang w:eastAsia="cs-CZ"/>
    </w:rPr>
  </w:style>
  <w:style w:type="paragraph" w:styleId="Textbubliny">
    <w:name w:val="Balloon Text"/>
    <w:basedOn w:val="Normlny"/>
    <w:link w:val="TextbublinyChar"/>
    <w:uiPriority w:val="99"/>
    <w:semiHidden/>
    <w:unhideWhenUsed/>
    <w:rsid w:val="00A52F59"/>
    <w:rPr>
      <w:rFonts w:ascii="Tahoma" w:hAnsi="Tahoma" w:cs="Tahoma"/>
      <w:sz w:val="16"/>
      <w:szCs w:val="16"/>
    </w:rPr>
  </w:style>
  <w:style w:type="character" w:customStyle="1" w:styleId="TextbublinyChar">
    <w:name w:val="Text bubliny Char"/>
    <w:basedOn w:val="Predvolenpsmoodseku"/>
    <w:link w:val="Textbubliny"/>
    <w:uiPriority w:val="99"/>
    <w:semiHidden/>
    <w:rsid w:val="00A52F59"/>
    <w:rPr>
      <w:rFonts w:ascii="Tahoma" w:eastAsia="MS Mincho" w:hAnsi="Tahoma" w:cs="Tahoma"/>
      <w:color w:val="00000A"/>
      <w:sz w:val="16"/>
      <w:szCs w:val="16"/>
    </w:rPr>
  </w:style>
  <w:style w:type="character" w:styleId="Hypertextovprepojenie">
    <w:name w:val="Hyperlink"/>
    <w:basedOn w:val="Predvolenpsmoodseku"/>
    <w:uiPriority w:val="99"/>
    <w:unhideWhenUsed/>
    <w:rsid w:val="00AD09B4"/>
    <w:rPr>
      <w:color w:val="0000FF" w:themeColor="hyperlink"/>
      <w:u w:val="single"/>
    </w:rPr>
  </w:style>
  <w:style w:type="character" w:customStyle="1" w:styleId="TextkomentraChar">
    <w:name w:val="Text komentára Char"/>
    <w:basedOn w:val="Predvolenpsmoodseku"/>
    <w:link w:val="Textkomentra"/>
    <w:uiPriority w:val="99"/>
    <w:semiHidden/>
    <w:rsid w:val="00AD09B4"/>
    <w:rPr>
      <w:rFonts w:ascii="Calibri" w:eastAsia="Times New Roman" w:hAnsi="Calibri" w:cs="Times New Roman"/>
      <w:szCs w:val="20"/>
      <w:lang w:eastAsia="sk-SK"/>
    </w:rPr>
  </w:style>
  <w:style w:type="paragraph" w:styleId="Textkomentra">
    <w:name w:val="annotation text"/>
    <w:basedOn w:val="Normlny"/>
    <w:link w:val="TextkomentraChar"/>
    <w:uiPriority w:val="99"/>
    <w:semiHidden/>
    <w:unhideWhenUsed/>
    <w:rsid w:val="00AD09B4"/>
    <w:pPr>
      <w:spacing w:after="200" w:line="276" w:lineRule="auto"/>
      <w:jc w:val="left"/>
    </w:pPr>
    <w:rPr>
      <w:rFonts w:ascii="Calibri" w:eastAsia="Times New Roman" w:hAnsi="Calibri"/>
      <w:color w:val="auto"/>
      <w:sz w:val="20"/>
      <w:szCs w:val="20"/>
      <w:lang w:eastAsia="sk-SK"/>
    </w:rPr>
  </w:style>
  <w:style w:type="character" w:customStyle="1" w:styleId="TextpoznmkypodiarouChar">
    <w:name w:val="Text poznámky pod čiarou Char"/>
    <w:basedOn w:val="Predvolenpsmoodseku"/>
    <w:link w:val="Textpoznmkypodiarou"/>
    <w:uiPriority w:val="99"/>
    <w:rsid w:val="00AD09B4"/>
    <w:rPr>
      <w:rFonts w:ascii="Times New Roman" w:eastAsia="Times New Roman" w:hAnsi="Times New Roman" w:cs="Times New Roman"/>
      <w:szCs w:val="20"/>
      <w:lang w:eastAsia="sk-SK"/>
    </w:rPr>
  </w:style>
  <w:style w:type="paragraph" w:styleId="Textpoznmkypodiarou">
    <w:name w:val="footnote text"/>
    <w:basedOn w:val="Normlny"/>
    <w:link w:val="TextpoznmkypodiarouChar"/>
    <w:uiPriority w:val="99"/>
    <w:unhideWhenUsed/>
    <w:rsid w:val="00AD09B4"/>
    <w:pPr>
      <w:jc w:val="left"/>
    </w:pPr>
    <w:rPr>
      <w:rFonts w:ascii="Times New Roman" w:eastAsia="Times New Roman" w:hAnsi="Times New Roman"/>
      <w:color w:val="auto"/>
      <w:sz w:val="20"/>
      <w:szCs w:val="20"/>
      <w:lang w:eastAsia="sk-SK"/>
    </w:rPr>
  </w:style>
  <w:style w:type="paragraph" w:customStyle="1" w:styleId="tlArial11ptTunervenPodaokraja">
    <w:name w:val="Štýl Arial 11 pt Tučné Červená Podľa okraja"/>
    <w:basedOn w:val="Normlny"/>
    <w:rsid w:val="00AD09B4"/>
    <w:rPr>
      <w:rFonts w:ascii="Arial" w:eastAsia="Times New Roman" w:hAnsi="Arial"/>
      <w:bCs/>
      <w:color w:val="auto"/>
      <w:sz w:val="22"/>
      <w:szCs w:val="20"/>
      <w:lang w:eastAsia="cs-CZ"/>
    </w:rPr>
  </w:style>
  <w:style w:type="paragraph" w:styleId="Zarkazkladnhotextu">
    <w:name w:val="Body Text Indent"/>
    <w:basedOn w:val="Normlny"/>
    <w:link w:val="ZarkazkladnhotextuChar"/>
    <w:unhideWhenUsed/>
    <w:rsid w:val="00AD09B4"/>
    <w:pPr>
      <w:spacing w:after="120"/>
      <w:ind w:left="283"/>
      <w:jc w:val="left"/>
    </w:pPr>
    <w:rPr>
      <w:rFonts w:ascii="Times New Roman" w:eastAsia="Times New Roman" w:hAnsi="Times New Roman"/>
      <w:color w:val="auto"/>
      <w:lang w:eastAsia="sk-SK"/>
    </w:rPr>
  </w:style>
  <w:style w:type="character" w:customStyle="1" w:styleId="ZarkazkladnhotextuChar">
    <w:name w:val="Zarážka základného textu Char"/>
    <w:basedOn w:val="Predvolenpsmoodseku"/>
    <w:link w:val="Zarkazkladnhotextu"/>
    <w:rsid w:val="00AD09B4"/>
    <w:rPr>
      <w:rFonts w:ascii="Times New Roman" w:eastAsia="Times New Roman" w:hAnsi="Times New Roman" w:cs="Times New Roman"/>
      <w:sz w:val="24"/>
      <w:szCs w:val="24"/>
      <w:lang w:eastAsia="sk-SK"/>
    </w:rPr>
  </w:style>
  <w:style w:type="character" w:customStyle="1" w:styleId="PredmetkomentraChar">
    <w:name w:val="Predmet komentára Char"/>
    <w:basedOn w:val="TextkomentraChar"/>
    <w:link w:val="Predmetkomentra"/>
    <w:uiPriority w:val="99"/>
    <w:semiHidden/>
    <w:rsid w:val="00AD09B4"/>
    <w:rPr>
      <w:rFonts w:ascii="Calibri" w:eastAsia="Calibri" w:hAnsi="Calibri" w:cs="Times New Roman"/>
      <w:b/>
      <w:bCs/>
      <w:szCs w:val="20"/>
      <w:lang w:eastAsia="sk-SK"/>
    </w:rPr>
  </w:style>
  <w:style w:type="paragraph" w:styleId="Predmetkomentra">
    <w:name w:val="annotation subject"/>
    <w:basedOn w:val="Textkomentra"/>
    <w:next w:val="Textkomentra"/>
    <w:link w:val="PredmetkomentraChar"/>
    <w:uiPriority w:val="99"/>
    <w:semiHidden/>
    <w:unhideWhenUsed/>
    <w:rsid w:val="00AD09B4"/>
    <w:pPr>
      <w:spacing w:line="240" w:lineRule="auto"/>
    </w:pPr>
    <w:rPr>
      <w:rFonts w:eastAsia="Calibri"/>
      <w:b/>
      <w:bCs/>
      <w:lang w:eastAsia="en-US"/>
    </w:rPr>
  </w:style>
  <w:style w:type="paragraph" w:styleId="Hlavikaobsahu">
    <w:name w:val="TOC Heading"/>
    <w:basedOn w:val="Nadpis1"/>
    <w:next w:val="Normlny"/>
    <w:uiPriority w:val="39"/>
    <w:unhideWhenUsed/>
    <w:qFormat/>
    <w:rsid w:val="00AD09B4"/>
    <w:pPr>
      <w:outlineLvl w:val="9"/>
    </w:pPr>
    <w:rPr>
      <w:lang w:eastAsia="sk-SK"/>
    </w:rPr>
  </w:style>
  <w:style w:type="paragraph" w:styleId="Podtitul">
    <w:name w:val="Subtitle"/>
    <w:basedOn w:val="Normlny"/>
    <w:next w:val="Normlny"/>
    <w:link w:val="PodtitulChar"/>
    <w:uiPriority w:val="11"/>
    <w:qFormat/>
    <w:rsid w:val="00AD09B4"/>
    <w:pPr>
      <w:numPr>
        <w:ilvl w:val="1"/>
      </w:numPr>
      <w:jc w:val="left"/>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uiPriority w:val="11"/>
    <w:rsid w:val="00AD09B4"/>
    <w:rPr>
      <w:rFonts w:asciiTheme="majorHAnsi" w:eastAsiaTheme="majorEastAsia" w:hAnsiTheme="majorHAnsi" w:cstheme="majorBidi"/>
      <w:i/>
      <w:iCs/>
      <w:color w:val="4F81BD" w:themeColor="accent1"/>
      <w:spacing w:val="15"/>
      <w:sz w:val="24"/>
      <w:szCs w:val="24"/>
    </w:rPr>
  </w:style>
  <w:style w:type="paragraph" w:styleId="Zoznamobrzkov">
    <w:name w:val="table of figures"/>
    <w:basedOn w:val="Normlny"/>
    <w:next w:val="Normlny"/>
    <w:uiPriority w:val="99"/>
    <w:unhideWhenUsed/>
    <w:rsid w:val="00AD09B4"/>
    <w:pPr>
      <w:jc w:val="left"/>
    </w:pPr>
    <w:rPr>
      <w:rFonts w:asciiTheme="minorHAnsi" w:eastAsiaTheme="minorEastAsia" w:hAnsiTheme="minorHAnsi" w:cstheme="minorBidi"/>
      <w:color w:val="auto"/>
    </w:rPr>
  </w:style>
  <w:style w:type="character" w:customStyle="1" w:styleId="m-6072827416725835815msohyperlink">
    <w:name w:val="m_-6072827416725835815msohyperlink"/>
    <w:basedOn w:val="Predvolenpsmoodseku"/>
    <w:rsid w:val="00AD09B4"/>
  </w:style>
  <w:style w:type="paragraph" w:styleId="Obsah3">
    <w:name w:val="toc 3"/>
    <w:basedOn w:val="Normlny"/>
    <w:next w:val="Normlny"/>
    <w:autoRedefine/>
    <w:uiPriority w:val="39"/>
    <w:unhideWhenUsed/>
    <w:rsid w:val="00B90D56"/>
    <w:pPr>
      <w:jc w:val="left"/>
    </w:pPr>
  </w:style>
  <w:style w:type="character" w:styleId="slostrany">
    <w:name w:val="page number"/>
    <w:basedOn w:val="Predvolenpsmoodseku"/>
    <w:uiPriority w:val="99"/>
    <w:unhideWhenUsed/>
    <w:rsid w:val="00F83826"/>
  </w:style>
  <w:style w:type="character" w:styleId="PsacstrojHTML">
    <w:name w:val="HTML Typewriter"/>
    <w:basedOn w:val="Predvolenpsmoodseku"/>
    <w:uiPriority w:val="99"/>
    <w:semiHidden/>
    <w:rsid w:val="00F83826"/>
    <w:rPr>
      <w:rFonts w:ascii="Courier New" w:hAnsi="Courier New" w:cs="Courier New"/>
      <w:sz w:val="20"/>
      <w:szCs w:val="20"/>
    </w:rPr>
  </w:style>
  <w:style w:type="character" w:styleId="Odkaznapoznmkupodiarou">
    <w:name w:val="footnote reference"/>
    <w:uiPriority w:val="99"/>
    <w:unhideWhenUsed/>
    <w:rsid w:val="00F83826"/>
    <w:rPr>
      <w:vertAlign w:val="superscript"/>
    </w:rPr>
  </w:style>
  <w:style w:type="table" w:styleId="Mriekatabuky">
    <w:name w:val="Table Grid"/>
    <w:basedOn w:val="Normlnatabuka"/>
    <w:uiPriority w:val="59"/>
    <w:rsid w:val="00F83826"/>
    <w:rPr>
      <w:rFonts w:ascii="Cambria" w:eastAsia="MS Mincho" w:hAnsi="Cambria" w:cs="Times New Roman"/>
      <w:szCs w:val="20"/>
      <w:lang w:eastAsia="sk-SK"/>
    </w:rPr>
    <w:tblPr/>
  </w:style>
  <w:style w:type="character" w:styleId="PouitHypertextovPrepojenie">
    <w:name w:val="FollowedHyperlink"/>
    <w:uiPriority w:val="99"/>
    <w:semiHidden/>
    <w:unhideWhenUsed/>
    <w:rsid w:val="00F83826"/>
    <w:rPr>
      <w:color w:val="800080"/>
      <w:u w:val="single"/>
    </w:rPr>
  </w:style>
  <w:style w:type="character" w:customStyle="1" w:styleId="snormalnyChar">
    <w:name w:val="s_normalny Char"/>
    <w:link w:val="snormalny"/>
    <w:locked/>
    <w:rsid w:val="00F83826"/>
    <w:rPr>
      <w:rFonts w:ascii="Arial" w:eastAsia="Times New Roman" w:hAnsi="Arial" w:cs="Arial"/>
      <w:color w:val="1F497D"/>
    </w:rPr>
  </w:style>
  <w:style w:type="paragraph" w:customStyle="1" w:styleId="snormalny">
    <w:name w:val="s_normalny"/>
    <w:basedOn w:val="Normlny"/>
    <w:link w:val="snormalnyChar"/>
    <w:qFormat/>
    <w:rsid w:val="00F83826"/>
    <w:pPr>
      <w:spacing w:after="200" w:line="276" w:lineRule="auto"/>
      <w:jc w:val="left"/>
    </w:pPr>
    <w:rPr>
      <w:rFonts w:ascii="Arial" w:eastAsia="Times New Roman" w:hAnsi="Arial" w:cs="Arial"/>
      <w:color w:val="1F497D"/>
      <w:sz w:val="20"/>
      <w:szCs w:val="22"/>
    </w:rPr>
  </w:style>
  <w:style w:type="character" w:customStyle="1" w:styleId="TextkomentraChar1">
    <w:name w:val="Text komentára Char1"/>
    <w:uiPriority w:val="99"/>
    <w:semiHidden/>
    <w:rsid w:val="00F83826"/>
    <w:rPr>
      <w:rFonts w:ascii="Cambria" w:eastAsia="MS Mincho" w:hAnsi="Cambria" w:cs="Times New Roman"/>
      <w:sz w:val="20"/>
      <w:szCs w:val="20"/>
    </w:rPr>
  </w:style>
  <w:style w:type="character" w:customStyle="1" w:styleId="PredmetkomentraChar1">
    <w:name w:val="Predmet komentára Char1"/>
    <w:basedOn w:val="TextkomentraChar"/>
    <w:uiPriority w:val="99"/>
    <w:semiHidden/>
    <w:rsid w:val="00F83826"/>
    <w:rPr>
      <w:rFonts w:ascii="Calibri" w:eastAsia="Times New Roman" w:hAnsi="Calibri" w:cs="Times New Roman"/>
      <w:b/>
      <w:bCs/>
      <w:sz w:val="20"/>
      <w:szCs w:val="20"/>
      <w:lang w:eastAsia="sk-SK"/>
    </w:rPr>
  </w:style>
  <w:style w:type="character" w:customStyle="1" w:styleId="TextkomentraChar2">
    <w:name w:val="Text komentára Char2"/>
    <w:uiPriority w:val="99"/>
    <w:semiHidden/>
    <w:rsid w:val="00F83826"/>
    <w:rPr>
      <w:rFonts w:ascii="Cambria" w:eastAsia="MS Mincho" w:hAnsi="Cambria" w:cs="Times New Roman"/>
      <w:sz w:val="20"/>
      <w:szCs w:val="20"/>
      <w:lang w:val="sk-SK"/>
    </w:rPr>
  </w:style>
  <w:style w:type="character" w:customStyle="1" w:styleId="ZarkazkladnhotextuChar1">
    <w:name w:val="Zarážka základného textu Char1"/>
    <w:basedOn w:val="Predvolenpsmoodseku"/>
    <w:uiPriority w:val="99"/>
    <w:semiHidden/>
    <w:rsid w:val="00F83826"/>
  </w:style>
  <w:style w:type="character" w:customStyle="1" w:styleId="Zkladntext2Char1">
    <w:name w:val="Základný text 2 Char1"/>
    <w:basedOn w:val="Predvolenpsmoodseku"/>
    <w:uiPriority w:val="99"/>
    <w:semiHidden/>
    <w:rsid w:val="00F83826"/>
  </w:style>
  <w:style w:type="paragraph" w:customStyle="1" w:styleId="vchoz">
    <w:name w:val="vchoz"/>
    <w:basedOn w:val="Normlny"/>
    <w:rsid w:val="00F83826"/>
    <w:pPr>
      <w:spacing w:before="100" w:beforeAutospacing="1" w:after="100" w:afterAutospacing="1"/>
    </w:pPr>
    <w:rPr>
      <w:rFonts w:ascii="Times New Roman" w:eastAsia="Times New Roman" w:hAnsi="Times New Roman"/>
      <w:color w:val="auto"/>
      <w:lang w:eastAsia="sk-SK"/>
    </w:rPr>
  </w:style>
  <w:style w:type="character" w:styleId="Zvraznenie">
    <w:name w:val="Emphasis"/>
    <w:uiPriority w:val="20"/>
    <w:qFormat/>
    <w:rsid w:val="00F83826"/>
    <w:rPr>
      <w:rFonts w:cs="Times New Roman"/>
      <w:i/>
    </w:rPr>
  </w:style>
  <w:style w:type="character" w:customStyle="1" w:styleId="Zarkazkladnhotextu3Char">
    <w:name w:val="Zarážka základného textu 3 Char"/>
    <w:link w:val="Zarkazkladnhotextu3"/>
    <w:uiPriority w:val="99"/>
    <w:semiHidden/>
    <w:rsid w:val="00F83826"/>
    <w:rPr>
      <w:rFonts w:ascii="Times New Roman" w:eastAsia="Times New Roman" w:hAnsi="Times New Roman"/>
      <w:color w:val="000000"/>
      <w:sz w:val="16"/>
      <w:szCs w:val="16"/>
      <w:lang w:eastAsia="cs-CZ"/>
    </w:rPr>
  </w:style>
  <w:style w:type="paragraph" w:styleId="Zarkazkladnhotextu3">
    <w:name w:val="Body Text Indent 3"/>
    <w:basedOn w:val="Normlny"/>
    <w:link w:val="Zarkazkladnhotextu3Char"/>
    <w:uiPriority w:val="99"/>
    <w:semiHidden/>
    <w:unhideWhenUsed/>
    <w:rsid w:val="00F83826"/>
    <w:pPr>
      <w:spacing w:after="120"/>
      <w:ind w:left="283"/>
    </w:pPr>
    <w:rPr>
      <w:rFonts w:ascii="Times New Roman" w:eastAsia="Times New Roman" w:hAnsi="Times New Roman" w:cstheme="minorBidi"/>
      <w:color w:val="000000"/>
      <w:sz w:val="16"/>
      <w:szCs w:val="16"/>
      <w:lang w:eastAsia="cs-CZ"/>
    </w:rPr>
  </w:style>
  <w:style w:type="character" w:customStyle="1" w:styleId="Zarkazkladnhotextu3Char1">
    <w:name w:val="Zarážka základného textu 3 Char1"/>
    <w:basedOn w:val="Predvolenpsmoodseku"/>
    <w:uiPriority w:val="99"/>
    <w:semiHidden/>
    <w:rsid w:val="00F83826"/>
    <w:rPr>
      <w:rFonts w:ascii="Cambria" w:eastAsia="MS Mincho" w:hAnsi="Cambria" w:cs="Times New Roman"/>
      <w:color w:val="00000A"/>
      <w:sz w:val="16"/>
      <w:szCs w:val="16"/>
    </w:rPr>
  </w:style>
  <w:style w:type="character" w:customStyle="1" w:styleId="Zkladntext3Char">
    <w:name w:val="Základný text 3 Char"/>
    <w:link w:val="Zkladntext3"/>
    <w:uiPriority w:val="99"/>
    <w:semiHidden/>
    <w:rsid w:val="00F83826"/>
    <w:rPr>
      <w:rFonts w:ascii="Calibri" w:eastAsia="Times New Roman" w:hAnsi="Calibri"/>
      <w:sz w:val="16"/>
      <w:szCs w:val="16"/>
    </w:rPr>
  </w:style>
  <w:style w:type="paragraph" w:styleId="Zkladntext3">
    <w:name w:val="Body Text 3"/>
    <w:basedOn w:val="Normlny"/>
    <w:link w:val="Zkladntext3Char"/>
    <w:uiPriority w:val="99"/>
    <w:semiHidden/>
    <w:unhideWhenUsed/>
    <w:rsid w:val="00F83826"/>
    <w:pPr>
      <w:spacing w:after="120"/>
    </w:pPr>
    <w:rPr>
      <w:rFonts w:ascii="Calibri" w:eastAsia="Times New Roman" w:hAnsi="Calibri" w:cstheme="minorBidi"/>
      <w:color w:val="auto"/>
      <w:sz w:val="16"/>
      <w:szCs w:val="16"/>
    </w:rPr>
  </w:style>
  <w:style w:type="character" w:customStyle="1" w:styleId="Zkladntext3Char1">
    <w:name w:val="Základný text 3 Char1"/>
    <w:basedOn w:val="Predvolenpsmoodseku"/>
    <w:uiPriority w:val="99"/>
    <w:semiHidden/>
    <w:rsid w:val="00F83826"/>
    <w:rPr>
      <w:rFonts w:ascii="Cambria" w:eastAsia="MS Mincho" w:hAnsi="Cambria" w:cs="Times New Roman"/>
      <w:color w:val="00000A"/>
      <w:sz w:val="16"/>
      <w:szCs w:val="16"/>
    </w:rPr>
  </w:style>
  <w:style w:type="character" w:styleId="Odkaznakomentr">
    <w:name w:val="annotation reference"/>
    <w:uiPriority w:val="99"/>
    <w:semiHidden/>
    <w:unhideWhenUsed/>
    <w:rsid w:val="00F83826"/>
    <w:rPr>
      <w:sz w:val="16"/>
      <w:szCs w:val="16"/>
    </w:rPr>
  </w:style>
  <w:style w:type="paragraph" w:customStyle="1" w:styleId="blok">
    <w:name w:val="blok"/>
    <w:basedOn w:val="Normlny"/>
    <w:rsid w:val="00F83826"/>
    <w:pPr>
      <w:spacing w:before="100" w:beforeAutospacing="1" w:after="100" w:afterAutospacing="1"/>
      <w:jc w:val="left"/>
    </w:pPr>
    <w:rPr>
      <w:rFonts w:ascii="Times New Roman" w:eastAsia="Times New Roman" w:hAnsi="Times New Roman"/>
      <w:color w:val="auto"/>
      <w:lang w:eastAsia="sk-SK"/>
    </w:rPr>
  </w:style>
  <w:style w:type="character" w:customStyle="1" w:styleId="st1">
    <w:name w:val="st1"/>
    <w:rsid w:val="00F83826"/>
  </w:style>
  <w:style w:type="character" w:customStyle="1" w:styleId="h1a">
    <w:name w:val="h1a"/>
    <w:basedOn w:val="Predvolenpsmoodseku"/>
    <w:rsid w:val="00F83826"/>
  </w:style>
  <w:style w:type="paragraph" w:styleId="z-Hornokrajformulra">
    <w:name w:val="HTML Top of Form"/>
    <w:basedOn w:val="Normlny"/>
    <w:next w:val="Normlny"/>
    <w:link w:val="z-HornokrajformulraChar"/>
    <w:hidden/>
    <w:uiPriority w:val="99"/>
    <w:semiHidden/>
    <w:unhideWhenUsed/>
    <w:rsid w:val="00F83826"/>
    <w:pPr>
      <w:pBdr>
        <w:bottom w:val="single" w:sz="6" w:space="1" w:color="auto"/>
      </w:pBdr>
      <w:jc w:val="center"/>
    </w:pPr>
    <w:rPr>
      <w:rFonts w:ascii="Arial" w:eastAsia="Times New Roman" w:hAnsi="Arial" w:cs="Arial"/>
      <w:vanish/>
      <w:color w:val="auto"/>
      <w:sz w:val="16"/>
      <w:szCs w:val="16"/>
      <w:lang w:eastAsia="sk-SK"/>
    </w:rPr>
  </w:style>
  <w:style w:type="character" w:customStyle="1" w:styleId="z-HornokrajformulraChar">
    <w:name w:val="z-Horný okraj formulára Char"/>
    <w:basedOn w:val="Predvolenpsmoodseku"/>
    <w:link w:val="z-Hornokrajformulra"/>
    <w:uiPriority w:val="99"/>
    <w:semiHidden/>
    <w:rsid w:val="00F83826"/>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unhideWhenUsed/>
    <w:rsid w:val="00F83826"/>
    <w:pPr>
      <w:pBdr>
        <w:top w:val="single" w:sz="6" w:space="1" w:color="auto"/>
      </w:pBdr>
      <w:jc w:val="center"/>
    </w:pPr>
    <w:rPr>
      <w:rFonts w:ascii="Arial" w:eastAsia="Times New Roman" w:hAnsi="Arial" w:cs="Arial"/>
      <w:vanish/>
      <w:color w:val="auto"/>
      <w:sz w:val="16"/>
      <w:szCs w:val="16"/>
      <w:lang w:eastAsia="sk-SK"/>
    </w:rPr>
  </w:style>
  <w:style w:type="character" w:customStyle="1" w:styleId="z-SpodnokrajformulraChar">
    <w:name w:val="z-Spodný okraj formulára Char"/>
    <w:basedOn w:val="Predvolenpsmoodseku"/>
    <w:link w:val="z-Spodnokrajformulra"/>
    <w:uiPriority w:val="99"/>
    <w:rsid w:val="00F83826"/>
    <w:rPr>
      <w:rFonts w:ascii="Arial" w:eastAsia="Times New Roman" w:hAnsi="Arial" w:cs="Arial"/>
      <w:vanish/>
      <w:sz w:val="16"/>
      <w:szCs w:val="16"/>
      <w:lang w:eastAsia="sk-SK"/>
    </w:rPr>
  </w:style>
  <w:style w:type="paragraph" w:customStyle="1" w:styleId="yiv5001537072msolistparagraph">
    <w:name w:val="yiv5001537072msolistparagraph"/>
    <w:basedOn w:val="Normlny"/>
    <w:rsid w:val="00306555"/>
    <w:pPr>
      <w:spacing w:before="100" w:beforeAutospacing="1" w:after="100" w:afterAutospacing="1"/>
      <w:jc w:val="left"/>
    </w:pPr>
    <w:rPr>
      <w:rFonts w:ascii="Times New Roman" w:eastAsia="Times New Roman" w:hAnsi="Times New Roman"/>
      <w:color w:val="auto"/>
      <w:lang w:eastAsia="sk-SK" w:bidi="lo-LA"/>
    </w:rPr>
  </w:style>
  <w:style w:type="table" w:styleId="Svetlzoznamzvraznenie2">
    <w:name w:val="Light List Accent 2"/>
    <w:basedOn w:val="Normlnatabuka"/>
    <w:uiPriority w:val="61"/>
    <w:rsid w:val="007431AE"/>
    <w:rPr>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Paragraph">
    <w:name w:val="Table Paragraph"/>
    <w:basedOn w:val="Normlny"/>
    <w:uiPriority w:val="1"/>
    <w:semiHidden/>
    <w:qFormat/>
    <w:rsid w:val="007431AE"/>
    <w:pPr>
      <w:widowControl w:val="0"/>
      <w:jc w:val="left"/>
    </w:pPr>
    <w:rPr>
      <w:rFonts w:asciiTheme="minorHAnsi" w:eastAsiaTheme="minorHAnsi" w:hAnsiTheme="minorHAnsi" w:cstheme="minorBidi"/>
      <w:color w:val="auto"/>
      <w:sz w:val="22"/>
      <w:szCs w:val="22"/>
    </w:rPr>
  </w:style>
  <w:style w:type="table" w:customStyle="1" w:styleId="TableNormal">
    <w:name w:val="Table Normal"/>
    <w:uiPriority w:val="2"/>
    <w:semiHidden/>
    <w:qFormat/>
    <w:rsid w:val="007431AE"/>
    <w:pPr>
      <w:widowControl w:val="0"/>
    </w:pPr>
    <w:rPr>
      <w:sz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38071">
      <w:bodyDiv w:val="1"/>
      <w:marLeft w:val="0"/>
      <w:marRight w:val="0"/>
      <w:marTop w:val="0"/>
      <w:marBottom w:val="0"/>
      <w:divBdr>
        <w:top w:val="none" w:sz="0" w:space="0" w:color="auto"/>
        <w:left w:val="none" w:sz="0" w:space="0" w:color="auto"/>
        <w:bottom w:val="none" w:sz="0" w:space="0" w:color="auto"/>
        <w:right w:val="none" w:sz="0" w:space="0" w:color="auto"/>
      </w:divBdr>
    </w:div>
    <w:div w:id="546642429">
      <w:bodyDiv w:val="1"/>
      <w:marLeft w:val="0"/>
      <w:marRight w:val="0"/>
      <w:marTop w:val="0"/>
      <w:marBottom w:val="0"/>
      <w:divBdr>
        <w:top w:val="none" w:sz="0" w:space="0" w:color="auto"/>
        <w:left w:val="none" w:sz="0" w:space="0" w:color="auto"/>
        <w:bottom w:val="none" w:sz="0" w:space="0" w:color="auto"/>
        <w:right w:val="none" w:sz="0" w:space="0" w:color="auto"/>
      </w:divBdr>
    </w:div>
    <w:div w:id="839739958">
      <w:bodyDiv w:val="1"/>
      <w:marLeft w:val="0"/>
      <w:marRight w:val="0"/>
      <w:marTop w:val="0"/>
      <w:marBottom w:val="0"/>
      <w:divBdr>
        <w:top w:val="none" w:sz="0" w:space="0" w:color="auto"/>
        <w:left w:val="none" w:sz="0" w:space="0" w:color="auto"/>
        <w:bottom w:val="none" w:sz="0" w:space="0" w:color="auto"/>
        <w:right w:val="none" w:sz="0" w:space="0" w:color="auto"/>
      </w:divBdr>
    </w:div>
    <w:div w:id="862596507">
      <w:bodyDiv w:val="1"/>
      <w:marLeft w:val="0"/>
      <w:marRight w:val="0"/>
      <w:marTop w:val="0"/>
      <w:marBottom w:val="0"/>
      <w:divBdr>
        <w:top w:val="none" w:sz="0" w:space="0" w:color="auto"/>
        <w:left w:val="none" w:sz="0" w:space="0" w:color="auto"/>
        <w:bottom w:val="none" w:sz="0" w:space="0" w:color="auto"/>
        <w:right w:val="none" w:sz="0" w:space="0" w:color="auto"/>
      </w:divBdr>
    </w:div>
    <w:div w:id="930939098">
      <w:bodyDiv w:val="1"/>
      <w:marLeft w:val="0"/>
      <w:marRight w:val="0"/>
      <w:marTop w:val="0"/>
      <w:marBottom w:val="0"/>
      <w:divBdr>
        <w:top w:val="none" w:sz="0" w:space="0" w:color="auto"/>
        <w:left w:val="none" w:sz="0" w:space="0" w:color="auto"/>
        <w:bottom w:val="none" w:sz="0" w:space="0" w:color="auto"/>
        <w:right w:val="none" w:sz="0" w:space="0" w:color="auto"/>
      </w:divBdr>
    </w:div>
    <w:div w:id="1312178857">
      <w:bodyDiv w:val="1"/>
      <w:marLeft w:val="0"/>
      <w:marRight w:val="0"/>
      <w:marTop w:val="0"/>
      <w:marBottom w:val="0"/>
      <w:divBdr>
        <w:top w:val="none" w:sz="0" w:space="0" w:color="auto"/>
        <w:left w:val="none" w:sz="0" w:space="0" w:color="auto"/>
        <w:bottom w:val="none" w:sz="0" w:space="0" w:color="auto"/>
        <w:right w:val="none" w:sz="0" w:space="0" w:color="auto"/>
      </w:divBdr>
    </w:div>
    <w:div w:id="1633557124">
      <w:bodyDiv w:val="1"/>
      <w:marLeft w:val="0"/>
      <w:marRight w:val="0"/>
      <w:marTop w:val="0"/>
      <w:marBottom w:val="0"/>
      <w:divBdr>
        <w:top w:val="none" w:sz="0" w:space="0" w:color="auto"/>
        <w:left w:val="none" w:sz="0" w:space="0" w:color="auto"/>
        <w:bottom w:val="none" w:sz="0" w:space="0" w:color="auto"/>
        <w:right w:val="none" w:sz="0" w:space="0" w:color="auto"/>
      </w:divBdr>
      <w:divsChild>
        <w:div w:id="2136899475">
          <w:marLeft w:val="0"/>
          <w:marRight w:val="0"/>
          <w:marTop w:val="0"/>
          <w:marBottom w:val="0"/>
          <w:divBdr>
            <w:top w:val="none" w:sz="0" w:space="0" w:color="auto"/>
            <w:left w:val="none" w:sz="0" w:space="0" w:color="auto"/>
            <w:bottom w:val="none" w:sz="0" w:space="0" w:color="auto"/>
            <w:right w:val="none" w:sz="0" w:space="0" w:color="auto"/>
          </w:divBdr>
          <w:divsChild>
            <w:div w:id="972714032">
              <w:marLeft w:val="0"/>
              <w:marRight w:val="0"/>
              <w:marTop w:val="0"/>
              <w:marBottom w:val="0"/>
              <w:divBdr>
                <w:top w:val="none" w:sz="0" w:space="0" w:color="auto"/>
                <w:left w:val="none" w:sz="0" w:space="0" w:color="auto"/>
                <w:bottom w:val="none" w:sz="0" w:space="0" w:color="auto"/>
                <w:right w:val="none" w:sz="0" w:space="0" w:color="auto"/>
              </w:divBdr>
              <w:divsChild>
                <w:div w:id="12464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3609">
      <w:bodyDiv w:val="1"/>
      <w:marLeft w:val="0"/>
      <w:marRight w:val="0"/>
      <w:marTop w:val="0"/>
      <w:marBottom w:val="0"/>
      <w:divBdr>
        <w:top w:val="none" w:sz="0" w:space="0" w:color="auto"/>
        <w:left w:val="none" w:sz="0" w:space="0" w:color="auto"/>
        <w:bottom w:val="none" w:sz="0" w:space="0" w:color="auto"/>
        <w:right w:val="none" w:sz="0" w:space="0" w:color="auto"/>
      </w:divBdr>
    </w:div>
    <w:div w:id="2017607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s://www.usnews.com/education/best-global-universities" TargetMode="External"/><Relationship Id="rId21" Type="http://schemas.openxmlformats.org/officeDocument/2006/relationships/hyperlink" Target="http://www.cvtisr.sk" TargetMode="External"/><Relationship Id="rId42" Type="http://schemas.openxmlformats.org/officeDocument/2006/relationships/chart" Target="charts/chart12.xml"/><Relationship Id="rId47" Type="http://schemas.openxmlformats.org/officeDocument/2006/relationships/chart" Target="charts/chart15.xml"/><Relationship Id="rId63" Type="http://schemas.openxmlformats.org/officeDocument/2006/relationships/chart" Target="charts/chart26.xml"/><Relationship Id="rId68" Type="http://schemas.openxmlformats.org/officeDocument/2006/relationships/footer" Target="footer3.xml"/><Relationship Id="rId84" Type="http://schemas.openxmlformats.org/officeDocument/2006/relationships/chart" Target="charts/chart42.xml"/><Relationship Id="rId89" Type="http://schemas.openxmlformats.org/officeDocument/2006/relationships/hyperlink" Target="https://www.mrf-musicfestivals.com/international-festival-of-choirs-and-orchestras-in-tuscany-italy.phtml" TargetMode="External"/><Relationship Id="rId112" Type="http://schemas.openxmlformats.org/officeDocument/2006/relationships/hyperlink" Target="http://eai.eu/" TargetMode="External"/><Relationship Id="rId16" Type="http://schemas.openxmlformats.org/officeDocument/2006/relationships/header" Target="header2.xml"/><Relationship Id="rId107" Type="http://schemas.openxmlformats.org/officeDocument/2006/relationships/hyperlink" Target="http://www.i-ince.org/" TargetMode="External"/><Relationship Id="rId11" Type="http://schemas.openxmlformats.org/officeDocument/2006/relationships/hyperlink" Target="https://www.usnews.com/education/best-global-universities" TargetMode="External"/><Relationship Id="rId32" Type="http://schemas.openxmlformats.org/officeDocument/2006/relationships/chart" Target="charts/chart9.xml"/><Relationship Id="rId37" Type="http://schemas.openxmlformats.org/officeDocument/2006/relationships/hyperlink" Target="http://www.nucem.sk/sk/maturita" TargetMode="External"/><Relationship Id="rId53" Type="http://schemas.openxmlformats.org/officeDocument/2006/relationships/chart" Target="charts/chart19.xml"/><Relationship Id="rId58" Type="http://schemas.openxmlformats.org/officeDocument/2006/relationships/chart" Target="charts/chart21.xml"/><Relationship Id="rId74" Type="http://schemas.openxmlformats.org/officeDocument/2006/relationships/chart" Target="charts/chart32.xml"/><Relationship Id="rId79" Type="http://schemas.openxmlformats.org/officeDocument/2006/relationships/chart" Target="charts/chart37.xml"/><Relationship Id="rId102" Type="http://schemas.openxmlformats.org/officeDocument/2006/relationships/hyperlink" Target="http://www.rehva.eu/"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24.xml"/><Relationship Id="rId82" Type="http://schemas.openxmlformats.org/officeDocument/2006/relationships/chart" Target="charts/chart40.xml"/><Relationship Id="rId90" Type="http://schemas.openxmlformats.org/officeDocument/2006/relationships/hyperlink" Target="https://nyiregyhaza.info.hu/en/programok/xii-cantemus-nemzetkozi-korusfesztival/" TargetMode="External"/><Relationship Id="rId95" Type="http://schemas.openxmlformats.org/officeDocument/2006/relationships/hyperlink" Target="http://www.stusport.sk" TargetMode="Externa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header" Target="header7.xml"/><Relationship Id="rId30" Type="http://schemas.openxmlformats.org/officeDocument/2006/relationships/hyperlink" Target="http://www.portalvs.sk" TargetMode="External"/><Relationship Id="rId35" Type="http://schemas.openxmlformats.org/officeDocument/2006/relationships/header" Target="header8.xml"/><Relationship Id="rId43" Type="http://schemas.openxmlformats.org/officeDocument/2006/relationships/chart" Target="charts/chart13.xml"/><Relationship Id="rId48" Type="http://schemas.openxmlformats.org/officeDocument/2006/relationships/chart" Target="charts/chart16.xml"/><Relationship Id="rId56" Type="http://schemas.openxmlformats.org/officeDocument/2006/relationships/hyperlink" Target="https://www.usnews.com/education/best-global-universities" TargetMode="External"/><Relationship Id="rId64" Type="http://schemas.openxmlformats.org/officeDocument/2006/relationships/chart" Target="charts/chart27.xml"/><Relationship Id="rId69" Type="http://schemas.openxmlformats.org/officeDocument/2006/relationships/header" Target="header11.xml"/><Relationship Id="rId77" Type="http://schemas.openxmlformats.org/officeDocument/2006/relationships/chart" Target="charts/chart35.xml"/><Relationship Id="rId100" Type="http://schemas.openxmlformats.org/officeDocument/2006/relationships/chart" Target="charts/chart44.xml"/><Relationship Id="rId105" Type="http://schemas.openxmlformats.org/officeDocument/2006/relationships/hyperlink" Target="http://www.isgg.net/" TargetMode="External"/><Relationship Id="rId113" Type="http://schemas.openxmlformats.org/officeDocument/2006/relationships/hyperlink" Target="http://www.kmm-vin.info/" TargetMode="External"/><Relationship Id="rId118" Type="http://schemas.openxmlformats.org/officeDocument/2006/relationships/hyperlink" Target="https://eitrawmaterials.eu/" TargetMode="External"/><Relationship Id="rId8" Type="http://schemas.openxmlformats.org/officeDocument/2006/relationships/endnotes" Target="endnotes.xml"/><Relationship Id="rId51" Type="http://schemas.openxmlformats.org/officeDocument/2006/relationships/hyperlink" Target="https://www.upsvr.gov.sk/statistiky/" TargetMode="Externa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image" Target="media/image3.jpeg"/><Relationship Id="rId98" Type="http://schemas.openxmlformats.org/officeDocument/2006/relationships/hyperlink" Target="https://www.uniroma1.it/en/pagina-strutturale/home" TargetMode="External"/><Relationship Id="rId121" Type="http://schemas.openxmlformats.org/officeDocument/2006/relationships/hyperlink" Target="mailto:rector@stuba.sk"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eader" Target="header3.xml"/><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hyperlink" Target="http://www.cvtisr.sk/cvti-sr-vedecka-kniznica/informacie-o-skolstve/statistiky/casove-rady.html?page_id=9724" TargetMode="External"/><Relationship Id="rId46" Type="http://schemas.openxmlformats.org/officeDocument/2006/relationships/hyperlink" Target="http://www.cvtisr.sk" TargetMode="External"/><Relationship Id="rId59" Type="http://schemas.openxmlformats.org/officeDocument/2006/relationships/chart" Target="charts/chart22.xml"/><Relationship Id="rId67" Type="http://schemas.openxmlformats.org/officeDocument/2006/relationships/footer" Target="footer2.xml"/><Relationship Id="rId103" Type="http://schemas.openxmlformats.org/officeDocument/2006/relationships/hyperlink" Target="http://www.fems.org/" TargetMode="External"/><Relationship Id="rId108" Type="http://schemas.openxmlformats.org/officeDocument/2006/relationships/hyperlink" Target="http://www.iifiir.org/medias/medias.aspx?instance=EXPLOITATION&amp;SETLANGUAGE=EN" TargetMode="External"/><Relationship Id="rId116" Type="http://schemas.openxmlformats.org/officeDocument/2006/relationships/hyperlink" Target="https://www.usnews.com/education/best-global-universities" TargetMode="External"/><Relationship Id="rId124"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header" Target="header9.xml"/><Relationship Id="rId54" Type="http://schemas.openxmlformats.org/officeDocument/2006/relationships/hyperlink" Target="https://eitrawmaterials.eu/" TargetMode="External"/><Relationship Id="rId62" Type="http://schemas.openxmlformats.org/officeDocument/2006/relationships/chart" Target="charts/chart25.xml"/><Relationship Id="rId70" Type="http://schemas.openxmlformats.org/officeDocument/2006/relationships/header" Target="header12.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hyperlink" Target="http://www.hpc.stuba.sk" TargetMode="External"/><Relationship Id="rId91" Type="http://schemas.openxmlformats.org/officeDocument/2006/relationships/hyperlink" Target="http://www.fimu.com" TargetMode="External"/><Relationship Id="rId96" Type="http://schemas.openxmlformats.org/officeDocument/2006/relationships/hyperlink" Target="http://www.stu.lipetsk.ru/" TargetMode="External"/><Relationship Id="rId111" Type="http://schemas.openxmlformats.org/officeDocument/2006/relationships/hyperlink" Target="http://www.ecosol.sk/urb/"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hyperlink" Target="http://portal.statistics.sk/showdoc.do?docid=38645" TargetMode="External"/><Relationship Id="rId49" Type="http://schemas.openxmlformats.org/officeDocument/2006/relationships/chart" Target="charts/chart17.xml"/><Relationship Id="rId57" Type="http://schemas.openxmlformats.org/officeDocument/2006/relationships/chart" Target="charts/chart20.xml"/><Relationship Id="rId106" Type="http://schemas.openxmlformats.org/officeDocument/2006/relationships/hyperlink" Target="http://www.ifac-control.org/" TargetMode="External"/><Relationship Id="rId114" Type="http://schemas.openxmlformats.org/officeDocument/2006/relationships/hyperlink" Target="http://www.enetosh.net/webcom/show_article.php/_c-29/i.html" TargetMode="External"/><Relationship Id="rId119" Type="http://schemas.openxmlformats.org/officeDocument/2006/relationships/hyperlink" Target="https://www.usnews.com/education/best-global-universities" TargetMode="External"/><Relationship Id="rId10" Type="http://schemas.openxmlformats.org/officeDocument/2006/relationships/hyperlink" Target="https://www.usnews.com/education/best-global-universities" TargetMode="External"/><Relationship Id="rId31" Type="http://schemas.openxmlformats.org/officeDocument/2006/relationships/hyperlink" Target="http://fici.sk/" TargetMode="External"/><Relationship Id="rId44" Type="http://schemas.openxmlformats.org/officeDocument/2006/relationships/hyperlink" Target="http://www.cvtisr.sk" TargetMode="External"/><Relationship Id="rId52" Type="http://schemas.openxmlformats.org/officeDocument/2006/relationships/chart" Target="charts/chart18.xml"/><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hyperlink" Target="http://highlycited.com/" TargetMode="External"/><Relationship Id="rId94" Type="http://schemas.openxmlformats.org/officeDocument/2006/relationships/image" Target="media/image4.png"/><Relationship Id="rId99" Type="http://schemas.openxmlformats.org/officeDocument/2006/relationships/hyperlink" Target="http://www.unife.it/international" TargetMode="External"/><Relationship Id="rId101" Type="http://schemas.openxmlformats.org/officeDocument/2006/relationships/chart" Target="charts/chart45.xml"/><Relationship Id="rId122" Type="http://schemas.openxmlformats.org/officeDocument/2006/relationships/hyperlink" Target="http://www.stuba.sk" TargetMode="External"/><Relationship Id="rId4" Type="http://schemas.microsoft.com/office/2007/relationships/stylesWithEffects" Target="stylesWithEffects.xml"/><Relationship Id="rId9" Type="http://schemas.openxmlformats.org/officeDocument/2006/relationships/hyperlink" Target="https://eitrawmaterials.eu/" TargetMode="External"/><Relationship Id="rId13" Type="http://schemas.openxmlformats.org/officeDocument/2006/relationships/hyperlink" Target="https://www.portalvs.sk/sk/morho" TargetMode="External"/><Relationship Id="rId18" Type="http://schemas.openxmlformats.org/officeDocument/2006/relationships/header" Target="header4.xml"/><Relationship Id="rId39" Type="http://schemas.openxmlformats.org/officeDocument/2006/relationships/hyperlink" Target="http://dsia.uiv.cz/vystupy/vu_vs_f2.html" TargetMode="External"/><Relationship Id="rId109" Type="http://schemas.openxmlformats.org/officeDocument/2006/relationships/hyperlink" Target="http://www.iftomm.org/" TargetMode="External"/><Relationship Id="rId34" Type="http://schemas.openxmlformats.org/officeDocument/2006/relationships/chart" Target="charts/chart11.xml"/><Relationship Id="rId50" Type="http://schemas.openxmlformats.org/officeDocument/2006/relationships/hyperlink" Target="http://www.cvtisr.sk/" TargetMode="External"/><Relationship Id="rId55" Type="http://schemas.openxmlformats.org/officeDocument/2006/relationships/hyperlink" Target="https://www.usnews.com/education/best-global-universities" TargetMode="External"/><Relationship Id="rId76" Type="http://schemas.openxmlformats.org/officeDocument/2006/relationships/chart" Target="charts/chart34.xml"/><Relationship Id="rId97" Type="http://schemas.openxmlformats.org/officeDocument/2006/relationships/hyperlink" Target="https://www.susu.ru/" TargetMode="External"/><Relationship Id="rId104" Type="http://schemas.openxmlformats.org/officeDocument/2006/relationships/hyperlink" Target="http://www.proceedings.com/5468.html" TargetMode="External"/><Relationship Id="rId120" Type="http://schemas.openxmlformats.org/officeDocument/2006/relationships/hyperlink" Target="https://www.usnews.com/education/best-global-universities" TargetMode="External"/><Relationship Id="rId7" Type="http://schemas.openxmlformats.org/officeDocument/2006/relationships/footnotes" Target="footnotes.xml"/><Relationship Id="rId71" Type="http://schemas.openxmlformats.org/officeDocument/2006/relationships/chart" Target="charts/chart29.xml"/><Relationship Id="rId92" Type="http://schemas.openxmlformats.org/officeDocument/2006/relationships/image" Target="media/image2.png"/><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5.xml"/><Relationship Id="rId40" Type="http://schemas.openxmlformats.org/officeDocument/2006/relationships/hyperlink" Target="http://dsia.uiv.cz/vystupy/vu_vs_f3.html" TargetMode="External"/><Relationship Id="rId45" Type="http://schemas.openxmlformats.org/officeDocument/2006/relationships/chart" Target="charts/chart14.xml"/><Relationship Id="rId66" Type="http://schemas.openxmlformats.org/officeDocument/2006/relationships/header" Target="header10.xml"/><Relationship Id="rId87" Type="http://schemas.openxmlformats.org/officeDocument/2006/relationships/hyperlink" Target="http://www.stuba.sk/sk/studentov/studentske-organizacie.html?page_id=5484" TargetMode="External"/><Relationship Id="rId110" Type="http://schemas.openxmlformats.org/officeDocument/2006/relationships/hyperlink" Target="http://www.fisita.com/" TargetMode="External"/><Relationship Id="rId115" Type="http://schemas.openxmlformats.org/officeDocument/2006/relationships/hyperlink" Target="http://www.asociacetz.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1.xml.rels><?xml version="1.0" encoding="UTF-8" standalone="yes"?>
<Relationships xmlns="http://schemas.openxmlformats.org/package/2006/relationships"><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Admin\Documents\1MM\veda%20a%20vyskum\vyrocna%20sprava\2018\2018podkladove_tabulky_STU.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_uprava1-1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Admin\Documents\1MM\veda%20a%20vyskum\vyrocna%20sprava\2018\2018podkladoveTabulkySTU_AT.xlsx" TargetMode="External"/><Relationship Id="rId1" Type="http://schemas.openxmlformats.org/officeDocument/2006/relationships/themeOverride" Target="../theme/themeOverride2.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Admin\Documents\1MM\veda%20a%20vyskum\vyrocna%20sprava\2018\2018podkladove_tabulky_STU.xlsx" TargetMode="External"/><Relationship Id="rId1" Type="http://schemas.openxmlformats.org/officeDocument/2006/relationships/themeOverride" Target="../theme/themeOverride3.xm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_uprava1-12.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C:\Users\Admin\Documents\1MM\veda%20a%20vyskum\vyrocna%20sprava\2018\2018podkladove_tabulky_STU.xlsx" TargetMode="External"/><Relationship Id="rId1" Type="http://schemas.openxmlformats.org/officeDocument/2006/relationships/themeOverride" Target="../theme/themeOverride4.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_uprava1-1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_uprava1-12.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_uprava1-12.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_uprava1-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dmin\Documents\1MM\veda%20a%20vyskum\vyrocna%20sprava\2018\2018podkladove_tabulky_STU_uprava1-12.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file:///C:\Users\Administrator\Documents\M\2018\2018podkladove_tabulky_STU_uprava1-12.xls" TargetMode="External"/><Relationship Id="rId1" Type="http://schemas.openxmlformats.org/officeDocument/2006/relationships/themeOverride" Target="../theme/themeOverride5.xm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dministrator\Documents\M\2018\2018podkladove_tabulky_STU_uprava1-12.xls" TargetMode="External"/></Relationships>
</file>

<file path=word/charts/_rels/chart43.xml.rels><?xml version="1.0" encoding="UTF-8" standalone="yes"?>
<Relationships xmlns="http://schemas.openxmlformats.org/package/2006/relationships"><Relationship Id="rId2" Type="http://schemas.openxmlformats.org/officeDocument/2006/relationships/oleObject" Target="file:///C:\Users\Administrator\Documents\M\2018\2018podkladove_tabulky_STU_uprava1-12.xls" TargetMode="External"/><Relationship Id="rId1" Type="http://schemas.openxmlformats.org/officeDocument/2006/relationships/themeOverride" Target="../theme/themeOverride6.xml"/></Relationships>
</file>

<file path=word/charts/_rels/chart44.xml.rels><?xml version="1.0" encoding="UTF-8" standalone="yes"?>
<Relationships xmlns="http://schemas.openxmlformats.org/package/2006/relationships"><Relationship Id="rId1" Type="http://schemas.openxmlformats.org/officeDocument/2006/relationships/oleObject" Target="file:///C:\Users\Prelovsky\Desktop\dokumenty\spr&#225;vy\mobility_2017_2018.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Prelovsky\Desktop\dokumenty\spr&#225;vy\mobility_2017_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chelkova\Documents\Marianna\Spr&#225;va%20STU\Spr&#225;va2018\STU_Tabulky%20a%20grafy_2017_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7.7517890116315311E-2"/>
          <c:y val="7.9663911980042745E-2"/>
          <c:w val="0.89926962021233625"/>
          <c:h val="0.74152523504221413"/>
        </c:manualLayout>
      </c:layout>
      <c:bar3DChart>
        <c:barDir val="bar"/>
        <c:grouping val="stacked"/>
        <c:varyColors val="0"/>
        <c:ser>
          <c:idx val="9"/>
          <c:order val="0"/>
          <c:tx>
            <c:strRef>
              <c:f>Tab_2_Graf_1!$A$23</c:f>
              <c:strCache>
                <c:ptCount val="1"/>
                <c:pt idx="0">
                  <c:v>STU</c:v>
                </c:pt>
              </c:strCache>
            </c:strRef>
          </c:tx>
          <c:spPr>
            <a:solidFill>
              <a:schemeClr val="accent1"/>
            </a:solidFill>
            <a:effectLst/>
            <a:scene3d>
              <a:camera prst="orthographicFront"/>
              <a:lightRig rig="threePt" dir="t"/>
            </a:scene3d>
            <a:sp3d>
              <a:bevelT/>
            </a:sp3d>
          </c:spPr>
          <c:invertIfNegative val="0"/>
          <c:dPt>
            <c:idx val="0"/>
            <c:invertIfNegative val="0"/>
            <c:bubble3D val="0"/>
            <c:explosion val="14"/>
            <c:spPr>
              <a:gradFill flip="none" rotWithShape="1">
                <a:gsLst>
                  <a:gs pos="0">
                    <a:schemeClr val="accent1">
                      <a:lumMod val="67000"/>
                    </a:schemeClr>
                  </a:gs>
                  <a:gs pos="40000">
                    <a:schemeClr val="accent1">
                      <a:lumMod val="97000"/>
                      <a:lumOff val="3000"/>
                    </a:schemeClr>
                  </a:gs>
                  <a:gs pos="100000">
                    <a:schemeClr val="accent1">
                      <a:lumMod val="60000"/>
                      <a:lumOff val="40000"/>
                    </a:schemeClr>
                  </a:gs>
                </a:gsLst>
                <a:lin ang="16200000" scaled="1"/>
                <a:tileRect/>
              </a:gradFill>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3E97-4532-ABB8-F53D8805D00C}"/>
              </c:ext>
            </c:extLst>
          </c:dPt>
          <c:dPt>
            <c:idx val="1"/>
            <c:invertIfNegative val="0"/>
            <c:bubble3D val="0"/>
            <c:explosion val="6"/>
            <c:spPr>
              <a:gradFill flip="none" rotWithShape="1">
                <a:gsLst>
                  <a:gs pos="0">
                    <a:schemeClr val="accent2">
                      <a:lumMod val="67000"/>
                    </a:schemeClr>
                  </a:gs>
                  <a:gs pos="34000">
                    <a:schemeClr val="accent2">
                      <a:lumMod val="97000"/>
                      <a:lumOff val="3000"/>
                    </a:schemeClr>
                  </a:gs>
                  <a:gs pos="100000">
                    <a:schemeClr val="accent2">
                      <a:lumMod val="60000"/>
                      <a:lumOff val="40000"/>
                    </a:schemeClr>
                  </a:gs>
                </a:gsLst>
                <a:lin ang="16200000" scaled="1"/>
                <a:tileRect/>
              </a:gradFill>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3E97-4532-ABB8-F53D8805D00C}"/>
              </c:ext>
            </c:extLst>
          </c:dPt>
          <c:dPt>
            <c:idx val="2"/>
            <c:invertIfNegative val="0"/>
            <c:bubble3D val="0"/>
            <c:explosion val="33"/>
            <c:spPr>
              <a:gradFill>
                <a:gsLst>
                  <a:gs pos="0">
                    <a:srgbClr val="DDEBCF"/>
                  </a:gs>
                  <a:gs pos="50000">
                    <a:srgbClr val="9CB86E"/>
                  </a:gs>
                  <a:gs pos="100000">
                    <a:srgbClr val="156B13"/>
                  </a:gs>
                </a:gsLst>
                <a:lin ang="5400000" scaled="0"/>
              </a:gradFill>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3E97-4532-ABB8-F53D8805D00C}"/>
              </c:ext>
            </c:extLst>
          </c:dPt>
          <c:dLbls>
            <c:dLbl>
              <c:idx val="0"/>
              <c:layout>
                <c:manualLayout>
                  <c:x val="0.21471329177936183"/>
                  <c:y val="-1.29199654569416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97-4532-ABB8-F53D8805D00C}"/>
                </c:ext>
              </c:extLst>
            </c:dLbl>
            <c:dLbl>
              <c:idx val="1"/>
              <c:layout>
                <c:manualLayout>
                  <c:x val="0.28249048888287603"/>
                  <c:y val="-1.33762314776557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E97-4532-ABB8-F53D8805D00C}"/>
                </c:ext>
              </c:extLst>
            </c:dLbl>
            <c:dLbl>
              <c:idx val="2"/>
              <c:layout>
                <c:manualLayout>
                  <c:x val="0.32282962689799577"/>
                  <c:y val="-1.67153937889074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97-4532-ABB8-F53D8805D00C}"/>
                </c:ext>
              </c:extLst>
            </c:dLbl>
            <c:spPr>
              <a:noFill/>
              <a:ln>
                <a:noFill/>
              </a:ln>
              <a:effectLst/>
            </c:spPr>
            <c:txPr>
              <a:bodyPr/>
              <a:lstStyle/>
              <a:p>
                <a:pPr>
                  <a:defRPr b="1"/>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Tab_2_Graf_1!$B$13:$D$14</c:f>
              <c:multiLvlStrCache>
                <c:ptCount val="3"/>
                <c:lvl>
                  <c:pt idx="0">
                    <c:v>Bc.</c:v>
                  </c:pt>
                  <c:pt idx="1">
                    <c:v>Ing./Mgr.</c:v>
                  </c:pt>
                  <c:pt idx="2">
                    <c:v>PhD.</c:v>
                  </c:pt>
                </c:lvl>
                <c:lvl>
                  <c:pt idx="0">
                    <c:v>Študijný program (denná forma v štátnom jazyku)</c:v>
                  </c:pt>
                </c:lvl>
              </c:multiLvlStrCache>
            </c:multiLvlStrRef>
          </c:cat>
          <c:val>
            <c:numRef>
              <c:f>Tab_2_Graf_1!$B$23:$D$23</c:f>
              <c:numCache>
                <c:formatCode>General</c:formatCode>
                <c:ptCount val="3"/>
                <c:pt idx="0">
                  <c:v>55</c:v>
                </c:pt>
                <c:pt idx="1">
                  <c:v>57</c:v>
                </c:pt>
                <c:pt idx="2">
                  <c:v>58</c:v>
                </c:pt>
              </c:numCache>
            </c:numRef>
          </c:val>
          <c:extLst xmlns:c16r2="http://schemas.microsoft.com/office/drawing/2015/06/chart">
            <c:ext xmlns:c16="http://schemas.microsoft.com/office/drawing/2014/chart" uri="{C3380CC4-5D6E-409C-BE32-E72D297353CC}">
              <c16:uniqueId val="{00000006-3E97-4532-ABB8-F53D8805D00C}"/>
            </c:ext>
          </c:extLst>
        </c:ser>
        <c:dLbls>
          <c:showLegendKey val="0"/>
          <c:showVal val="0"/>
          <c:showCatName val="0"/>
          <c:showSerName val="0"/>
          <c:showPercent val="0"/>
          <c:showBubbleSize val="0"/>
        </c:dLbls>
        <c:gapWidth val="100"/>
        <c:shape val="box"/>
        <c:axId val="280918272"/>
        <c:axId val="280928256"/>
        <c:axId val="0"/>
      </c:bar3DChart>
      <c:catAx>
        <c:axId val="280918272"/>
        <c:scaling>
          <c:orientation val="minMax"/>
        </c:scaling>
        <c:delete val="0"/>
        <c:axPos val="l"/>
        <c:numFmt formatCode="General" sourceLinked="0"/>
        <c:majorTickMark val="out"/>
        <c:minorTickMark val="none"/>
        <c:tickLblPos val="nextTo"/>
        <c:crossAx val="280928256"/>
        <c:crosses val="autoZero"/>
        <c:auto val="1"/>
        <c:lblAlgn val="ctr"/>
        <c:lblOffset val="100"/>
        <c:noMultiLvlLbl val="0"/>
      </c:catAx>
      <c:valAx>
        <c:axId val="280928256"/>
        <c:scaling>
          <c:orientation val="minMax"/>
          <c:max val="60"/>
          <c:min val="50"/>
        </c:scaling>
        <c:delete val="1"/>
        <c:axPos val="b"/>
        <c:majorGridlines>
          <c:spPr>
            <a:ln>
              <a:solidFill>
                <a:schemeClr val="bg1">
                  <a:lumMod val="65000"/>
                </a:schemeClr>
              </a:solidFill>
            </a:ln>
          </c:spPr>
        </c:majorGridlines>
        <c:numFmt formatCode="General" sourceLinked="1"/>
        <c:majorTickMark val="out"/>
        <c:minorTickMark val="none"/>
        <c:tickLblPos val="nextTo"/>
        <c:crossAx val="280918272"/>
        <c:crosses val="autoZero"/>
        <c:crossBetween val="between"/>
        <c:majorUnit val="2"/>
      </c:valAx>
    </c:plotArea>
    <c:plotVisOnly val="1"/>
    <c:dispBlanksAs val="gap"/>
    <c:showDLblsOverMax val="0"/>
  </c:chart>
  <c:spPr>
    <a:ln>
      <a:noFill/>
    </a:ln>
  </c:spPr>
  <c:txPr>
    <a:bodyPr/>
    <a:lstStyle/>
    <a:p>
      <a:pPr>
        <a:defRPr sz="1000">
          <a:latin typeface="+mj-lt"/>
        </a:defRPr>
      </a:pPr>
      <a:endParaRPr lang="sk-S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761486124913998"/>
          <c:y val="5.7553933137567174E-2"/>
          <c:w val="0.85102591544988915"/>
          <c:h val="0.66366308896600223"/>
        </c:manualLayout>
      </c:layout>
      <c:areaChart>
        <c:grouping val="standard"/>
        <c:varyColors val="0"/>
        <c:ser>
          <c:idx val="0"/>
          <c:order val="0"/>
          <c:tx>
            <c:strRef>
              <c:f>Tab_Graf_9_10_PK_Bc!$A$68</c:f>
              <c:strCache>
                <c:ptCount val="1"/>
                <c:pt idx="0">
                  <c:v>prihlásení</c:v>
                </c:pt>
              </c:strCache>
            </c:strRef>
          </c:tx>
          <c:spPr>
            <a:gradFill flip="none" rotWithShape="1">
              <a:gsLst>
                <a:gs pos="0">
                  <a:schemeClr val="accent1">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innerShdw dist="12700" dir="16200000">
                <a:schemeClr val="lt1">
                  <a:alpha val="75000"/>
                </a:schemeClr>
              </a:innerShdw>
            </a:effectLst>
          </c:spPr>
          <c:dLbls>
            <c:dLbl>
              <c:idx val="0"/>
              <c:layout>
                <c:manualLayout>
                  <c:x val="1.6874050657061001E-2"/>
                  <c:y val="-0.329015608041674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2AB-4BFB-8DE8-83C08CF3DA15}"/>
                </c:ext>
              </c:extLst>
            </c:dLbl>
            <c:dLbl>
              <c:idx val="1"/>
              <c:layout>
                <c:manualLayout>
                  <c:x val="-3.7804147948342696E-17"/>
                  <c:y val="-0.329015608041674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2AB-4BFB-8DE8-83C08CF3DA15}"/>
                </c:ext>
              </c:extLst>
            </c:dLbl>
            <c:dLbl>
              <c:idx val="2"/>
              <c:layout>
                <c:manualLayout>
                  <c:x val="0"/>
                  <c:y val="-0.3074331301559486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2AB-4BFB-8DE8-83C08CF3DA15}"/>
                </c:ext>
              </c:extLst>
            </c:dLbl>
            <c:dLbl>
              <c:idx val="3"/>
              <c:layout>
                <c:manualLayout>
                  <c:x val="1.941753878352586E-3"/>
                  <c:y val="-0.323660420924690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2AB-4BFB-8DE8-83C08CF3DA15}"/>
                </c:ext>
              </c:extLst>
            </c:dLbl>
            <c:dLbl>
              <c:idx val="4"/>
              <c:layout>
                <c:manualLayout>
                  <c:x val="-7.5608295896685393E-17"/>
                  <c:y val="-0.2990666796225874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2AB-4BFB-8DE8-83C08CF3DA15}"/>
                </c:ext>
              </c:extLst>
            </c:dLbl>
            <c:dLbl>
              <c:idx val="5"/>
              <c:layout>
                <c:manualLayout>
                  <c:x val="-3.4022502522786258E-3"/>
                  <c:y val="-0.279242144512316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2AB-4BFB-8DE8-83C08CF3DA15}"/>
                </c:ext>
              </c:extLst>
            </c:dLbl>
            <c:dLbl>
              <c:idx val="6"/>
              <c:layout>
                <c:manualLayout>
                  <c:x val="3.6094312831990962E-4"/>
                  <c:y val="-0.245695971751700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2AB-4BFB-8DE8-83C08CF3DA15}"/>
                </c:ext>
              </c:extLst>
            </c:dLbl>
            <c:dLbl>
              <c:idx val="7"/>
              <c:layout>
                <c:manualLayout>
                  <c:x val="-1.8380009953132598E-3"/>
                  <c:y val="-0.2217689113897366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2AB-4BFB-8DE8-83C08CF3DA15}"/>
                </c:ext>
              </c:extLst>
            </c:dLbl>
            <c:dLbl>
              <c:idx val="8"/>
              <c:layout>
                <c:manualLayout>
                  <c:x val="-8.3851488870108366E-3"/>
                  <c:y val="-0.19756845914026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2AB-4BFB-8DE8-83C08CF3DA15}"/>
                </c:ext>
              </c:extLst>
            </c:dLbl>
            <c:dLbl>
              <c:idx val="9"/>
              <c:layout>
                <c:manualLayout>
                  <c:x val="-2.3180569796545304E-2"/>
                  <c:y val="-0.208312430931492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2AB-4BFB-8DE8-83C08CF3DA1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Tab_Graf_9_10_PK_Bc!$B$67:$K$67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Tab_Graf_9_10_PK_Bc!$B$68:$K$68</c:f>
              <c:numCache>
                <c:formatCode>#,##0</c:formatCode>
                <c:ptCount val="10"/>
                <c:pt idx="0">
                  <c:v>9924</c:v>
                </c:pt>
                <c:pt idx="1">
                  <c:v>10054</c:v>
                </c:pt>
                <c:pt idx="2">
                  <c:v>9539</c:v>
                </c:pt>
                <c:pt idx="3">
                  <c:v>10117</c:v>
                </c:pt>
                <c:pt idx="4">
                  <c:v>9299</c:v>
                </c:pt>
                <c:pt idx="5">
                  <c:v>7931</c:v>
                </c:pt>
                <c:pt idx="6">
                  <c:v>7511</c:v>
                </c:pt>
                <c:pt idx="7">
                  <c:v>6404</c:v>
                </c:pt>
                <c:pt idx="8">
                  <c:v>5719</c:v>
                </c:pt>
                <c:pt idx="9">
                  <c:v>6100</c:v>
                </c:pt>
              </c:numCache>
            </c:numRef>
          </c:val>
          <c:extLst xmlns:c16r2="http://schemas.microsoft.com/office/drawing/2015/06/chart">
            <c:ext xmlns:c16="http://schemas.microsoft.com/office/drawing/2014/chart" uri="{C3380CC4-5D6E-409C-BE32-E72D297353CC}">
              <c16:uniqueId val="{0000000A-A2AB-4BFB-8DE8-83C08CF3DA15}"/>
            </c:ext>
          </c:extLst>
        </c:ser>
        <c:ser>
          <c:idx val="1"/>
          <c:order val="1"/>
          <c:tx>
            <c:strRef>
              <c:f>Tab_Graf_9_10_PK_Bc!$A$69</c:f>
              <c:strCache>
                <c:ptCount val="1"/>
                <c:pt idx="0">
                  <c:v>prijatí</c:v>
                </c:pt>
              </c:strCache>
            </c:strRef>
          </c:tx>
          <c:spPr>
            <a:gradFill>
              <a:gsLst>
                <a:gs pos="3000">
                  <a:schemeClr val="accent1">
                    <a:lumMod val="40000"/>
                    <a:lumOff val="60000"/>
                  </a:schemeClr>
                </a:gs>
                <a:gs pos="54000">
                  <a:schemeClr val="accent1">
                    <a:lumMod val="40000"/>
                    <a:lumOff val="60000"/>
                  </a:schemeClr>
                </a:gs>
                <a:gs pos="100000">
                  <a:schemeClr val="accent1">
                    <a:lumMod val="60000"/>
                    <a:lumOff val="40000"/>
                  </a:schemeClr>
                </a:gs>
              </a:gsLst>
              <a:lin ang="16200000" scaled="1"/>
            </a:gradFill>
            <a:ln>
              <a:noFill/>
            </a:ln>
            <a:effectLst>
              <a:innerShdw dist="12700" dir="16200000">
                <a:schemeClr val="lt1">
                  <a:alpha val="75000"/>
                </a:schemeClr>
              </a:innerShdw>
            </a:effectLst>
          </c:spPr>
          <c:dLbls>
            <c:dLbl>
              <c:idx val="0"/>
              <c:layout>
                <c:manualLayout>
                  <c:x val="2.0998187165979426E-2"/>
                  <c:y val="-0.194244606686243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2AB-4BFB-8DE8-83C08CF3DA15}"/>
                </c:ext>
              </c:extLst>
            </c:dLbl>
            <c:dLbl>
              <c:idx val="1"/>
              <c:layout>
                <c:manualLayout>
                  <c:x val="0"/>
                  <c:y val="-0.205035855075140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2AB-4BFB-8DE8-83C08CF3DA15}"/>
                </c:ext>
              </c:extLst>
            </c:dLbl>
            <c:dLbl>
              <c:idx val="2"/>
              <c:layout>
                <c:manualLayout>
                  <c:x val="-7.1196588534170061E-17"/>
                  <c:y val="-0.208632975339616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2AB-4BFB-8DE8-83C08CF3DA15}"/>
                </c:ext>
              </c:extLst>
            </c:dLbl>
            <c:dLbl>
              <c:idx val="3"/>
              <c:layout>
                <c:manualLayout>
                  <c:x val="0"/>
                  <c:y val="-0.226618576661997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2AB-4BFB-8DE8-83C08CF3DA15}"/>
                </c:ext>
              </c:extLst>
            </c:dLbl>
            <c:dLbl>
              <c:idx val="4"/>
              <c:layout>
                <c:manualLayout>
                  <c:x val="-1.9417475728156052E-3"/>
                  <c:y val="-0.212230095604092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2AB-4BFB-8DE8-83C08CF3DA15}"/>
                </c:ext>
              </c:extLst>
            </c:dLbl>
            <c:dLbl>
              <c:idx val="5"/>
              <c:layout>
                <c:manualLayout>
                  <c:x val="-1.4239317706834012E-16"/>
                  <c:y val="-0.17625889295933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2AB-4BFB-8DE8-83C08CF3DA15}"/>
                </c:ext>
              </c:extLst>
            </c:dLbl>
            <c:dLbl>
              <c:idx val="6"/>
              <c:layout>
                <c:manualLayout>
                  <c:x val="-5.8252427184467444E-3"/>
                  <c:y val="-0.161870411901426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2AB-4BFB-8DE8-83C08CF3DA15}"/>
                </c:ext>
              </c:extLst>
            </c:dLbl>
            <c:dLbl>
              <c:idx val="7"/>
              <c:layout>
                <c:manualLayout>
                  <c:x val="-8.2648345109042013E-3"/>
                  <c:y val="-0.147482077185446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2AB-4BFB-8DE8-83C08CF3DA15}"/>
                </c:ext>
              </c:extLst>
            </c:dLbl>
            <c:dLbl>
              <c:idx val="8"/>
              <c:layout>
                <c:manualLayout>
                  <c:x val="-1.0567531517576847E-2"/>
                  <c:y val="-0.112820597278927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2AB-4BFB-8DE8-83C08CF3DA15}"/>
                </c:ext>
              </c:extLst>
            </c:dLbl>
            <c:dLbl>
              <c:idx val="9"/>
              <c:layout>
                <c:manualLayout>
                  <c:x val="-2.5242638051004528E-2"/>
                  <c:y val="-0.11768367899839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A2AB-4BFB-8DE8-83C08CF3DA1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Tab_Graf_9_10_PK_Bc!$B$67:$K$67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Tab_Graf_9_10_PK_Bc!$B$69:$K$69</c:f>
              <c:numCache>
                <c:formatCode>#,##0</c:formatCode>
                <c:ptCount val="10"/>
                <c:pt idx="0">
                  <c:v>6991</c:v>
                </c:pt>
                <c:pt idx="1">
                  <c:v>7325</c:v>
                </c:pt>
                <c:pt idx="2">
                  <c:v>7528</c:v>
                </c:pt>
                <c:pt idx="3">
                  <c:v>8077</c:v>
                </c:pt>
                <c:pt idx="4">
                  <c:v>7909</c:v>
                </c:pt>
                <c:pt idx="5">
                  <c:v>6660</c:v>
                </c:pt>
                <c:pt idx="6">
                  <c:v>6402</c:v>
                </c:pt>
                <c:pt idx="7">
                  <c:v>5358</c:v>
                </c:pt>
                <c:pt idx="8">
                  <c:v>4711</c:v>
                </c:pt>
                <c:pt idx="9">
                  <c:v>4956</c:v>
                </c:pt>
              </c:numCache>
            </c:numRef>
          </c:val>
          <c:extLst xmlns:c16r2="http://schemas.microsoft.com/office/drawing/2015/06/chart">
            <c:ext xmlns:c16="http://schemas.microsoft.com/office/drawing/2014/chart" uri="{C3380CC4-5D6E-409C-BE32-E72D297353CC}">
              <c16:uniqueId val="{00000015-A2AB-4BFB-8DE8-83C08CF3DA15}"/>
            </c:ext>
          </c:extLst>
        </c:ser>
        <c:ser>
          <c:idx val="2"/>
          <c:order val="2"/>
          <c:tx>
            <c:strRef>
              <c:f>Tab_Graf_9_10_PK_Bc!$A$70</c:f>
              <c:strCache>
                <c:ptCount val="1"/>
                <c:pt idx="0">
                  <c:v>zapísaní</c:v>
                </c:pt>
              </c:strCache>
            </c:strRef>
          </c:tx>
          <c:spPr>
            <a:gradFill>
              <a:gsLst>
                <a:gs pos="0">
                  <a:schemeClr val="accent1">
                    <a:lumMod val="67000"/>
                  </a:schemeClr>
                </a:gs>
                <a:gs pos="48000">
                  <a:schemeClr val="accent1">
                    <a:lumMod val="97000"/>
                    <a:lumOff val="3000"/>
                  </a:schemeClr>
                </a:gs>
                <a:gs pos="100000">
                  <a:schemeClr val="accent1">
                    <a:lumMod val="60000"/>
                    <a:lumOff val="40000"/>
                  </a:schemeClr>
                </a:gs>
              </a:gsLst>
              <a:lin ang="16200000" scaled="1"/>
            </a:gradFill>
            <a:ln>
              <a:noFill/>
            </a:ln>
            <a:effectLst>
              <a:innerShdw dist="12700" dir="16200000">
                <a:schemeClr val="lt1">
                  <a:alpha val="75000"/>
                </a:schemeClr>
              </a:innerShdw>
            </a:effectLst>
          </c:spPr>
          <c:dLbls>
            <c:dLbl>
              <c:idx val="0"/>
              <c:layout>
                <c:manualLayout>
                  <c:x val="2.0998187165979426E-2"/>
                  <c:y val="-8.6330899706350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A2AB-4BFB-8DE8-83C08CF3DA15}"/>
                </c:ext>
              </c:extLst>
            </c:dLbl>
            <c:dLbl>
              <c:idx val="1"/>
              <c:layout>
                <c:manualLayout>
                  <c:x val="0"/>
                  <c:y val="-7.91366458184752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A2AB-4BFB-8DE8-83C08CF3DA15}"/>
                </c:ext>
              </c:extLst>
            </c:dLbl>
            <c:dLbl>
              <c:idx val="2"/>
              <c:layout>
                <c:manualLayout>
                  <c:x val="1.9417475728155697E-3"/>
                  <c:y val="-7.5539525553999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A2AB-4BFB-8DE8-83C08CF3DA15}"/>
                </c:ext>
              </c:extLst>
            </c:dLbl>
            <c:dLbl>
              <c:idx val="3"/>
              <c:layout>
                <c:manualLayout>
                  <c:x val="3.8834951456309967E-3"/>
                  <c:y val="-8.99280066119035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A2AB-4BFB-8DE8-83C08CF3DA15}"/>
                </c:ext>
              </c:extLst>
            </c:dLbl>
            <c:dLbl>
              <c:idx val="4"/>
              <c:layout>
                <c:manualLayout>
                  <c:x val="-7.1196588534170061E-17"/>
                  <c:y val="-9.35251268763798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A2AB-4BFB-8DE8-83C08CF3DA15}"/>
                </c:ext>
              </c:extLst>
            </c:dLbl>
            <c:dLbl>
              <c:idx val="5"/>
              <c:layout>
                <c:manualLayout>
                  <c:x val="-1.4239317706834012E-16"/>
                  <c:y val="-7.5539525553999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A2AB-4BFB-8DE8-83C08CF3DA15}"/>
                </c:ext>
              </c:extLst>
            </c:dLbl>
            <c:dLbl>
              <c:idx val="6"/>
              <c:layout>
                <c:manualLayout>
                  <c:x val="-3.8834951456310678E-3"/>
                  <c:y val="-6.8345285025046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A2AB-4BFB-8DE8-83C08CF3DA15}"/>
                </c:ext>
              </c:extLst>
            </c:dLbl>
            <c:dLbl>
              <c:idx val="7"/>
              <c:layout>
                <c:manualLayout>
                  <c:x val="-6.3230806325516144E-3"/>
                  <c:y val="-6.47480924328090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A2AB-4BFB-8DE8-83C08CF3DA15}"/>
                </c:ext>
              </c:extLst>
            </c:dLbl>
            <c:dLbl>
              <c:idx val="8"/>
              <c:layout>
                <c:manualLayout>
                  <c:x val="-4.3813267541990284E-3"/>
                  <c:y val="-4.70988344612121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A2AB-4BFB-8DE8-83C08CF3DA15}"/>
                </c:ext>
              </c:extLst>
            </c:dLbl>
            <c:dLbl>
              <c:idx val="9"/>
              <c:layout>
                <c:manualLayout>
                  <c:x val="-2.524271844660194E-2"/>
                  <c:y val="-5.4700854700854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A2AB-4BFB-8DE8-83C08CF3DA1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Tab_Graf_9_10_PK_Bc!$B$67:$K$67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Tab_Graf_9_10_PK_Bc!$B$70:$K$70</c:f>
              <c:numCache>
                <c:formatCode>#,##0</c:formatCode>
                <c:ptCount val="10"/>
                <c:pt idx="0">
                  <c:v>4426</c:v>
                </c:pt>
                <c:pt idx="1">
                  <c:v>4745</c:v>
                </c:pt>
                <c:pt idx="2">
                  <c:v>4766</c:v>
                </c:pt>
                <c:pt idx="3">
                  <c:v>5158</c:v>
                </c:pt>
                <c:pt idx="4">
                  <c:v>5084</c:v>
                </c:pt>
                <c:pt idx="5">
                  <c:v>4473</c:v>
                </c:pt>
                <c:pt idx="6">
                  <c:v>4171</c:v>
                </c:pt>
                <c:pt idx="7">
                  <c:v>3205</c:v>
                </c:pt>
                <c:pt idx="8">
                  <c:v>3210</c:v>
                </c:pt>
                <c:pt idx="9">
                  <c:v>3345</c:v>
                </c:pt>
              </c:numCache>
            </c:numRef>
          </c:val>
          <c:extLst xmlns:c16r2="http://schemas.microsoft.com/office/drawing/2015/06/chart">
            <c:ext xmlns:c16="http://schemas.microsoft.com/office/drawing/2014/chart" uri="{C3380CC4-5D6E-409C-BE32-E72D297353CC}">
              <c16:uniqueId val="{00000020-A2AB-4BFB-8DE8-83C08CF3DA15}"/>
            </c:ext>
          </c:extLst>
        </c:ser>
        <c:dLbls>
          <c:showLegendKey val="0"/>
          <c:showVal val="0"/>
          <c:showCatName val="0"/>
          <c:showSerName val="0"/>
          <c:showPercent val="0"/>
          <c:showBubbleSize val="0"/>
        </c:dLbls>
        <c:dropLines>
          <c:spPr>
            <a:ln w="9525" cap="flat" cmpd="sng" algn="ctr">
              <a:solidFill>
                <a:schemeClr val="lt1">
                  <a:alpha val="40000"/>
                </a:schemeClr>
              </a:solidFill>
              <a:round/>
            </a:ln>
            <a:effectLst/>
          </c:spPr>
        </c:dropLines>
        <c:axId val="322588032"/>
        <c:axId val="322618496"/>
      </c:areaChart>
      <c:catAx>
        <c:axId val="322588032"/>
        <c:scaling>
          <c:orientation val="minMax"/>
        </c:scaling>
        <c:delete val="0"/>
        <c:axPos val="b"/>
        <c:numFmt formatCode="General" sourceLinked="0"/>
        <c:majorTickMark val="none"/>
        <c:minorTickMark val="none"/>
        <c:tickLblPos val="nextTo"/>
        <c:spPr>
          <a:noFill/>
          <a:ln w="9575" cap="flat" cmpd="sng" algn="ctr">
            <a:solidFill>
              <a:schemeClr val="lt1">
                <a:lumMod val="75000"/>
              </a:schemeClr>
            </a:solidFill>
            <a:round/>
            <a:headEnd type="none" w="sm" len="sm"/>
            <a:tailEnd type="none" w="sm" len="sm"/>
          </a:ln>
          <a:effectLst/>
        </c:spPr>
        <c:txPr>
          <a:bodyPr rot="0" spcFirstLastPara="1" vertOverflow="ellipsis" wrap="square" anchor="ctr" anchorCtr="1"/>
          <a:lstStyle/>
          <a:p>
            <a:pPr>
              <a:defRPr sz="900" b="1" i="0" u="none" strike="noStrike" kern="1200" cap="all" baseline="0">
                <a:solidFill>
                  <a:sysClr val="windowText" lastClr="000000"/>
                </a:solidFill>
                <a:latin typeface="+mj-lt"/>
                <a:ea typeface="+mn-ea"/>
                <a:cs typeface="+mn-cs"/>
              </a:defRPr>
            </a:pPr>
            <a:endParaRPr lang="sk-SK"/>
          </a:p>
        </c:txPr>
        <c:crossAx val="322618496"/>
        <c:crosses val="autoZero"/>
        <c:auto val="1"/>
        <c:lblAlgn val="ctr"/>
        <c:lblOffset val="100"/>
        <c:noMultiLvlLbl val="0"/>
      </c:catAx>
      <c:valAx>
        <c:axId val="322618496"/>
        <c:scaling>
          <c:orientation val="minMax"/>
          <c:max val="11000"/>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sk-SK"/>
          </a:p>
        </c:txPr>
        <c:crossAx val="322588032"/>
        <c:crosses val="autoZero"/>
        <c:crossBetween val="midCat"/>
      </c:valAx>
      <c:dTable>
        <c:showHorzBorder val="1"/>
        <c:showVertBorder val="1"/>
        <c:showOutline val="1"/>
        <c:showKeys val="1"/>
        <c:spPr>
          <a:noFill/>
          <a:ln w="9525">
            <a:solidFill>
              <a:schemeClr val="lt1">
                <a:lumMod val="50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j-lt"/>
                <a:ea typeface="+mn-ea"/>
                <a:cs typeface="+mn-cs"/>
              </a:defRPr>
            </a:pPr>
            <a:endParaRPr lang="sk-SK"/>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j-lt"/>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299849749449"/>
          <c:y val="5.1605978830111018E-2"/>
          <c:w val="0.86935687587598831"/>
          <c:h val="0.54826832258756297"/>
        </c:manualLayout>
      </c:layout>
      <c:lineChart>
        <c:grouping val="standard"/>
        <c:varyColors val="0"/>
        <c:ser>
          <c:idx val="0"/>
          <c:order val="0"/>
          <c:tx>
            <c:strRef>
              <c:f>Tab23_Graf_11_zap_matu!$B$2</c:f>
              <c:strCache>
                <c:ptCount val="1"/>
                <c:pt idx="0">
                  <c:v>Počet 19 ročných obyvateľov v SR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Tab23_Graf_11_zap_matu!$A$4:$A$15</c:f>
              <c:strCache>
                <c:ptCount val="12"/>
                <c:pt idx="0">
                  <c:v>2007/2008</c:v>
                </c:pt>
                <c:pt idx="1">
                  <c:v>2008/2009</c:v>
                </c:pt>
                <c:pt idx="2">
                  <c:v>2009/2010</c:v>
                </c:pt>
                <c:pt idx="3">
                  <c:v>2010/2011</c:v>
                </c:pt>
                <c:pt idx="4">
                  <c:v>2011/2012</c:v>
                </c:pt>
                <c:pt idx="5">
                  <c:v>2012/2013</c:v>
                </c:pt>
                <c:pt idx="6">
                  <c:v>2013/2014</c:v>
                </c:pt>
                <c:pt idx="7">
                  <c:v>2014/2015</c:v>
                </c:pt>
                <c:pt idx="8">
                  <c:v>2015/2016</c:v>
                </c:pt>
                <c:pt idx="9">
                  <c:v>2016/2017</c:v>
                </c:pt>
                <c:pt idx="10">
                  <c:v>2017/2018</c:v>
                </c:pt>
                <c:pt idx="11">
                  <c:v>2018/2019</c:v>
                </c:pt>
              </c:strCache>
            </c:strRef>
          </c:cat>
          <c:val>
            <c:numRef>
              <c:f>Tab23_Graf_11_zap_matu!$B$4:$B$15</c:f>
              <c:numCache>
                <c:formatCode>#,##0</c:formatCode>
                <c:ptCount val="12"/>
                <c:pt idx="0">
                  <c:v>82193</c:v>
                </c:pt>
                <c:pt idx="1">
                  <c:v>80633</c:v>
                </c:pt>
                <c:pt idx="2">
                  <c:v>79049</c:v>
                </c:pt>
                <c:pt idx="3">
                  <c:v>78128</c:v>
                </c:pt>
                <c:pt idx="4">
                  <c:v>75124</c:v>
                </c:pt>
                <c:pt idx="5">
                  <c:v>72825.5</c:v>
                </c:pt>
                <c:pt idx="6">
                  <c:v>69072.5</c:v>
                </c:pt>
                <c:pt idx="7">
                  <c:v>63394</c:v>
                </c:pt>
                <c:pt idx="8">
                  <c:v>60351.5</c:v>
                </c:pt>
                <c:pt idx="9">
                  <c:v>59128</c:v>
                </c:pt>
                <c:pt idx="10">
                  <c:v>57679</c:v>
                </c:pt>
                <c:pt idx="11">
                  <c:v>56352</c:v>
                </c:pt>
              </c:numCache>
            </c:numRef>
          </c:val>
          <c:smooth val="0"/>
          <c:extLst xmlns:c16r2="http://schemas.microsoft.com/office/drawing/2015/06/chart">
            <c:ext xmlns:c16="http://schemas.microsoft.com/office/drawing/2014/chart" uri="{C3380CC4-5D6E-409C-BE32-E72D297353CC}">
              <c16:uniqueId val="{00000000-9C0D-45EE-B2F7-41E28F0097F2}"/>
            </c:ext>
          </c:extLst>
        </c:ser>
        <c:ser>
          <c:idx val="1"/>
          <c:order val="1"/>
          <c:tx>
            <c:strRef>
              <c:f>Tab23_Graf_11_zap_matu!$D$2</c:f>
              <c:strCache>
                <c:ptCount val="1"/>
                <c:pt idx="0">
                  <c:v>Počet všetkých maturantov SR (zo správ NUCEM)</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Tab23_Graf_11_zap_matu!$A$4:$A$15</c:f>
              <c:strCache>
                <c:ptCount val="12"/>
                <c:pt idx="0">
                  <c:v>2007/2008</c:v>
                </c:pt>
                <c:pt idx="1">
                  <c:v>2008/2009</c:v>
                </c:pt>
                <c:pt idx="2">
                  <c:v>2009/2010</c:v>
                </c:pt>
                <c:pt idx="3">
                  <c:v>2010/2011</c:v>
                </c:pt>
                <c:pt idx="4">
                  <c:v>2011/2012</c:v>
                </c:pt>
                <c:pt idx="5">
                  <c:v>2012/2013</c:v>
                </c:pt>
                <c:pt idx="6">
                  <c:v>2013/2014</c:v>
                </c:pt>
                <c:pt idx="7">
                  <c:v>2014/2015</c:v>
                </c:pt>
                <c:pt idx="8">
                  <c:v>2015/2016</c:v>
                </c:pt>
                <c:pt idx="9">
                  <c:v>2016/2017</c:v>
                </c:pt>
                <c:pt idx="10">
                  <c:v>2017/2018</c:v>
                </c:pt>
                <c:pt idx="11">
                  <c:v>2018/2019</c:v>
                </c:pt>
              </c:strCache>
            </c:strRef>
          </c:cat>
          <c:val>
            <c:numRef>
              <c:f>Tab23_Graf_11_zap_matu!$D$4:$D$15</c:f>
              <c:numCache>
                <c:formatCode>#,##0</c:formatCode>
                <c:ptCount val="12"/>
                <c:pt idx="0">
                  <c:v>62397</c:v>
                </c:pt>
                <c:pt idx="1">
                  <c:v>60301</c:v>
                </c:pt>
                <c:pt idx="2">
                  <c:v>60832</c:v>
                </c:pt>
                <c:pt idx="3">
                  <c:v>62263</c:v>
                </c:pt>
                <c:pt idx="4">
                  <c:v>60369</c:v>
                </c:pt>
                <c:pt idx="5">
                  <c:v>59465</c:v>
                </c:pt>
                <c:pt idx="6">
                  <c:v>56345</c:v>
                </c:pt>
                <c:pt idx="7">
                  <c:v>50215</c:v>
                </c:pt>
                <c:pt idx="8">
                  <c:v>46583</c:v>
                </c:pt>
                <c:pt idx="9">
                  <c:v>44991</c:v>
                </c:pt>
                <c:pt idx="10">
                  <c:v>39670</c:v>
                </c:pt>
                <c:pt idx="11">
                  <c:v>42483</c:v>
                </c:pt>
              </c:numCache>
            </c:numRef>
          </c:val>
          <c:smooth val="0"/>
          <c:extLst xmlns:c16r2="http://schemas.microsoft.com/office/drawing/2015/06/chart">
            <c:ext xmlns:c16="http://schemas.microsoft.com/office/drawing/2014/chart" uri="{C3380CC4-5D6E-409C-BE32-E72D297353CC}">
              <c16:uniqueId val="{00000001-9C0D-45EE-B2F7-41E28F0097F2}"/>
            </c:ext>
          </c:extLst>
        </c:ser>
        <c:ser>
          <c:idx val="3"/>
          <c:order val="2"/>
          <c:tx>
            <c:strRef>
              <c:f>Tab23_Graf_11_zap_matu!$H$2</c:f>
              <c:strCache>
                <c:ptCount val="1"/>
                <c:pt idx="0">
                  <c:v>Počet zapísaných študentov STU, ktorí maturovali v predch. škol. roku</c:v>
                </c:pt>
              </c:strCache>
            </c:strRef>
          </c:tx>
          <c:spPr>
            <a:ln w="44450" cap="rnd">
              <a:solidFill>
                <a:srgbClr val="00B05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Tab23_Graf_11_zap_matu!$A$4:$A$15</c:f>
              <c:strCache>
                <c:ptCount val="12"/>
                <c:pt idx="0">
                  <c:v>2007/2008</c:v>
                </c:pt>
                <c:pt idx="1">
                  <c:v>2008/2009</c:v>
                </c:pt>
                <c:pt idx="2">
                  <c:v>2009/2010</c:v>
                </c:pt>
                <c:pt idx="3">
                  <c:v>2010/2011</c:v>
                </c:pt>
                <c:pt idx="4">
                  <c:v>2011/2012</c:v>
                </c:pt>
                <c:pt idx="5">
                  <c:v>2012/2013</c:v>
                </c:pt>
                <c:pt idx="6">
                  <c:v>2013/2014</c:v>
                </c:pt>
                <c:pt idx="7">
                  <c:v>2014/2015</c:v>
                </c:pt>
                <c:pt idx="8">
                  <c:v>2015/2016</c:v>
                </c:pt>
                <c:pt idx="9">
                  <c:v>2016/2017</c:v>
                </c:pt>
                <c:pt idx="10">
                  <c:v>2017/2018</c:v>
                </c:pt>
                <c:pt idx="11">
                  <c:v>2018/2019</c:v>
                </c:pt>
              </c:strCache>
            </c:strRef>
          </c:cat>
          <c:val>
            <c:numRef>
              <c:f>Tab23_Graf_11_zap_matu!$H$4:$H$15</c:f>
              <c:numCache>
                <c:formatCode>#,##0</c:formatCode>
                <c:ptCount val="12"/>
                <c:pt idx="0">
                  <c:v>3404</c:v>
                </c:pt>
                <c:pt idx="1">
                  <c:v>2863</c:v>
                </c:pt>
                <c:pt idx="2">
                  <c:v>3058</c:v>
                </c:pt>
                <c:pt idx="3">
                  <c:v>3305</c:v>
                </c:pt>
                <c:pt idx="4">
                  <c:v>3181</c:v>
                </c:pt>
                <c:pt idx="5">
                  <c:v>3460</c:v>
                </c:pt>
                <c:pt idx="6">
                  <c:v>3164</c:v>
                </c:pt>
                <c:pt idx="7">
                  <c:v>2747</c:v>
                </c:pt>
                <c:pt idx="8">
                  <c:v>2483</c:v>
                </c:pt>
                <c:pt idx="9">
                  <c:v>2192</c:v>
                </c:pt>
                <c:pt idx="10">
                  <c:v>1836</c:v>
                </c:pt>
                <c:pt idx="11">
                  <c:v>2187</c:v>
                </c:pt>
              </c:numCache>
            </c:numRef>
          </c:val>
          <c:smooth val="0"/>
          <c:extLst xmlns:c16r2="http://schemas.microsoft.com/office/drawing/2015/06/chart">
            <c:ext xmlns:c16="http://schemas.microsoft.com/office/drawing/2014/chart" uri="{C3380CC4-5D6E-409C-BE32-E72D297353CC}">
              <c16:uniqueId val="{00000002-9C0D-45EE-B2F7-41E28F0097F2}"/>
            </c:ext>
          </c:extLst>
        </c:ser>
        <c:dLbls>
          <c:showLegendKey val="0"/>
          <c:showVal val="0"/>
          <c:showCatName val="0"/>
          <c:showSerName val="0"/>
          <c:showPercent val="0"/>
          <c:showBubbleSize val="0"/>
        </c:dLbls>
        <c:marker val="1"/>
        <c:smooth val="0"/>
        <c:axId val="322787200"/>
        <c:axId val="322788736"/>
      </c:lineChart>
      <c:catAx>
        <c:axId val="3227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322788736"/>
        <c:crosses val="autoZero"/>
        <c:auto val="1"/>
        <c:lblAlgn val="ctr"/>
        <c:lblOffset val="100"/>
        <c:noMultiLvlLbl val="0"/>
      </c:catAx>
      <c:valAx>
        <c:axId val="322788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322787200"/>
        <c:crosses val="autoZero"/>
        <c:crossBetween val="between"/>
        <c:majorUnit val="20000"/>
      </c:valAx>
      <c:spPr>
        <a:noFill/>
        <a:ln>
          <a:noFill/>
        </a:ln>
        <a:effectLst/>
      </c:spPr>
    </c:plotArea>
    <c:legend>
      <c:legendPos val="b"/>
      <c:layout>
        <c:manualLayout>
          <c:xMode val="edge"/>
          <c:yMode val="edge"/>
          <c:x val="0.17076052400927089"/>
          <c:y val="0.82230639843873532"/>
          <c:w val="0.68449190492337308"/>
          <c:h val="0.15835292570870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flip="none" rotWithShape="1">
              <a:gsLst>
                <a:gs pos="0">
                  <a:schemeClr val="accent2"/>
                </a:gs>
                <a:gs pos="48000">
                  <a:schemeClr val="accent2">
                    <a:lumMod val="97000"/>
                    <a:lumOff val="3000"/>
                  </a:schemeClr>
                </a:gs>
                <a:gs pos="100000">
                  <a:schemeClr val="accent2">
                    <a:lumMod val="60000"/>
                    <a:lumOff val="40000"/>
                  </a:schemeClr>
                </a:gs>
              </a:gsLst>
              <a:lin ang="16200000" scaled="1"/>
              <a:tileRect/>
            </a:gradFill>
            <a:ln>
              <a:noFill/>
            </a:ln>
          </c:spPr>
          <c:invertIfNegative val="0"/>
          <c:dLbls>
            <c:spPr>
              <a:noFill/>
              <a:ln>
                <a:noFill/>
              </a:ln>
              <a:effectLst/>
            </c:spPr>
            <c:txPr>
              <a:bodyPr rot="-5400000" vert="horz"/>
              <a:lstStyle/>
              <a:p>
                <a:pPr>
                  <a:defRPr b="1">
                    <a:solidFill>
                      <a:schemeClr val="bg1"/>
                    </a:solidFill>
                  </a:defRPr>
                </a:pPr>
                <a:endParaRPr lang="sk-SK"/>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Tab_graf12_PK_Ing!$H$34:$M$34</c:f>
              <c:strCache>
                <c:ptCount val="5"/>
                <c:pt idx="0">
                  <c:v>2014/2015</c:v>
                </c:pt>
                <c:pt idx="1">
                  <c:v>2015/2016</c:v>
                </c:pt>
                <c:pt idx="2">
                  <c:v>2016/2017</c:v>
                </c:pt>
                <c:pt idx="3">
                  <c:v>2017/2018</c:v>
                </c:pt>
                <c:pt idx="4">
                  <c:v>2018/2019</c:v>
                </c:pt>
              </c:strCache>
            </c:strRef>
          </c:cat>
          <c:val>
            <c:numRef>
              <c:f>Tab_graf12_PK_Ing!$H$44:$M$44</c:f>
              <c:numCache>
                <c:formatCode>#,##0</c:formatCode>
                <c:ptCount val="5"/>
                <c:pt idx="0">
                  <c:v>2084</c:v>
                </c:pt>
                <c:pt idx="1">
                  <c:v>2220</c:v>
                </c:pt>
                <c:pt idx="2">
                  <c:v>1972</c:v>
                </c:pt>
                <c:pt idx="3">
                  <c:v>1779</c:v>
                </c:pt>
                <c:pt idx="4">
                  <c:v>1661</c:v>
                </c:pt>
              </c:numCache>
            </c:numRef>
          </c:val>
          <c:extLst xmlns:c16r2="http://schemas.microsoft.com/office/drawing/2015/06/chart">
            <c:ext xmlns:c16="http://schemas.microsoft.com/office/drawing/2014/chart" uri="{C3380CC4-5D6E-409C-BE32-E72D297353CC}">
              <c16:uniqueId val="{00000000-9AA2-46C0-9B62-462C7A2A390E}"/>
            </c:ext>
          </c:extLst>
        </c:ser>
        <c:dLbls>
          <c:showLegendKey val="0"/>
          <c:showVal val="0"/>
          <c:showCatName val="0"/>
          <c:showSerName val="0"/>
          <c:showPercent val="0"/>
          <c:showBubbleSize val="0"/>
        </c:dLbls>
        <c:gapWidth val="150"/>
        <c:axId val="324560768"/>
        <c:axId val="324558848"/>
      </c:barChart>
      <c:lineChart>
        <c:grouping val="standard"/>
        <c:varyColors val="0"/>
        <c:ser>
          <c:idx val="0"/>
          <c:order val="0"/>
          <c:marker>
            <c:symbol val="none"/>
          </c:marker>
          <c:dLbls>
            <c:dLbl>
              <c:idx val="0"/>
              <c:layout>
                <c:manualLayout>
                  <c:x val="-4.5423677868487347E-2"/>
                  <c:y val="-6.06598133566637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A2-46C0-9B62-462C7A2A390E}"/>
                </c:ext>
              </c:extLst>
            </c:dLbl>
            <c:dLbl>
              <c:idx val="2"/>
              <c:layout>
                <c:manualLayout>
                  <c:x val="-4.1860994369568832E-2"/>
                  <c:y val="-7.45487022455526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A2-46C0-9B62-462C7A2A390E}"/>
                </c:ext>
              </c:extLst>
            </c:dLbl>
            <c:dLbl>
              <c:idx val="3"/>
              <c:layout>
                <c:manualLayout>
                  <c:x val="-4.5167973635197443E-2"/>
                  <c:y val="-3.75116652085156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A2-46C0-9B62-462C7A2A390E}"/>
                </c:ext>
              </c:extLst>
            </c:dLbl>
            <c:dLbl>
              <c:idx val="4"/>
              <c:layout>
                <c:manualLayout>
                  <c:x val="-4.4587647402970332E-2"/>
                  <c:y val="-4.67709244677748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A2-46C0-9B62-462C7A2A390E}"/>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Tab_graf12_PK_Ing!$H$34:$M$34</c:f>
              <c:strCache>
                <c:ptCount val="5"/>
                <c:pt idx="0">
                  <c:v>2014/2015</c:v>
                </c:pt>
                <c:pt idx="1">
                  <c:v>2015/2016</c:v>
                </c:pt>
                <c:pt idx="2">
                  <c:v>2016/2017</c:v>
                </c:pt>
                <c:pt idx="3">
                  <c:v>2017/2018</c:v>
                </c:pt>
                <c:pt idx="4">
                  <c:v>2018/2019</c:v>
                </c:pt>
              </c:strCache>
            </c:strRef>
          </c:cat>
          <c:val>
            <c:numRef>
              <c:f>Tab_graf12_PK_Ing!$H$43:$M$43</c:f>
              <c:numCache>
                <c:formatCode>0.00</c:formatCode>
                <c:ptCount val="5"/>
                <c:pt idx="0">
                  <c:v>0.9</c:v>
                </c:pt>
                <c:pt idx="1">
                  <c:v>0.92</c:v>
                </c:pt>
                <c:pt idx="2">
                  <c:v>0.85</c:v>
                </c:pt>
                <c:pt idx="3">
                  <c:v>0.90350431691213817</c:v>
                </c:pt>
                <c:pt idx="4">
                  <c:v>0.88871054039593367</c:v>
                </c:pt>
              </c:numCache>
            </c:numRef>
          </c:val>
          <c:smooth val="0"/>
          <c:extLst xmlns:c16r2="http://schemas.microsoft.com/office/drawing/2015/06/chart">
            <c:ext xmlns:c16="http://schemas.microsoft.com/office/drawing/2014/chart" uri="{C3380CC4-5D6E-409C-BE32-E72D297353CC}">
              <c16:uniqueId val="{00000005-9AA2-46C0-9B62-462C7A2A390E}"/>
            </c:ext>
          </c:extLst>
        </c:ser>
        <c:dLbls>
          <c:showLegendKey val="0"/>
          <c:showVal val="0"/>
          <c:showCatName val="0"/>
          <c:showSerName val="0"/>
          <c:showPercent val="0"/>
          <c:showBubbleSize val="0"/>
        </c:dLbls>
        <c:marker val="1"/>
        <c:smooth val="0"/>
        <c:axId val="324542848"/>
        <c:axId val="324544384"/>
      </c:lineChart>
      <c:catAx>
        <c:axId val="324542848"/>
        <c:scaling>
          <c:orientation val="minMax"/>
        </c:scaling>
        <c:delete val="0"/>
        <c:axPos val="b"/>
        <c:numFmt formatCode="General" sourceLinked="0"/>
        <c:majorTickMark val="out"/>
        <c:minorTickMark val="none"/>
        <c:tickLblPos val="nextTo"/>
        <c:crossAx val="324544384"/>
        <c:crosses val="autoZero"/>
        <c:auto val="1"/>
        <c:lblAlgn val="ctr"/>
        <c:lblOffset val="100"/>
        <c:noMultiLvlLbl val="0"/>
      </c:catAx>
      <c:valAx>
        <c:axId val="324544384"/>
        <c:scaling>
          <c:orientation val="minMax"/>
          <c:max val="0.94000000000000006"/>
        </c:scaling>
        <c:delete val="0"/>
        <c:axPos val="l"/>
        <c:majorGridlines>
          <c:spPr>
            <a:ln>
              <a:gradFill flip="none" rotWithShape="1">
                <a:gsLst>
                  <a:gs pos="0">
                    <a:schemeClr val="tx2">
                      <a:lumMod val="40000"/>
                      <a:lumOff val="60000"/>
                    </a:schemeClr>
                  </a:gs>
                  <a:gs pos="48000">
                    <a:schemeClr val="accent1">
                      <a:lumMod val="97000"/>
                      <a:lumOff val="3000"/>
                    </a:schemeClr>
                  </a:gs>
                  <a:gs pos="100000">
                    <a:schemeClr val="accent1">
                      <a:lumMod val="60000"/>
                      <a:lumOff val="40000"/>
                    </a:schemeClr>
                  </a:gs>
                </a:gsLst>
                <a:lin ang="16200000" scaled="1"/>
                <a:tileRect/>
              </a:gradFill>
            </a:ln>
          </c:spPr>
        </c:majorGridlines>
        <c:minorGridlines>
          <c:spPr>
            <a:ln>
              <a:noFill/>
            </a:ln>
          </c:spPr>
        </c:minorGridlines>
        <c:title>
          <c:tx>
            <c:rich>
              <a:bodyPr/>
              <a:lstStyle/>
              <a:p>
                <a:pPr>
                  <a:defRPr/>
                </a:pPr>
                <a:r>
                  <a:rPr lang="sk-SK"/>
                  <a:t>zapísaní/prijatí</a:t>
                </a:r>
                <a:endParaRPr lang="en-US"/>
              </a:p>
            </c:rich>
          </c:tx>
          <c:overlay val="0"/>
        </c:title>
        <c:numFmt formatCode="0.00" sourceLinked="1"/>
        <c:majorTickMark val="out"/>
        <c:minorTickMark val="none"/>
        <c:tickLblPos val="nextTo"/>
        <c:crossAx val="324542848"/>
        <c:crosses val="autoZero"/>
        <c:crossBetween val="between"/>
        <c:majorUnit val="2.0000000000000004E-2"/>
      </c:valAx>
      <c:valAx>
        <c:axId val="324558848"/>
        <c:scaling>
          <c:orientation val="minMax"/>
        </c:scaling>
        <c:delete val="0"/>
        <c:axPos val="r"/>
        <c:title>
          <c:tx>
            <c:rich>
              <a:bodyPr/>
              <a:lstStyle/>
              <a:p>
                <a:pPr>
                  <a:defRPr/>
                </a:pPr>
                <a:r>
                  <a:rPr lang="sk-SK"/>
                  <a:t>počet zapísaných</a:t>
                </a:r>
              </a:p>
            </c:rich>
          </c:tx>
          <c:overlay val="0"/>
        </c:title>
        <c:numFmt formatCode="#,##0" sourceLinked="1"/>
        <c:majorTickMark val="out"/>
        <c:minorTickMark val="none"/>
        <c:tickLblPos val="nextTo"/>
        <c:crossAx val="324560768"/>
        <c:crosses val="max"/>
        <c:crossBetween val="between"/>
      </c:valAx>
      <c:catAx>
        <c:axId val="324560768"/>
        <c:scaling>
          <c:orientation val="minMax"/>
        </c:scaling>
        <c:delete val="1"/>
        <c:axPos val="b"/>
        <c:numFmt formatCode="General" sourceLinked="1"/>
        <c:majorTickMark val="out"/>
        <c:minorTickMark val="none"/>
        <c:tickLblPos val="nextTo"/>
        <c:crossAx val="324558848"/>
        <c:crosses val="autoZero"/>
        <c:auto val="1"/>
        <c:lblAlgn val="ctr"/>
        <c:lblOffset val="100"/>
        <c:noMultiLvlLbl val="0"/>
      </c:catAx>
      <c:spPr>
        <a:noFill/>
        <a:ln>
          <a:noFill/>
        </a:ln>
      </c:spPr>
    </c:plotArea>
    <c:plotVisOnly val="0"/>
    <c:dispBlanksAs val="gap"/>
    <c:showDLblsOverMax val="0"/>
  </c:chart>
  <c:spPr>
    <a:ln>
      <a:noFill/>
    </a:ln>
  </c:spPr>
  <c:txPr>
    <a:bodyPr/>
    <a:lstStyle/>
    <a:p>
      <a:pPr>
        <a:defRPr>
          <a:latin typeface="+mj-lt"/>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0"/>
      <c:rAngAx val="0"/>
      <c:perspective val="0"/>
    </c:view3D>
    <c:floor>
      <c:thickness val="0"/>
    </c:floor>
    <c:sideWall>
      <c:thickness val="0"/>
    </c:sideWall>
    <c:backWall>
      <c:thickness val="0"/>
    </c:backWall>
    <c:plotArea>
      <c:layout>
        <c:manualLayout>
          <c:layoutTarget val="inner"/>
          <c:xMode val="edge"/>
          <c:yMode val="edge"/>
          <c:x val="3.1784639485509338E-2"/>
          <c:y val="9.631453786397505E-2"/>
          <c:w val="0.89048034632259343"/>
          <c:h val="0.77713936316022703"/>
        </c:manualLayout>
      </c:layout>
      <c:pie3DChart>
        <c:varyColors val="1"/>
        <c:ser>
          <c:idx val="0"/>
          <c:order val="0"/>
          <c:spPr>
            <a:effectLst>
              <a:outerShdw blurRad="50800" dist="38100" dir="2700000" algn="tl" rotWithShape="0">
                <a:prstClr val="black">
                  <a:alpha val="40000"/>
                </a:prstClr>
              </a:outerShdw>
            </a:effectLst>
          </c:spPr>
          <c:explosion val="25"/>
          <c:dPt>
            <c:idx val="0"/>
            <c:bubble3D val="0"/>
            <c:explosion val="20"/>
            <c:extLst xmlns:c16r2="http://schemas.microsoft.com/office/drawing/2015/06/chart">
              <c:ext xmlns:c16="http://schemas.microsoft.com/office/drawing/2014/chart" uri="{C3380CC4-5D6E-409C-BE32-E72D297353CC}">
                <c16:uniqueId val="{00000001-F1D1-4678-957B-A28C9DF51741}"/>
              </c:ext>
            </c:extLst>
          </c:dPt>
          <c:dPt>
            <c:idx val="1"/>
            <c:bubble3D val="0"/>
            <c:explosion val="24"/>
            <c:extLst xmlns:c16r2="http://schemas.microsoft.com/office/drawing/2015/06/chart">
              <c:ext xmlns:c16="http://schemas.microsoft.com/office/drawing/2014/chart" uri="{C3380CC4-5D6E-409C-BE32-E72D297353CC}">
                <c16:uniqueId val="{00000003-F1D1-4678-957B-A28C9DF51741}"/>
              </c:ext>
            </c:extLst>
          </c:dPt>
          <c:dLbls>
            <c:dLbl>
              <c:idx val="0"/>
              <c:layout>
                <c:manualLayout>
                  <c:x val="4.4855627271350659E-3"/>
                  <c:y val="-7.9235920615705835E-2"/>
                </c:manualLayout>
              </c:layout>
              <c:tx>
                <c:rich>
                  <a:bodyPr/>
                  <a:lstStyle/>
                  <a:p>
                    <a:r>
                      <a:rPr lang="en-US" sz="1100"/>
                      <a:t>I. stupeň; 36; 3 %</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5898783778788214"/>
                      <c:h val="0.24094241575507755"/>
                    </c:manualLayout>
                  </c15:layout>
                </c:ext>
                <c:ext xmlns:c16="http://schemas.microsoft.com/office/drawing/2014/chart" uri="{C3380CC4-5D6E-409C-BE32-E72D297353CC}">
                  <c16:uniqueId val="{00000001-F1D1-4678-957B-A28C9DF51741}"/>
                </c:ext>
              </c:extLst>
            </c:dLbl>
            <c:dLbl>
              <c:idx val="1"/>
              <c:layout>
                <c:manualLayout>
                  <c:x val="-5.3536923244875058E-2"/>
                  <c:y val="-0.44368946246189461"/>
                </c:manualLayout>
              </c:layout>
              <c:tx>
                <c:rich>
                  <a:bodyPr/>
                  <a:lstStyle/>
                  <a:p>
                    <a:r>
                      <a:rPr lang="en-US" sz="1100"/>
                      <a:t>II. stupeň;</a:t>
                    </a:r>
                  </a:p>
                  <a:p>
                    <a:r>
                      <a:rPr lang="en-US" sz="1100" baseline="0"/>
                      <a:t>3</a:t>
                    </a:r>
                    <a:r>
                      <a:rPr lang="en-US" sz="1100"/>
                      <a:t>; 1 %</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8348751703513022"/>
                      <c:h val="0.17266106193707448"/>
                    </c:manualLayout>
                  </c15:layout>
                </c:ext>
                <c:ext xmlns:c16="http://schemas.microsoft.com/office/drawing/2014/chart" uri="{C3380CC4-5D6E-409C-BE32-E72D297353CC}">
                  <c16:uniqueId val="{00000003-F1D1-4678-957B-A28C9DF51741}"/>
                </c:ext>
              </c:extLst>
            </c:dLbl>
            <c:dLbl>
              <c:idx val="2"/>
              <c:layout>
                <c:manualLayout>
                  <c:x val="1.5994657612015822E-2"/>
                  <c:y val="5.3628305847902229E-2"/>
                </c:manualLayout>
              </c:layout>
              <c:tx>
                <c:rich>
                  <a:bodyPr/>
                  <a:lstStyle/>
                  <a:p>
                    <a:r>
                      <a:rPr lang="en-US" sz="1100"/>
                      <a:t>III. stupeň; </a:t>
                    </a:r>
                  </a:p>
                  <a:p>
                    <a:r>
                      <a:rPr lang="en-US" sz="1100"/>
                      <a:t>2;</a:t>
                    </a:r>
                    <a:r>
                      <a:rPr lang="en-US" sz="1100" baseline="0"/>
                      <a:t> 5</a:t>
                    </a:r>
                    <a:r>
                      <a:rPr lang="en-US" sz="1100"/>
                      <a:t> %</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0182891050878252"/>
                      <c:h val="0.18725098008729163"/>
                    </c:manualLayout>
                  </c15:layout>
                </c:ext>
                <c:ext xmlns:c16="http://schemas.microsoft.com/office/drawing/2014/chart" uri="{C3380CC4-5D6E-409C-BE32-E72D297353CC}">
                  <c16:uniqueId val="{00000004-F1D1-4678-957B-A28C9DF51741}"/>
                </c:ext>
              </c:extLst>
            </c:dLbl>
            <c:spPr>
              <a:noFill/>
              <a:ln>
                <a:noFill/>
              </a:ln>
              <a:effectLst>
                <a:outerShdw blurRad="50800" dist="38100" dir="2700000" sx="98000" sy="98000" algn="tl" rotWithShape="0">
                  <a:schemeClr val="bg1">
                    <a:lumMod val="75000"/>
                    <a:alpha val="47000"/>
                  </a:schemeClr>
                </a:outerShdw>
              </a:effectLst>
            </c:spPr>
            <c:txPr>
              <a:bodyPr/>
              <a:lstStyle/>
              <a:p>
                <a:pPr>
                  <a:defRPr sz="1100"/>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Tab29_graf_13_preskúm!$F$21:$F$23</c:f>
              <c:numCache>
                <c:formatCode>#,##0</c:formatCode>
                <c:ptCount val="3"/>
                <c:pt idx="0">
                  <c:v>36</c:v>
                </c:pt>
                <c:pt idx="1">
                  <c:v>3</c:v>
                </c:pt>
                <c:pt idx="2">
                  <c:v>2</c:v>
                </c:pt>
              </c:numCache>
            </c:numRef>
          </c:val>
          <c:extLst xmlns:c16r2="http://schemas.microsoft.com/office/drawing/2015/06/chart">
            <c:ext xmlns:c16="http://schemas.microsoft.com/office/drawing/2014/chart" uri="{C3380CC4-5D6E-409C-BE32-E72D297353CC}">
              <c16:uniqueId val="{00000005-F1D1-4678-957B-A28C9DF51741}"/>
            </c:ext>
          </c:extLst>
        </c:ser>
        <c:dLbls>
          <c:dLblPos val="outEnd"/>
          <c:showLegendKey val="0"/>
          <c:showVal val="1"/>
          <c:showCatName val="0"/>
          <c:showSerName val="0"/>
          <c:showPercent val="0"/>
          <c:showBubbleSize val="0"/>
          <c:showLeaderLines val="0"/>
        </c:dLbls>
      </c:pie3DChart>
    </c:plotArea>
    <c:plotVisOnly val="1"/>
    <c:dispBlanksAs val="gap"/>
    <c:showDLblsOverMax val="0"/>
  </c:chart>
  <c:spPr>
    <a:ln>
      <a:noFill/>
    </a:ln>
  </c:spPr>
  <c:txPr>
    <a:bodyPr/>
    <a:lstStyle/>
    <a:p>
      <a:pPr>
        <a:defRPr sz="1000">
          <a:latin typeface="+mj-lt"/>
        </a:defRPr>
      </a:pPr>
      <a:endParaRPr lang="sk-SK"/>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5304716306594211E-2"/>
          <c:y val="7.7281579239214818E-2"/>
          <c:w val="0.897880055461033"/>
          <c:h val="0.71727292891205496"/>
        </c:manualLayout>
      </c:layout>
      <c:lineChart>
        <c:grouping val="standard"/>
        <c:varyColors val="0"/>
        <c:ser>
          <c:idx val="1"/>
          <c:order val="0"/>
          <c:tx>
            <c:strRef>
              <c:f>Tab32_Graf_14_zap_VŠ!$A$23</c:f>
              <c:strCache>
                <c:ptCount val="1"/>
                <c:pt idx="0">
                  <c:v>UK</c:v>
                </c:pt>
              </c:strCache>
            </c:strRef>
          </c:tx>
          <c:spPr>
            <a:ln w="41275"/>
          </c:spPr>
          <c:marker>
            <c:symbol val="none"/>
          </c:marker>
          <c:dLbls>
            <c:dLbl>
              <c:idx val="4"/>
              <c:layout>
                <c:manualLayout>
                  <c:x val="-3.1408445311519144E-2"/>
                  <c:y val="-5.30716054859339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01-4964-96AB-E0068C3A2D84}"/>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Tab32_Graf_14_zap_VŠ!$B$22:$K$22</c:f>
              <c:strCache>
                <c:ptCount val="10"/>
                <c:pt idx="0">
                  <c:v>2009/2010</c:v>
                </c:pt>
                <c:pt idx="1">
                  <c:v>2010/2011</c:v>
                </c:pt>
                <c:pt idx="2">
                  <c:v>2011/2012</c:v>
                </c:pt>
                <c:pt idx="3">
                  <c:v>2012/2013</c:v>
                </c:pt>
                <c:pt idx="4">
                  <c:v>2013/2014</c:v>
                </c:pt>
                <c:pt idx="5">
                  <c:v>2014/2015</c:v>
                </c:pt>
                <c:pt idx="6">
                  <c:v>2015/2016</c:v>
                </c:pt>
                <c:pt idx="7">
                  <c:v>2016/2017</c:v>
                </c:pt>
                <c:pt idx="8">
                  <c:v>2017/2018</c:v>
                </c:pt>
                <c:pt idx="9">
                  <c:v>2018/2019</c:v>
                </c:pt>
              </c:strCache>
            </c:strRef>
          </c:cat>
          <c:val>
            <c:numRef>
              <c:f>Tab32_Graf_14_zap_VŠ!$B$23:$K$23</c:f>
              <c:numCache>
                <c:formatCode>#,##0</c:formatCode>
                <c:ptCount val="10"/>
                <c:pt idx="0">
                  <c:v>4881</c:v>
                </c:pt>
                <c:pt idx="1">
                  <c:v>4771</c:v>
                </c:pt>
                <c:pt idx="2">
                  <c:v>5125</c:v>
                </c:pt>
                <c:pt idx="3">
                  <c:v>5255</c:v>
                </c:pt>
                <c:pt idx="4">
                  <c:v>5098</c:v>
                </c:pt>
                <c:pt idx="5">
                  <c:v>4726</c:v>
                </c:pt>
                <c:pt idx="6">
                  <c:v>4278</c:v>
                </c:pt>
                <c:pt idx="7">
                  <c:v>4457</c:v>
                </c:pt>
                <c:pt idx="8">
                  <c:v>4114</c:v>
                </c:pt>
                <c:pt idx="9">
                  <c:v>4473</c:v>
                </c:pt>
              </c:numCache>
            </c:numRef>
          </c:val>
          <c:smooth val="0"/>
          <c:extLst xmlns:c16r2="http://schemas.microsoft.com/office/drawing/2015/06/chart">
            <c:ext xmlns:c16="http://schemas.microsoft.com/office/drawing/2014/chart" uri="{C3380CC4-5D6E-409C-BE32-E72D297353CC}">
              <c16:uniqueId val="{00000001-C601-4964-96AB-E0068C3A2D84}"/>
            </c:ext>
          </c:extLst>
        </c:ser>
        <c:ser>
          <c:idx val="2"/>
          <c:order val="1"/>
          <c:tx>
            <c:strRef>
              <c:f>Tab32_Graf_14_zap_VŠ!$A$24</c:f>
              <c:strCache>
                <c:ptCount val="1"/>
                <c:pt idx="0">
                  <c:v>STU</c:v>
                </c:pt>
              </c:strCache>
            </c:strRef>
          </c:tx>
          <c:spPr>
            <a:ln w="63500">
              <a:solidFill>
                <a:srgbClr val="00B050"/>
              </a:solidFill>
            </a:ln>
          </c:spPr>
          <c:marker>
            <c:symbol val="none"/>
          </c:marker>
          <c:dLbls>
            <c:dLbl>
              <c:idx val="0"/>
              <c:layout>
                <c:manualLayout>
                  <c:x val="-4.4690181566272892E-2"/>
                  <c:y val="-2.14347713578056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01-4964-96AB-E0068C3A2D84}"/>
                </c:ext>
              </c:extLst>
            </c:dLbl>
            <c:dLbl>
              <c:idx val="4"/>
              <c:layout>
                <c:manualLayout>
                  <c:x val="-2.7781037717452571E-2"/>
                  <c:y val="5.0170123100809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01-4964-96AB-E0068C3A2D84}"/>
                </c:ext>
              </c:extLst>
            </c:dLbl>
            <c:dLbl>
              <c:idx val="7"/>
              <c:layout>
                <c:manualLayout>
                  <c:x val="-3.8568697515094987E-2"/>
                  <c:y val="-4.6516579793722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01-4964-96AB-E0068C3A2D84}"/>
                </c:ext>
              </c:extLst>
            </c:dLbl>
            <c:dLbl>
              <c:idx val="8"/>
              <c:layout>
                <c:manualLayout>
                  <c:x val="-4.4895335159888909E-2"/>
                  <c:y val="-5.02724483383238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01-4964-96AB-E0068C3A2D84}"/>
                </c:ext>
              </c:extLst>
            </c:dLbl>
            <c:dLbl>
              <c:idx val="9"/>
              <c:layout>
                <c:manualLayout>
                  <c:x val="-3.0408677712074412E-2"/>
                  <c:y val="-4.27607112491220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601-4964-96AB-E0068C3A2D84}"/>
                </c:ext>
              </c:extLst>
            </c:dLbl>
            <c:spPr>
              <a:noFill/>
              <a:ln>
                <a:noFill/>
              </a:ln>
              <a:effectLst/>
            </c:spPr>
            <c:txPr>
              <a:bodyPr/>
              <a:lstStyle/>
              <a:p>
                <a:pPr>
                  <a:defRPr b="1">
                    <a:solidFill>
                      <a:srgbClr val="00B050"/>
                    </a:solidFill>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Tab32_Graf_14_zap_VŠ!$B$22:$K$22</c:f>
              <c:strCache>
                <c:ptCount val="10"/>
                <c:pt idx="0">
                  <c:v>2009/2010</c:v>
                </c:pt>
                <c:pt idx="1">
                  <c:v>2010/2011</c:v>
                </c:pt>
                <c:pt idx="2">
                  <c:v>2011/2012</c:v>
                </c:pt>
                <c:pt idx="3">
                  <c:v>2012/2013</c:v>
                </c:pt>
                <c:pt idx="4">
                  <c:v>2013/2014</c:v>
                </c:pt>
                <c:pt idx="5">
                  <c:v>2014/2015</c:v>
                </c:pt>
                <c:pt idx="6">
                  <c:v>2015/2016</c:v>
                </c:pt>
                <c:pt idx="7">
                  <c:v>2016/2017</c:v>
                </c:pt>
                <c:pt idx="8">
                  <c:v>2017/2018</c:v>
                </c:pt>
                <c:pt idx="9">
                  <c:v>2018/2019</c:v>
                </c:pt>
              </c:strCache>
            </c:strRef>
          </c:cat>
          <c:val>
            <c:numRef>
              <c:f>Tab32_Graf_14_zap_VŠ!$B$24:$K$24</c:f>
              <c:numCache>
                <c:formatCode>#,##0</c:formatCode>
                <c:ptCount val="10"/>
                <c:pt idx="0">
                  <c:v>4438</c:v>
                </c:pt>
                <c:pt idx="1">
                  <c:v>4745</c:v>
                </c:pt>
                <c:pt idx="2">
                  <c:v>4766</c:v>
                </c:pt>
                <c:pt idx="3">
                  <c:v>5158</c:v>
                </c:pt>
                <c:pt idx="4">
                  <c:v>5084</c:v>
                </c:pt>
                <c:pt idx="5">
                  <c:v>4473</c:v>
                </c:pt>
                <c:pt idx="6">
                  <c:v>4171</c:v>
                </c:pt>
                <c:pt idx="7">
                  <c:v>3205</c:v>
                </c:pt>
                <c:pt idx="8">
                  <c:v>3210</c:v>
                </c:pt>
                <c:pt idx="9">
                  <c:v>3345</c:v>
                </c:pt>
              </c:numCache>
            </c:numRef>
          </c:val>
          <c:smooth val="0"/>
          <c:extLst xmlns:c16r2="http://schemas.microsoft.com/office/drawing/2015/06/chart">
            <c:ext xmlns:c16="http://schemas.microsoft.com/office/drawing/2014/chart" uri="{C3380CC4-5D6E-409C-BE32-E72D297353CC}">
              <c16:uniqueId val="{00000007-C601-4964-96AB-E0068C3A2D84}"/>
            </c:ext>
          </c:extLst>
        </c:ser>
        <c:ser>
          <c:idx val="3"/>
          <c:order val="2"/>
          <c:tx>
            <c:strRef>
              <c:f>Tab32_Graf_14_zap_VŠ!$A$25</c:f>
              <c:strCache>
                <c:ptCount val="1"/>
                <c:pt idx="0">
                  <c:v>SPU</c:v>
                </c:pt>
              </c:strCache>
            </c:strRef>
          </c:tx>
          <c:spPr>
            <a:ln w="41275"/>
          </c:spPr>
          <c:marker>
            <c:symbol val="none"/>
          </c:marker>
          <c:dLbls>
            <c:dLbl>
              <c:idx val="4"/>
              <c:layout>
                <c:manualLayout>
                  <c:x val="-3.3205498187542794E-2"/>
                  <c:y val="3.97125429743816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601-4964-96AB-E0068C3A2D84}"/>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Tab32_Graf_14_zap_VŠ!$B$22:$K$22</c:f>
              <c:strCache>
                <c:ptCount val="10"/>
                <c:pt idx="0">
                  <c:v>2009/2010</c:v>
                </c:pt>
                <c:pt idx="1">
                  <c:v>2010/2011</c:v>
                </c:pt>
                <c:pt idx="2">
                  <c:v>2011/2012</c:v>
                </c:pt>
                <c:pt idx="3">
                  <c:v>2012/2013</c:v>
                </c:pt>
                <c:pt idx="4">
                  <c:v>2013/2014</c:v>
                </c:pt>
                <c:pt idx="5">
                  <c:v>2014/2015</c:v>
                </c:pt>
                <c:pt idx="6">
                  <c:v>2015/2016</c:v>
                </c:pt>
                <c:pt idx="7">
                  <c:v>2016/2017</c:v>
                </c:pt>
                <c:pt idx="8">
                  <c:v>2017/2018</c:v>
                </c:pt>
                <c:pt idx="9">
                  <c:v>2018/2019</c:v>
                </c:pt>
              </c:strCache>
            </c:strRef>
          </c:cat>
          <c:val>
            <c:numRef>
              <c:f>Tab32_Graf_14_zap_VŠ!$B$25:$K$25</c:f>
              <c:numCache>
                <c:formatCode>#,##0</c:formatCode>
                <c:ptCount val="10"/>
                <c:pt idx="0">
                  <c:v>1637</c:v>
                </c:pt>
                <c:pt idx="1">
                  <c:v>1861</c:v>
                </c:pt>
                <c:pt idx="2">
                  <c:v>1847</c:v>
                </c:pt>
                <c:pt idx="3">
                  <c:v>1924</c:v>
                </c:pt>
                <c:pt idx="4">
                  <c:v>1844</c:v>
                </c:pt>
                <c:pt idx="5">
                  <c:v>1706</c:v>
                </c:pt>
                <c:pt idx="6">
                  <c:v>1658</c:v>
                </c:pt>
                <c:pt idx="7">
                  <c:v>1519</c:v>
                </c:pt>
                <c:pt idx="8">
                  <c:v>1264</c:v>
                </c:pt>
                <c:pt idx="9">
                  <c:v>1247</c:v>
                </c:pt>
              </c:numCache>
            </c:numRef>
          </c:val>
          <c:smooth val="0"/>
          <c:extLst xmlns:c16r2="http://schemas.microsoft.com/office/drawing/2015/06/chart">
            <c:ext xmlns:c16="http://schemas.microsoft.com/office/drawing/2014/chart" uri="{C3380CC4-5D6E-409C-BE32-E72D297353CC}">
              <c16:uniqueId val="{00000009-C601-4964-96AB-E0068C3A2D84}"/>
            </c:ext>
          </c:extLst>
        </c:ser>
        <c:ser>
          <c:idx val="4"/>
          <c:order val="3"/>
          <c:tx>
            <c:strRef>
              <c:f>Tab32_Graf_14_zap_VŠ!$A$26</c:f>
              <c:strCache>
                <c:ptCount val="1"/>
                <c:pt idx="0">
                  <c:v>TU ZV</c:v>
                </c:pt>
              </c:strCache>
            </c:strRef>
          </c:tx>
          <c:spPr>
            <a:ln w="41275"/>
          </c:spPr>
          <c:marker>
            <c:symbol val="none"/>
          </c:marker>
          <c:dLbls>
            <c:dLbl>
              <c:idx val="4"/>
              <c:layout>
                <c:manualLayout>
                  <c:x val="-2.6882600321799167E-2"/>
                  <c:y val="3.76210860966321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601-4964-96AB-E0068C3A2D84}"/>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Tab32_Graf_14_zap_VŠ!$B$22:$K$22</c:f>
              <c:strCache>
                <c:ptCount val="10"/>
                <c:pt idx="0">
                  <c:v>2009/2010</c:v>
                </c:pt>
                <c:pt idx="1">
                  <c:v>2010/2011</c:v>
                </c:pt>
                <c:pt idx="2">
                  <c:v>2011/2012</c:v>
                </c:pt>
                <c:pt idx="3">
                  <c:v>2012/2013</c:v>
                </c:pt>
                <c:pt idx="4">
                  <c:v>2013/2014</c:v>
                </c:pt>
                <c:pt idx="5">
                  <c:v>2014/2015</c:v>
                </c:pt>
                <c:pt idx="6">
                  <c:v>2015/2016</c:v>
                </c:pt>
                <c:pt idx="7">
                  <c:v>2016/2017</c:v>
                </c:pt>
                <c:pt idx="8">
                  <c:v>2017/2018</c:v>
                </c:pt>
                <c:pt idx="9">
                  <c:v>2018/2019</c:v>
                </c:pt>
              </c:strCache>
            </c:strRef>
          </c:cat>
          <c:val>
            <c:numRef>
              <c:f>Tab32_Graf_14_zap_VŠ!$B$26:$K$26</c:f>
              <c:numCache>
                <c:formatCode>#,##0</c:formatCode>
                <c:ptCount val="10"/>
                <c:pt idx="0">
                  <c:v>873</c:v>
                </c:pt>
                <c:pt idx="1">
                  <c:v>1089</c:v>
                </c:pt>
                <c:pt idx="2">
                  <c:v>953</c:v>
                </c:pt>
                <c:pt idx="3">
                  <c:v>912</c:v>
                </c:pt>
                <c:pt idx="4">
                  <c:v>954</c:v>
                </c:pt>
                <c:pt idx="5">
                  <c:v>788</c:v>
                </c:pt>
                <c:pt idx="6">
                  <c:v>674</c:v>
                </c:pt>
                <c:pt idx="7">
                  <c:v>558</c:v>
                </c:pt>
                <c:pt idx="8">
                  <c:v>532</c:v>
                </c:pt>
                <c:pt idx="9">
                  <c:v>521</c:v>
                </c:pt>
              </c:numCache>
            </c:numRef>
          </c:val>
          <c:smooth val="0"/>
          <c:extLst xmlns:c16r2="http://schemas.microsoft.com/office/drawing/2015/06/chart">
            <c:ext xmlns:c16="http://schemas.microsoft.com/office/drawing/2014/chart" uri="{C3380CC4-5D6E-409C-BE32-E72D297353CC}">
              <c16:uniqueId val="{0000000B-C601-4964-96AB-E0068C3A2D84}"/>
            </c:ext>
          </c:extLst>
        </c:ser>
        <c:ser>
          <c:idx val="5"/>
          <c:order val="4"/>
          <c:tx>
            <c:strRef>
              <c:f>Tab32_Graf_14_zap_VŠ!$A$27</c:f>
              <c:strCache>
                <c:ptCount val="1"/>
                <c:pt idx="0">
                  <c:v>TU KE</c:v>
                </c:pt>
              </c:strCache>
            </c:strRef>
          </c:tx>
          <c:spPr>
            <a:ln w="41275"/>
          </c:spPr>
          <c:marker>
            <c:symbol val="none"/>
          </c:marker>
          <c:dLbls>
            <c:dLbl>
              <c:idx val="0"/>
              <c:layout>
                <c:manualLayout>
                  <c:x val="-4.4155571246797816E-2"/>
                  <c:y val="3.94233115226793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601-4964-96AB-E0068C3A2D84}"/>
                </c:ext>
              </c:extLst>
            </c:dLbl>
            <c:dLbl>
              <c:idx val="1"/>
              <c:layout>
                <c:manualLayout>
                  <c:x val="-4.4413616001268003E-2"/>
                  <c:y val="-5.07323204317770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C601-4964-96AB-E0068C3A2D84}"/>
                </c:ext>
              </c:extLst>
            </c:dLbl>
            <c:dLbl>
              <c:idx val="2"/>
              <c:layout>
                <c:manualLayout>
                  <c:x val="-3.7946241335217713E-2"/>
                  <c:y val="-2.9307068441732774E-2"/>
                </c:manualLayout>
              </c:layout>
              <c:dLblPos val="r"/>
              <c:showLegendKey val="0"/>
              <c:showVal val="1"/>
              <c:showCatName val="0"/>
              <c:showSerName val="0"/>
              <c:showPercent val="0"/>
              <c:showBubbleSize val="0"/>
              <c:extLst xmlns:c15="http://schemas.microsoft.com/office/drawing/2012/chart" xmlns:c16r2="http://schemas.microsoft.com/office/drawing/2015/06/chart">
                <c:ext xmlns:c15="http://schemas.microsoft.com/office/drawing/2012/chart" uri="{CE6537A1-D6FC-4f65-9D91-7224C49458BB}"/>
                <c:ext xmlns:c16="http://schemas.microsoft.com/office/drawing/2014/chart" uri="{C3380CC4-5D6E-409C-BE32-E72D297353CC}">
                  <c16:uniqueId val="{0000000D-C601-4964-96AB-E0068C3A2D84}"/>
                </c:ext>
              </c:extLst>
            </c:dLbl>
            <c:dLbl>
              <c:idx val="3"/>
              <c:layout>
                <c:manualLayout>
                  <c:x val="-4.2151940099424696E-2"/>
                  <c:y val="-1.69295035303685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C601-4964-96AB-E0068C3A2D84}"/>
                </c:ext>
              </c:extLst>
            </c:dLbl>
            <c:dLbl>
              <c:idx val="4"/>
              <c:layout>
                <c:manualLayout>
                  <c:x val="-3.3205498187542794E-2"/>
                  <c:y val="2.54990943033528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601-4964-96AB-E0068C3A2D84}"/>
                </c:ext>
              </c:extLst>
            </c:dLbl>
            <c:dLbl>
              <c:idx val="5"/>
              <c:layout>
                <c:manualLayout>
                  <c:x val="-3.9890264197581515E-2"/>
                  <c:y val="3.1896787549443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C601-4964-96AB-E0068C3A2D84}"/>
                </c:ext>
              </c:extLst>
            </c:dLbl>
            <c:dLbl>
              <c:idx val="6"/>
              <c:layout>
                <c:manualLayout>
                  <c:x val="-4.215194009942478E-2"/>
                  <c:y val="3.18967875494435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C601-4964-96AB-E0068C3A2D84}"/>
                </c:ext>
              </c:extLst>
            </c:dLbl>
            <c:dLbl>
              <c:idx val="7"/>
              <c:layout>
                <c:manualLayout>
                  <c:x val="-4.2151940099424696E-2"/>
                  <c:y val="-3.94647147979741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C601-4964-96AB-E0068C3A2D84}"/>
                </c:ext>
              </c:extLst>
            </c:dLbl>
            <c:dLbl>
              <c:idx val="8"/>
              <c:layout>
                <c:manualLayout>
                  <c:x val="-3.9890264197581432E-2"/>
                  <c:y val="-4.69764518871761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C601-4964-96AB-E0068C3A2D84}"/>
                </c:ext>
              </c:extLst>
            </c:dLbl>
            <c:dLbl>
              <c:idx val="9"/>
              <c:layout>
                <c:manualLayout>
                  <c:x val="-3.0408677712074412E-2"/>
                  <c:y val="-2.75444161029167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601-4964-96AB-E0068C3A2D84}"/>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Tab32_Graf_14_zap_VŠ!$B$22:$K$22</c:f>
              <c:strCache>
                <c:ptCount val="10"/>
                <c:pt idx="0">
                  <c:v>2009/2010</c:v>
                </c:pt>
                <c:pt idx="1">
                  <c:v>2010/2011</c:v>
                </c:pt>
                <c:pt idx="2">
                  <c:v>2011/2012</c:v>
                </c:pt>
                <c:pt idx="3">
                  <c:v>2012/2013</c:v>
                </c:pt>
                <c:pt idx="4">
                  <c:v>2013/2014</c:v>
                </c:pt>
                <c:pt idx="5">
                  <c:v>2014/2015</c:v>
                </c:pt>
                <c:pt idx="6">
                  <c:v>2015/2016</c:v>
                </c:pt>
                <c:pt idx="7">
                  <c:v>2016/2017</c:v>
                </c:pt>
                <c:pt idx="8">
                  <c:v>2017/2018</c:v>
                </c:pt>
                <c:pt idx="9">
                  <c:v>2018/2019</c:v>
                </c:pt>
              </c:strCache>
            </c:strRef>
          </c:cat>
          <c:val>
            <c:numRef>
              <c:f>Tab32_Graf_14_zap_VŠ!$B$27:$K$27</c:f>
              <c:numCache>
                <c:formatCode>#,##0</c:formatCode>
                <c:ptCount val="10"/>
                <c:pt idx="0">
                  <c:v>4245</c:v>
                </c:pt>
                <c:pt idx="1">
                  <c:v>3324</c:v>
                </c:pt>
                <c:pt idx="2">
                  <c:v>3304</c:v>
                </c:pt>
                <c:pt idx="3">
                  <c:v>2279</c:v>
                </c:pt>
                <c:pt idx="4">
                  <c:v>2283</c:v>
                </c:pt>
                <c:pt idx="5">
                  <c:v>2282</c:v>
                </c:pt>
                <c:pt idx="6">
                  <c:v>2129</c:v>
                </c:pt>
                <c:pt idx="7">
                  <c:v>2316</c:v>
                </c:pt>
                <c:pt idx="8">
                  <c:v>2244</c:v>
                </c:pt>
                <c:pt idx="9">
                  <c:v>2758</c:v>
                </c:pt>
              </c:numCache>
            </c:numRef>
          </c:val>
          <c:smooth val="0"/>
          <c:extLst xmlns:c16r2="http://schemas.microsoft.com/office/drawing/2015/06/chart">
            <c:ext xmlns:c16="http://schemas.microsoft.com/office/drawing/2014/chart" uri="{C3380CC4-5D6E-409C-BE32-E72D297353CC}">
              <c16:uniqueId val="{00000010-C601-4964-96AB-E0068C3A2D84}"/>
            </c:ext>
          </c:extLst>
        </c:ser>
        <c:ser>
          <c:idx val="0"/>
          <c:order val="5"/>
          <c:tx>
            <c:strRef>
              <c:f>Tab32_Graf_14_zap_VŠ!$A$28</c:f>
              <c:strCache>
                <c:ptCount val="1"/>
                <c:pt idx="0">
                  <c:v>ŽU </c:v>
                </c:pt>
              </c:strCache>
            </c:strRef>
          </c:tx>
          <c:spPr>
            <a:ln w="41275"/>
          </c:spPr>
          <c:marker>
            <c:symbol val="none"/>
          </c:marker>
          <c:dLbls>
            <c:dLbl>
              <c:idx val="1"/>
              <c:layout>
                <c:manualLayout>
                  <c:x val="-4.2151940099424696E-2"/>
                  <c:y val="3.1952977708772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C601-4964-96AB-E0068C3A2D84}"/>
                </c:ext>
              </c:extLst>
            </c:dLbl>
            <c:dLbl>
              <c:idx val="2"/>
              <c:layout>
                <c:manualLayout>
                  <c:x val="-3.9364156403526508E-2"/>
                  <c:y val="2.5124226246655446E-2"/>
                </c:manualLayout>
              </c:layout>
              <c:dLblPos val="r"/>
              <c:showLegendKey val="0"/>
              <c:showVal val="1"/>
              <c:showCatName val="0"/>
              <c:showSerName val="0"/>
              <c:showPercent val="0"/>
              <c:showBubbleSize val="0"/>
              <c:extLst xmlns:c15="http://schemas.microsoft.com/office/drawing/2012/chart" xmlns:c16r2="http://schemas.microsoft.com/office/drawing/2015/06/chart">
                <c:ext xmlns:c15="http://schemas.microsoft.com/office/drawing/2012/chart" uri="{CE6537A1-D6FC-4f65-9D91-7224C49458BB}"/>
                <c:ext xmlns:c16="http://schemas.microsoft.com/office/drawing/2014/chart" uri="{C3380CC4-5D6E-409C-BE32-E72D297353CC}">
                  <c16:uniqueId val="{00000011-C601-4964-96AB-E0068C3A2D84}"/>
                </c:ext>
              </c:extLst>
            </c:dLbl>
            <c:dLbl>
              <c:idx val="3"/>
              <c:layout>
                <c:manualLayout>
                  <c:x val="-3.9313755211570205E-2"/>
                  <c:y val="-5.2261401040514806E-2"/>
                </c:manualLayout>
              </c:layout>
              <c:dLblPos val="r"/>
              <c:showLegendKey val="0"/>
              <c:showVal val="1"/>
              <c:showCatName val="0"/>
              <c:showSerName val="0"/>
              <c:showPercent val="0"/>
              <c:showBubbleSize val="0"/>
              <c:extLst xmlns:c15="http://schemas.microsoft.com/office/drawing/2012/chart" xmlns:c16r2="http://schemas.microsoft.com/office/drawing/2015/06/chart">
                <c:ext xmlns:c15="http://schemas.microsoft.com/office/drawing/2012/chart" uri="{CE6537A1-D6FC-4f65-9D91-7224C49458BB}"/>
                <c:ext xmlns:c16="http://schemas.microsoft.com/office/drawing/2014/chart" uri="{C3380CC4-5D6E-409C-BE32-E72D297353CC}">
                  <c16:uniqueId val="{00000012-C601-4964-96AB-E0068C3A2D84}"/>
                </c:ext>
              </c:extLst>
            </c:dLbl>
            <c:dLbl>
              <c:idx val="4"/>
              <c:layout>
                <c:manualLayout>
                  <c:x val="-3.3249307027846217E-2"/>
                  <c:y val="-3.55293334812021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601-4964-96AB-E0068C3A2D84}"/>
                </c:ext>
              </c:extLst>
            </c:dLbl>
            <c:dLbl>
              <c:idx val="7"/>
              <c:layout>
                <c:manualLayout>
                  <c:x val="-4.2404642312394346E-2"/>
                  <c:y val="4.19421093490073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C601-4964-96AB-E0068C3A2D84}"/>
                </c:ext>
              </c:extLst>
            </c:dLbl>
            <c:dLbl>
              <c:idx val="8"/>
              <c:layout>
                <c:manualLayout>
                  <c:x val="-3.7881290508708067E-2"/>
                  <c:y val="4.19421093490074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C601-4964-96AB-E0068C3A2D84}"/>
                </c:ext>
              </c:extLst>
            </c:dLbl>
            <c:dLbl>
              <c:idx val="9"/>
              <c:layout>
                <c:manualLayout>
                  <c:x val="-3.0408677712074412E-2"/>
                  <c:y val="5.1476100698680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C601-4964-96AB-E0068C3A2D84}"/>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Tab32_Graf_14_zap_VŠ!$B$22:$K$22</c:f>
              <c:strCache>
                <c:ptCount val="10"/>
                <c:pt idx="0">
                  <c:v>2009/2010</c:v>
                </c:pt>
                <c:pt idx="1">
                  <c:v>2010/2011</c:v>
                </c:pt>
                <c:pt idx="2">
                  <c:v>2011/2012</c:v>
                </c:pt>
                <c:pt idx="3">
                  <c:v>2012/2013</c:v>
                </c:pt>
                <c:pt idx="4">
                  <c:v>2013/2014</c:v>
                </c:pt>
                <c:pt idx="5">
                  <c:v>2014/2015</c:v>
                </c:pt>
                <c:pt idx="6">
                  <c:v>2015/2016</c:v>
                </c:pt>
                <c:pt idx="7">
                  <c:v>2016/2017</c:v>
                </c:pt>
                <c:pt idx="8">
                  <c:v>2017/2018</c:v>
                </c:pt>
                <c:pt idx="9">
                  <c:v>2018/2019</c:v>
                </c:pt>
              </c:strCache>
            </c:strRef>
          </c:cat>
          <c:val>
            <c:numRef>
              <c:f>Tab32_Graf_14_zap_VŠ!$B$28:$K$28</c:f>
              <c:numCache>
                <c:formatCode>#,##0</c:formatCode>
                <c:ptCount val="10"/>
                <c:pt idx="0">
                  <c:v>2694</c:v>
                </c:pt>
                <c:pt idx="1">
                  <c:v>2811</c:v>
                </c:pt>
                <c:pt idx="2">
                  <c:v>2846</c:v>
                </c:pt>
                <c:pt idx="3">
                  <c:v>2712</c:v>
                </c:pt>
                <c:pt idx="4">
                  <c:v>2591</c:v>
                </c:pt>
                <c:pt idx="5">
                  <c:v>2389</c:v>
                </c:pt>
                <c:pt idx="6">
                  <c:v>2257</c:v>
                </c:pt>
                <c:pt idx="7">
                  <c:v>2113</c:v>
                </c:pt>
                <c:pt idx="8">
                  <c:v>2108</c:v>
                </c:pt>
                <c:pt idx="9">
                  <c:v>2230</c:v>
                </c:pt>
              </c:numCache>
            </c:numRef>
          </c:val>
          <c:smooth val="0"/>
          <c:extLst xmlns:c16r2="http://schemas.microsoft.com/office/drawing/2015/06/chart">
            <c:ext xmlns:c16="http://schemas.microsoft.com/office/drawing/2014/chart" uri="{C3380CC4-5D6E-409C-BE32-E72D297353CC}">
              <c16:uniqueId val="{00000017-C601-4964-96AB-E0068C3A2D84}"/>
            </c:ext>
          </c:extLst>
        </c:ser>
        <c:dLbls>
          <c:dLblPos val="t"/>
          <c:showLegendKey val="0"/>
          <c:showVal val="1"/>
          <c:showCatName val="0"/>
          <c:showSerName val="0"/>
          <c:showPercent val="0"/>
          <c:showBubbleSize val="0"/>
        </c:dLbls>
        <c:marker val="1"/>
        <c:smooth val="0"/>
        <c:axId val="252162048"/>
        <c:axId val="252163584"/>
      </c:lineChart>
      <c:catAx>
        <c:axId val="252162048"/>
        <c:scaling>
          <c:orientation val="minMax"/>
        </c:scaling>
        <c:delete val="0"/>
        <c:axPos val="b"/>
        <c:numFmt formatCode="General" sourceLinked="0"/>
        <c:majorTickMark val="out"/>
        <c:minorTickMark val="none"/>
        <c:tickLblPos val="nextTo"/>
        <c:txPr>
          <a:bodyPr rot="-1680000" vert="horz"/>
          <a:lstStyle/>
          <a:p>
            <a:pPr>
              <a:defRPr/>
            </a:pPr>
            <a:endParaRPr lang="sk-SK"/>
          </a:p>
        </c:txPr>
        <c:crossAx val="252163584"/>
        <c:crosses val="autoZero"/>
        <c:auto val="1"/>
        <c:lblAlgn val="ctr"/>
        <c:lblOffset val="100"/>
        <c:noMultiLvlLbl val="0"/>
      </c:catAx>
      <c:valAx>
        <c:axId val="252163584"/>
        <c:scaling>
          <c:orientation val="minMax"/>
          <c:max val="6000"/>
        </c:scaling>
        <c:delete val="0"/>
        <c:axPos val="l"/>
        <c:majorGridlines/>
        <c:numFmt formatCode="#,##0" sourceLinked="1"/>
        <c:majorTickMark val="out"/>
        <c:minorTickMark val="none"/>
        <c:tickLblPos val="nextTo"/>
        <c:crossAx val="252162048"/>
        <c:crosses val="autoZero"/>
        <c:crossBetween val="between"/>
      </c:valAx>
      <c:spPr>
        <a:effectLst>
          <a:softEdge rad="101600"/>
        </a:effectLst>
      </c:spPr>
    </c:plotArea>
    <c:legend>
      <c:legendPos val="b"/>
      <c:layout>
        <c:manualLayout>
          <c:xMode val="edge"/>
          <c:yMode val="edge"/>
          <c:x val="0.13226062599727745"/>
          <c:y val="0.92948624212666198"/>
          <c:w val="0.73117264957264971"/>
          <c:h val="5.173088941255144E-2"/>
        </c:manualLayout>
      </c:layout>
      <c:overlay val="0"/>
      <c:txPr>
        <a:bodyPr rot="0" vert="horz"/>
        <a:lstStyle/>
        <a:p>
          <a:pPr>
            <a:defRPr/>
          </a:pPr>
          <a:endParaRPr lang="sk-SK"/>
        </a:p>
      </c:txPr>
    </c:legend>
    <c:plotVisOnly val="1"/>
    <c:dispBlanksAs val="gap"/>
    <c:showDLblsOverMax val="0"/>
  </c:chart>
  <c:spPr>
    <a:ln>
      <a:noFill/>
    </a:ln>
  </c:spPr>
  <c:txPr>
    <a:bodyPr/>
    <a:lstStyle/>
    <a:p>
      <a:pPr>
        <a:defRPr sz="900">
          <a:latin typeface="+mj-lt"/>
        </a:defRPr>
      </a:pPr>
      <a:endParaRPr lang="sk-S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50"/>
      <c:rAngAx val="0"/>
      <c:perspective val="20"/>
    </c:view3D>
    <c:floor>
      <c:thickness val="0"/>
    </c:floor>
    <c:sideWall>
      <c:thickness val="0"/>
    </c:sideWall>
    <c:backWall>
      <c:thickness val="0"/>
    </c:backWall>
    <c:plotArea>
      <c:layout>
        <c:manualLayout>
          <c:layoutTarget val="inner"/>
          <c:xMode val="edge"/>
          <c:yMode val="edge"/>
          <c:x val="0.10213004196393258"/>
          <c:y val="7.8700131233595802E-2"/>
          <c:w val="0.77876171774642289"/>
          <c:h val="0.83860926659268897"/>
        </c:manualLayout>
      </c:layout>
      <c:pie3DChart>
        <c:varyColors val="1"/>
        <c:ser>
          <c:idx val="0"/>
          <c:order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outerShdw blurRad="76200" dir="18900000" sy="23000" kx="-1200000" algn="bl" rotWithShape="0">
                <a:prstClr val="black">
                  <a:alpha val="20000"/>
                </a:prstClr>
              </a:outerShdw>
            </a:effectLst>
          </c:spPr>
          <c:explosion val="15"/>
          <c:dPt>
            <c:idx val="0"/>
            <c:bubble3D val="0"/>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0D31-460A-97DB-081E52295DE0}"/>
              </c:ext>
            </c:extLst>
          </c:dPt>
          <c:dPt>
            <c:idx val="1"/>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0D31-460A-97DB-081E52295DE0}"/>
              </c:ext>
            </c:extLst>
          </c:dPt>
          <c:dPt>
            <c:idx val="2"/>
            <c:bubble3D val="0"/>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0D31-460A-97DB-081E52295DE0}"/>
              </c:ext>
            </c:extLst>
          </c:dPt>
          <c:dPt>
            <c:idx val="3"/>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0D31-460A-97DB-081E52295DE0}"/>
              </c:ext>
            </c:extLst>
          </c:dPt>
          <c:dPt>
            <c:idx val="4"/>
            <c:bubble3D val="0"/>
            <c:extLst xmlns:c16r2="http://schemas.microsoft.com/office/drawing/2015/06/chart">
              <c:ext xmlns:c16="http://schemas.microsoft.com/office/drawing/2014/chart" uri="{C3380CC4-5D6E-409C-BE32-E72D297353CC}">
                <c16:uniqueId val="{00000008-0D31-460A-97DB-081E52295DE0}"/>
              </c:ext>
            </c:extLst>
          </c:dPt>
          <c:dPt>
            <c:idx val="5"/>
            <c:bubble3D val="0"/>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A-0D31-460A-97DB-081E52295DE0}"/>
              </c:ext>
            </c:extLst>
          </c:dPt>
          <c:dLbls>
            <c:dLbl>
              <c:idx val="0"/>
              <c:layout>
                <c:manualLayout>
                  <c:x val="6.1464491363839108E-2"/>
                  <c:y val="0.11622193447120131"/>
                </c:manualLayout>
              </c:layout>
              <c:tx>
                <c:rich>
                  <a:bodyPr/>
                  <a:lstStyle/>
                  <a:p>
                    <a:r>
                      <a:rPr lang="en-US"/>
                      <a:t>I. stupeň; 44 %</a:t>
                    </a:r>
                    <a:r>
                      <a:rPr lang="en-US" baseline="0"/>
                      <a:t>;</a:t>
                    </a:r>
                  </a:p>
                  <a:p>
                    <a:r>
                      <a:rPr lang="en-US" baseline="0"/>
                      <a:t> </a:t>
                    </a:r>
                    <a:fld id="{6636C65C-C017-4E95-A784-ED683CE21F56}" type="VALUE">
                      <a:rPr lang="en-US" baseline="0"/>
                      <a:pPr/>
                      <a:t>[HODNOTA]</a:t>
                    </a:fld>
                    <a:endParaRPr lang="en-US" baseline="0"/>
                  </a:p>
                </c:rich>
              </c:tx>
              <c:dLblPos val="bestFit"/>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manualLayout>
                      <c:w val="0.26855050606465836"/>
                      <c:h val="0.13458330463794066"/>
                    </c:manualLayout>
                  </c15:layout>
                  <c15:dlblFieldTable/>
                  <c15:showDataLabelsRange val="0"/>
                </c:ext>
                <c:ext xmlns:c16="http://schemas.microsoft.com/office/drawing/2014/chart" uri="{C3380CC4-5D6E-409C-BE32-E72D297353CC}">
                  <c16:uniqueId val="{00000001-0D31-460A-97DB-081E52295DE0}"/>
                </c:ext>
              </c:extLst>
            </c:dLbl>
            <c:dLbl>
              <c:idx val="1"/>
              <c:layout>
                <c:manualLayout>
                  <c:x val="-4.4232621274635883E-2"/>
                  <c:y val="0.35960600289133859"/>
                </c:manualLayout>
              </c:layout>
              <c:tx>
                <c:rich>
                  <a:bodyPr/>
                  <a:lstStyle/>
                  <a:p>
                    <a:r>
                      <a:rPr lang="en-US"/>
                      <a:t>I. stupeň; 1 970</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31-460A-97DB-081E52295DE0}"/>
                </c:ext>
              </c:extLst>
            </c:dLbl>
            <c:dLbl>
              <c:idx val="2"/>
              <c:layout>
                <c:manualLayout>
                  <c:x val="-1.7838654595739287E-2"/>
                  <c:y val="-0.11917904394603734"/>
                </c:manualLayout>
              </c:layout>
              <c:tx>
                <c:rich>
                  <a:bodyPr/>
                  <a:lstStyle/>
                  <a:p>
                    <a:r>
                      <a:rPr lang="en-US"/>
                      <a:t>II. stupeň</a:t>
                    </a:r>
                    <a:r>
                      <a:rPr lang="en-US" baseline="0"/>
                      <a:t>; 52 %; </a:t>
                    </a:r>
                  </a:p>
                  <a:p>
                    <a:fld id="{00E59053-9033-4C08-B29C-54BB4C9D0A80}" type="VALUE">
                      <a:rPr lang="en-US" baseline="0"/>
                      <a:pPr/>
                      <a:t>[HODNOTA]</a:t>
                    </a:fld>
                    <a:endParaRPr lang="sk-SK"/>
                  </a:p>
                </c:rich>
              </c:tx>
              <c:dLblPos val="bestFit"/>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manualLayout>
                      <c:w val="0.33876695961024406"/>
                      <c:h val="0.15401965060489886"/>
                    </c:manualLayout>
                  </c15:layout>
                  <c15:dlblFieldTable/>
                  <c15:showDataLabelsRange val="0"/>
                </c:ext>
                <c:ext xmlns:c16="http://schemas.microsoft.com/office/drawing/2014/chart" uri="{C3380CC4-5D6E-409C-BE32-E72D297353CC}">
                  <c16:uniqueId val="{00000005-0D31-460A-97DB-081E52295DE0}"/>
                </c:ext>
              </c:extLst>
            </c:dLbl>
            <c:dLbl>
              <c:idx val="3"/>
              <c:layout>
                <c:manualLayout>
                  <c:x val="2.4260302611149469E-2"/>
                  <c:y val="-0.31390104213528103"/>
                </c:manualLayout>
              </c:layout>
              <c:tx>
                <c:rich>
                  <a:bodyPr/>
                  <a:lstStyle/>
                  <a:p>
                    <a:r>
                      <a:rPr lang="en-US"/>
                      <a:t>II. stupeň; 1 861</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D31-460A-97DB-081E52295DE0}"/>
                </c:ext>
              </c:extLst>
            </c:dLbl>
            <c:dLbl>
              <c:idx val="5"/>
              <c:layout>
                <c:manualLayout>
                  <c:x val="-1.043715425982711E-2"/>
                  <c:y val="4.6875492125984096E-2"/>
                </c:manualLayout>
              </c:layout>
              <c:tx>
                <c:rich>
                  <a:bodyPr/>
                  <a:lstStyle/>
                  <a:p>
                    <a:r>
                      <a:rPr lang="en-US"/>
                      <a:t>III. stupeň</a:t>
                    </a:r>
                    <a:r>
                      <a:rPr lang="en-US" baseline="0"/>
                      <a:t>; 4 %; </a:t>
                    </a:r>
                  </a:p>
                  <a:p>
                    <a:r>
                      <a:rPr lang="en-US" baseline="0"/>
                      <a:t> </a:t>
                    </a:r>
                    <a:fld id="{730237AE-0FA6-4D18-BF37-81542775EE63}" type="VALUE">
                      <a:rPr lang="en-US" baseline="0"/>
                      <a:pPr/>
                      <a:t>[HODNOTA]</a:t>
                    </a:fld>
                    <a:endParaRPr lang="en-US" baseline="0"/>
                  </a:p>
                </c:rich>
              </c:tx>
              <c:dLblPos val="bestFit"/>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manualLayout>
                      <c:w val="0.24917145630768753"/>
                      <c:h val="0.1345833333333333"/>
                    </c:manualLayout>
                  </c15:layout>
                  <c15:dlblFieldTable/>
                  <c15:showDataLabelsRange val="0"/>
                </c:ext>
                <c:ext xmlns:c16="http://schemas.microsoft.com/office/drawing/2014/chart" uri="{C3380CC4-5D6E-409C-BE32-E72D297353CC}">
                  <c16:uniqueId val="{0000000A-0D31-460A-97DB-081E52295DE0}"/>
                </c:ext>
              </c:extLst>
            </c:dLbl>
            <c:spPr>
              <a:noFill/>
              <a:ln>
                <a:noFill/>
              </a:ln>
              <a:effectLst>
                <a:outerShdw blurRad="50800" dist="38100" dir="2700000" algn="tl" rotWithShape="0">
                  <a:schemeClr val="bg1">
                    <a:lumMod val="75000"/>
                    <a:alpha val="40000"/>
                  </a:schemeClr>
                </a:outerShdw>
              </a:effectLst>
            </c:spPr>
            <c:dLblPos val="bestFit"/>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val>
            <c:numRef>
              <c:f>'Tab33_graf15,16_absol'!$L$5:$L$10</c:f>
              <c:numCache>
                <c:formatCode>General</c:formatCode>
                <c:ptCount val="6"/>
                <c:pt idx="0" formatCode="#,##0">
                  <c:v>1522</c:v>
                </c:pt>
                <c:pt idx="2" formatCode="#,##0">
                  <c:v>1778</c:v>
                </c:pt>
                <c:pt idx="5">
                  <c:v>147</c:v>
                </c:pt>
              </c:numCache>
            </c:numRef>
          </c:val>
          <c:extLst xmlns:c16r2="http://schemas.microsoft.com/office/drawing/2015/06/chart">
            <c:ext xmlns:c16="http://schemas.microsoft.com/office/drawing/2014/chart" uri="{C3380CC4-5D6E-409C-BE32-E72D297353CC}">
              <c16:uniqueId val="{0000000B-0D31-460A-97DB-081E52295DE0}"/>
            </c:ext>
          </c:extLst>
        </c:ser>
        <c:dLbls>
          <c:dLblPos val="bestFit"/>
          <c:showLegendKey val="0"/>
          <c:showVal val="1"/>
          <c:showCatName val="0"/>
          <c:showSerName val="0"/>
          <c:showPercent val="0"/>
          <c:showBubbleSize val="0"/>
          <c:showLeaderLines val="0"/>
        </c:dLbls>
      </c:pie3DChart>
      <c:spPr>
        <a:noFill/>
        <a:ln w="25400">
          <a:noFill/>
        </a:ln>
      </c:spPr>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5507436570427"/>
          <c:y val="8.1070107200455363E-2"/>
          <c:w val="0.65788329716393679"/>
          <c:h val="0.79764488243492992"/>
        </c:manualLayout>
      </c:layout>
      <c:barChart>
        <c:barDir val="col"/>
        <c:grouping val="stacked"/>
        <c:varyColors val="0"/>
        <c:ser>
          <c:idx val="0"/>
          <c:order val="0"/>
          <c:tx>
            <c:strRef>
              <c:f>'Tab33_graf15,16_absol'!$A$36:$H$36</c:f>
              <c:strCache>
                <c:ptCount val="8"/>
                <c:pt idx="0">
                  <c:v>I. stupeň</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38100"/>
          </c:spPr>
          <c:invertIfNegative val="0"/>
          <c:dLbls>
            <c:spPr>
              <a:noFill/>
              <a:ln>
                <a:noFill/>
              </a:ln>
              <a:effectLst/>
            </c:spPr>
            <c:txPr>
              <a:bodyPr rot="-5400000" vert="horz"/>
              <a:lstStyle/>
              <a:p>
                <a:pPr>
                  <a:defRPr b="1">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'Tab33_graf15,16_absol'!$Y$37:$AF$37</c:f>
              <c:numCache>
                <c:formatCode>General</c:formatCode>
                <c:ptCount val="7"/>
                <c:pt idx="0">
                  <c:v>2012</c:v>
                </c:pt>
                <c:pt idx="1">
                  <c:v>2013</c:v>
                </c:pt>
                <c:pt idx="2">
                  <c:v>2014</c:v>
                </c:pt>
                <c:pt idx="3">
                  <c:v>2015</c:v>
                </c:pt>
                <c:pt idx="4">
                  <c:v>2016</c:v>
                </c:pt>
                <c:pt idx="5">
                  <c:v>2017</c:v>
                </c:pt>
                <c:pt idx="6">
                  <c:v>2018</c:v>
                </c:pt>
              </c:numCache>
            </c:numRef>
          </c:cat>
          <c:val>
            <c:numRef>
              <c:f>'Tab33_graf15,16_absol'!$A$38:$H$38</c:f>
              <c:numCache>
                <c:formatCode>#,##0</c:formatCode>
                <c:ptCount val="7"/>
                <c:pt idx="0">
                  <c:v>2170</c:v>
                </c:pt>
                <c:pt idx="1">
                  <c:v>2037</c:v>
                </c:pt>
                <c:pt idx="2">
                  <c:v>1936</c:v>
                </c:pt>
                <c:pt idx="3">
                  <c:v>2109</c:v>
                </c:pt>
                <c:pt idx="4">
                  <c:v>1936</c:v>
                </c:pt>
                <c:pt idx="5">
                  <c:v>1674</c:v>
                </c:pt>
                <c:pt idx="6">
                  <c:v>1522</c:v>
                </c:pt>
              </c:numCache>
            </c:numRef>
          </c:val>
          <c:extLst xmlns:c16r2="http://schemas.microsoft.com/office/drawing/2015/06/chart">
            <c:ext xmlns:c16="http://schemas.microsoft.com/office/drawing/2014/chart" uri="{C3380CC4-5D6E-409C-BE32-E72D297353CC}">
              <c16:uniqueId val="{00000000-E2BB-4A2A-85B8-F8B34EB6DAA1}"/>
            </c:ext>
          </c:extLst>
        </c:ser>
        <c:ser>
          <c:idx val="1"/>
          <c:order val="1"/>
          <c:tx>
            <c:strRef>
              <c:f>'Tab33_graf15,16_absol'!$I$36</c:f>
              <c:strCache>
                <c:ptCount val="1"/>
                <c:pt idx="0">
                  <c:v>II. stupeň</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w="38100"/>
          </c:spPr>
          <c:invertIfNegative val="0"/>
          <c:dLbls>
            <c:spPr>
              <a:noFill/>
              <a:ln>
                <a:noFill/>
              </a:ln>
              <a:effectLst/>
            </c:spPr>
            <c:txPr>
              <a:bodyPr rot="-5400000" vert="horz"/>
              <a:lstStyle/>
              <a:p>
                <a:pPr>
                  <a:defRPr b="1">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'Tab33_graf15,16_absol'!$Y$37:$AF$37</c:f>
              <c:numCache>
                <c:formatCode>General</c:formatCode>
                <c:ptCount val="7"/>
                <c:pt idx="0">
                  <c:v>2012</c:v>
                </c:pt>
                <c:pt idx="1">
                  <c:v>2013</c:v>
                </c:pt>
                <c:pt idx="2">
                  <c:v>2014</c:v>
                </c:pt>
                <c:pt idx="3">
                  <c:v>2015</c:v>
                </c:pt>
                <c:pt idx="4">
                  <c:v>2016</c:v>
                </c:pt>
                <c:pt idx="5">
                  <c:v>2017</c:v>
                </c:pt>
                <c:pt idx="6">
                  <c:v>2018</c:v>
                </c:pt>
              </c:numCache>
            </c:numRef>
          </c:cat>
          <c:val>
            <c:numRef>
              <c:f>'Tab33_graf15,16_absol'!$I$38:$P$38</c:f>
              <c:numCache>
                <c:formatCode>#,##0</c:formatCode>
                <c:ptCount val="7"/>
                <c:pt idx="0">
                  <c:v>2510</c:v>
                </c:pt>
                <c:pt idx="1">
                  <c:v>2102</c:v>
                </c:pt>
                <c:pt idx="2">
                  <c:v>2029</c:v>
                </c:pt>
                <c:pt idx="3">
                  <c:v>1889</c:v>
                </c:pt>
                <c:pt idx="4">
                  <c:v>1824</c:v>
                </c:pt>
                <c:pt idx="5">
                  <c:v>1894</c:v>
                </c:pt>
                <c:pt idx="6">
                  <c:v>1778</c:v>
                </c:pt>
              </c:numCache>
            </c:numRef>
          </c:val>
          <c:extLst xmlns:c16r2="http://schemas.microsoft.com/office/drawing/2015/06/chart">
            <c:ext xmlns:c16="http://schemas.microsoft.com/office/drawing/2014/chart" uri="{C3380CC4-5D6E-409C-BE32-E72D297353CC}">
              <c16:uniqueId val="{00000001-E2BB-4A2A-85B8-F8B34EB6DAA1}"/>
            </c:ext>
          </c:extLst>
        </c:ser>
        <c:ser>
          <c:idx val="2"/>
          <c:order val="2"/>
          <c:tx>
            <c:strRef>
              <c:f>'Tab33_graf15,16_absol'!$Q$36</c:f>
              <c:strCache>
                <c:ptCount val="1"/>
                <c:pt idx="0">
                  <c:v>III. stupeň</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c:spPr>
          <c:invertIfNegative val="0"/>
          <c:dLbls>
            <c:dLbl>
              <c:idx val="0"/>
              <c:layout>
                <c:manualLayout>
                  <c:x val="1.6029419612747215E-4"/>
                  <c:y val="-5.20159865943476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BB-4A2A-85B8-F8B34EB6DAA1}"/>
                </c:ext>
              </c:extLst>
            </c:dLbl>
            <c:dLbl>
              <c:idx val="1"/>
              <c:layout>
                <c:manualLayout>
                  <c:x val="-1.8003234056437642E-4"/>
                  <c:y val="-5.1400554097404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BB-4A2A-85B8-F8B34EB6DAA1}"/>
                </c:ext>
              </c:extLst>
            </c:dLbl>
            <c:dLbl>
              <c:idx val="2"/>
              <c:layout>
                <c:manualLayout>
                  <c:x val="4.354723681720931E-3"/>
                  <c:y val="-5.23236305250842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2BB-4A2A-85B8-F8B34EB6DAA1}"/>
                </c:ext>
              </c:extLst>
            </c:dLbl>
            <c:dLbl>
              <c:idx val="3"/>
              <c:layout>
                <c:manualLayout>
                  <c:x val="3.618496499637728E-3"/>
                  <c:y val="-6.0659813356663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2BB-4A2A-85B8-F8B34EB6DAA1}"/>
                </c:ext>
              </c:extLst>
            </c:dLbl>
            <c:dLbl>
              <c:idx val="4"/>
              <c:layout>
                <c:manualLayout>
                  <c:x val="0"/>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2BB-4A2A-85B8-F8B34EB6DAA1}"/>
                </c:ext>
              </c:extLst>
            </c:dLbl>
            <c:dLbl>
              <c:idx val="5"/>
              <c:layout>
                <c:manualLayout>
                  <c:x val="0"/>
                  <c:y val="-4.3219888499493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BB-4A2A-85B8-F8B34EB6DAA1}"/>
                </c:ext>
              </c:extLst>
            </c:dLbl>
            <c:dLbl>
              <c:idx val="6"/>
              <c:layout>
                <c:manualLayout>
                  <c:x val="-1.80733176069489E-16"/>
                  <c:y val="-3.02539219496458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2BB-4A2A-85B8-F8B34EB6DAA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'Tab33_graf15,16_absol'!$Y$37:$AF$37</c:f>
              <c:numCache>
                <c:formatCode>General</c:formatCode>
                <c:ptCount val="7"/>
                <c:pt idx="0">
                  <c:v>2012</c:v>
                </c:pt>
                <c:pt idx="1">
                  <c:v>2013</c:v>
                </c:pt>
                <c:pt idx="2">
                  <c:v>2014</c:v>
                </c:pt>
                <c:pt idx="3">
                  <c:v>2015</c:v>
                </c:pt>
                <c:pt idx="4">
                  <c:v>2016</c:v>
                </c:pt>
                <c:pt idx="5">
                  <c:v>2017</c:v>
                </c:pt>
                <c:pt idx="6">
                  <c:v>2018</c:v>
                </c:pt>
              </c:numCache>
            </c:numRef>
          </c:cat>
          <c:val>
            <c:numRef>
              <c:f>'Tab33_graf15,16_absol'!$Q$38:$X$38</c:f>
              <c:numCache>
                <c:formatCode>#,##0</c:formatCode>
                <c:ptCount val="7"/>
                <c:pt idx="0">
                  <c:v>247</c:v>
                </c:pt>
                <c:pt idx="1">
                  <c:v>298</c:v>
                </c:pt>
                <c:pt idx="2">
                  <c:v>258</c:v>
                </c:pt>
                <c:pt idx="3">
                  <c:v>241</c:v>
                </c:pt>
                <c:pt idx="4">
                  <c:v>206</c:v>
                </c:pt>
                <c:pt idx="5">
                  <c:v>177</c:v>
                </c:pt>
                <c:pt idx="6">
                  <c:v>147</c:v>
                </c:pt>
              </c:numCache>
            </c:numRef>
          </c:val>
          <c:extLst xmlns:c16r2="http://schemas.microsoft.com/office/drawing/2015/06/chart">
            <c:ext xmlns:c16="http://schemas.microsoft.com/office/drawing/2014/chart" uri="{C3380CC4-5D6E-409C-BE32-E72D297353CC}">
              <c16:uniqueId val="{00000009-E2BB-4A2A-85B8-F8B34EB6DAA1}"/>
            </c:ext>
          </c:extLst>
        </c:ser>
        <c:dLbls>
          <c:showLegendKey val="0"/>
          <c:showVal val="0"/>
          <c:showCatName val="0"/>
          <c:showSerName val="0"/>
          <c:showPercent val="0"/>
          <c:showBubbleSize val="0"/>
        </c:dLbls>
        <c:gapWidth val="150"/>
        <c:overlap val="100"/>
        <c:axId val="252390784"/>
        <c:axId val="252408960"/>
      </c:barChart>
      <c:lineChart>
        <c:grouping val="standard"/>
        <c:varyColors val="0"/>
        <c:ser>
          <c:idx val="3"/>
          <c:order val="3"/>
          <c:tx>
            <c:strRef>
              <c:f>'Tab33_graf15,16_absol'!$Y$36:$AF$36</c:f>
              <c:strCache>
                <c:ptCount val="8"/>
                <c:pt idx="0">
                  <c:v>STU</c:v>
                </c:pt>
              </c:strCache>
            </c:strRef>
          </c:tx>
          <c:spPr>
            <a:ln w="34925" cmpd="sng">
              <a:solidFill>
                <a:srgbClr val="C00000"/>
              </a:solidFill>
            </a:ln>
          </c:spPr>
          <c:marker>
            <c:symbol val="none"/>
          </c:marker>
          <c:dLbls>
            <c:dLbl>
              <c:idx val="0"/>
              <c:layout>
                <c:manualLayout>
                  <c:x val="-4.4960345660763526E-2"/>
                  <c:y val="-3.7338329696739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2BB-4A2A-85B8-F8B34EB6DAA1}"/>
                </c:ext>
              </c:extLst>
            </c:dLbl>
            <c:spPr>
              <a:noFill/>
              <a:ln>
                <a:noFill/>
              </a:ln>
              <a:effectLst/>
            </c:spPr>
            <c:txPr>
              <a:bodyPr rot="-1200000"/>
              <a:lstStyle/>
              <a:p>
                <a:pPr>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numRef>
              <c:f>'Tab33_graf15,16_absol'!$Y$37:$AF$37</c:f>
              <c:numCache>
                <c:formatCode>General</c:formatCode>
                <c:ptCount val="7"/>
                <c:pt idx="0">
                  <c:v>2012</c:v>
                </c:pt>
                <c:pt idx="1">
                  <c:v>2013</c:v>
                </c:pt>
                <c:pt idx="2">
                  <c:v>2014</c:v>
                </c:pt>
                <c:pt idx="3">
                  <c:v>2015</c:v>
                </c:pt>
                <c:pt idx="4">
                  <c:v>2016</c:v>
                </c:pt>
                <c:pt idx="5">
                  <c:v>2017</c:v>
                </c:pt>
                <c:pt idx="6">
                  <c:v>2018</c:v>
                </c:pt>
              </c:numCache>
            </c:numRef>
          </c:cat>
          <c:val>
            <c:numRef>
              <c:f>'Tab33_graf15,16_absol'!$Y$38:$AF$38</c:f>
              <c:numCache>
                <c:formatCode>#,##0</c:formatCode>
                <c:ptCount val="7"/>
                <c:pt idx="0">
                  <c:v>4927</c:v>
                </c:pt>
                <c:pt idx="1">
                  <c:v>4437</c:v>
                </c:pt>
                <c:pt idx="2">
                  <c:v>4223</c:v>
                </c:pt>
                <c:pt idx="3">
                  <c:v>4239</c:v>
                </c:pt>
                <c:pt idx="4">
                  <c:v>3966</c:v>
                </c:pt>
                <c:pt idx="5">
                  <c:v>3745</c:v>
                </c:pt>
                <c:pt idx="6">
                  <c:v>3447</c:v>
                </c:pt>
              </c:numCache>
            </c:numRef>
          </c:val>
          <c:smooth val="0"/>
          <c:extLst xmlns:c16r2="http://schemas.microsoft.com/office/drawing/2015/06/chart">
            <c:ext xmlns:c16="http://schemas.microsoft.com/office/drawing/2014/chart" uri="{C3380CC4-5D6E-409C-BE32-E72D297353CC}">
              <c16:uniqueId val="{0000000B-E2BB-4A2A-85B8-F8B34EB6DAA1}"/>
            </c:ext>
          </c:extLst>
        </c:ser>
        <c:dLbls>
          <c:showLegendKey val="0"/>
          <c:showVal val="0"/>
          <c:showCatName val="0"/>
          <c:showSerName val="0"/>
          <c:showPercent val="0"/>
          <c:showBubbleSize val="0"/>
        </c:dLbls>
        <c:marker val="1"/>
        <c:smooth val="0"/>
        <c:axId val="252416384"/>
        <c:axId val="252410496"/>
      </c:lineChart>
      <c:catAx>
        <c:axId val="252390784"/>
        <c:scaling>
          <c:orientation val="minMax"/>
        </c:scaling>
        <c:delete val="0"/>
        <c:axPos val="b"/>
        <c:numFmt formatCode="General" sourceLinked="1"/>
        <c:majorTickMark val="out"/>
        <c:minorTickMark val="none"/>
        <c:tickLblPos val="nextTo"/>
        <c:crossAx val="252408960"/>
        <c:crosses val="autoZero"/>
        <c:auto val="1"/>
        <c:lblAlgn val="ctr"/>
        <c:lblOffset val="100"/>
        <c:noMultiLvlLbl val="0"/>
      </c:catAx>
      <c:valAx>
        <c:axId val="252408960"/>
        <c:scaling>
          <c:orientation val="minMax"/>
        </c:scaling>
        <c:delete val="0"/>
        <c:axPos val="l"/>
        <c:majorGridlines>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jorGridlines>
        <c:numFmt formatCode="#,##0" sourceLinked="1"/>
        <c:majorTickMark val="out"/>
        <c:minorTickMark val="none"/>
        <c:tickLblPos val="nextTo"/>
        <c:crossAx val="252390784"/>
        <c:crosses val="autoZero"/>
        <c:crossBetween val="between"/>
      </c:valAx>
      <c:valAx>
        <c:axId val="252410496"/>
        <c:scaling>
          <c:orientation val="minMax"/>
          <c:max val="5000"/>
        </c:scaling>
        <c:delete val="0"/>
        <c:axPos val="r"/>
        <c:numFmt formatCode="#,##0" sourceLinked="1"/>
        <c:majorTickMark val="out"/>
        <c:minorTickMark val="none"/>
        <c:tickLblPos val="nextTo"/>
        <c:crossAx val="252416384"/>
        <c:crosses val="max"/>
        <c:crossBetween val="between"/>
        <c:majorUnit val="1000"/>
      </c:valAx>
      <c:catAx>
        <c:axId val="252416384"/>
        <c:scaling>
          <c:orientation val="minMax"/>
        </c:scaling>
        <c:delete val="1"/>
        <c:axPos val="b"/>
        <c:numFmt formatCode="General" sourceLinked="1"/>
        <c:majorTickMark val="out"/>
        <c:minorTickMark val="none"/>
        <c:tickLblPos val="nextTo"/>
        <c:crossAx val="252410496"/>
        <c:crosses val="autoZero"/>
        <c:auto val="1"/>
        <c:lblAlgn val="ctr"/>
        <c:lblOffset val="100"/>
        <c:noMultiLvlLbl val="0"/>
      </c:catAx>
      <c:spPr>
        <a:noFill/>
        <a:ln>
          <a:gradFill>
            <a:gsLst>
              <a:gs pos="0">
                <a:schemeClr val="accent1">
                  <a:lumMod val="5000"/>
                  <a:lumOff val="95000"/>
                </a:schemeClr>
              </a:gs>
              <a:gs pos="28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plotArea>
    <c:legend>
      <c:legendPos val="r"/>
      <c:overlay val="0"/>
    </c:legend>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6783027674287"/>
          <c:y val="0.11023370213051727"/>
          <c:w val="0.83497396053541317"/>
          <c:h val="0.7043466581602672"/>
        </c:manualLayout>
      </c:layout>
      <c:barChart>
        <c:barDir val="col"/>
        <c:grouping val="clustered"/>
        <c:varyColors val="0"/>
        <c:ser>
          <c:idx val="0"/>
          <c:order val="0"/>
          <c:tx>
            <c:strRef>
              <c:f>Gra_17_nezamest!$E$3</c:f>
              <c:strCache>
                <c:ptCount val="1"/>
                <c:pt idx="0">
                  <c:v>% nezamestnaných absolventov</c:v>
                </c:pt>
              </c:strCache>
            </c:strRef>
          </c:tx>
          <c:spPr>
            <a:solidFill>
              <a:schemeClr val="accent1"/>
            </a:solidFill>
            <a:ln>
              <a:noFill/>
            </a:ln>
            <a:effectLst/>
          </c:spPr>
          <c:invertIfNegative val="0"/>
          <c:dPt>
            <c:idx val="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D051-48A9-8D9D-9CC799BCC77E}"/>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0F93-4CEB-AA5B-9E51B86C5318}"/>
              </c:ext>
            </c:extLst>
          </c:dPt>
          <c:dPt>
            <c:idx val="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6-0F93-4CEB-AA5B-9E51B86C5318}"/>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0F93-4CEB-AA5B-9E51B86C5318}"/>
              </c:ext>
            </c:extLst>
          </c:dPt>
          <c:dPt>
            <c:idx val="1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0F93-4CEB-AA5B-9E51B86C5318}"/>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0F93-4CEB-AA5B-9E51B86C5318}"/>
              </c:ext>
            </c:extLst>
          </c:dPt>
          <c:dLbls>
            <c:dLbl>
              <c:idx val="1"/>
              <c:spPr>
                <a:noFill/>
                <a:ln>
                  <a:noFill/>
                </a:ln>
                <a:effectLst/>
              </c:spPr>
              <c:txPr>
                <a:bodyPr rot="-5400000" spcFirstLastPara="1" vertOverflow="ellipsis" wrap="square" anchor="ctr" anchorCtr="1"/>
                <a:lstStyle/>
                <a:p>
                  <a:pPr>
                    <a:defRPr sz="900" b="1" i="0" u="none" strike="noStrike" kern="1200" baseline="0">
                      <a:solidFill>
                        <a:srgbClr val="00B050"/>
                      </a:solidFill>
                      <a:latin typeface="+mj-lt"/>
                      <a:ea typeface="+mn-ea"/>
                      <a:cs typeface="+mn-cs"/>
                    </a:defRPr>
                  </a:pPr>
                  <a:endParaRPr lang="sk-SK"/>
                </a:p>
              </c:txPr>
              <c:dLblPos val="outEnd"/>
              <c:showLegendKey val="0"/>
              <c:showVal val="1"/>
              <c:showCatName val="0"/>
              <c:showSerName val="0"/>
              <c:showPercent val="0"/>
              <c:showBubbleSize val="0"/>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j-lt"/>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Gra_17_nezamest!$B$4:$B$23</c:f>
              <c:strCache>
                <c:ptCount val="20"/>
                <c:pt idx="0">
                  <c:v>VŠMU BA</c:v>
                </c:pt>
                <c:pt idx="1">
                  <c:v>STU BA</c:v>
                </c:pt>
                <c:pt idx="2">
                  <c:v>UK BA</c:v>
                </c:pt>
                <c:pt idx="3">
                  <c:v>TU TT</c:v>
                </c:pt>
                <c:pt idx="4">
                  <c:v>EU BA</c:v>
                </c:pt>
                <c:pt idx="5">
                  <c:v>VŠVU BA</c:v>
                </c:pt>
                <c:pt idx="6">
                  <c:v>UMB BB</c:v>
                </c:pt>
                <c:pt idx="7">
                  <c:v>ŽU ZA</c:v>
                </c:pt>
                <c:pt idx="8">
                  <c:v>AU BB</c:v>
                </c:pt>
                <c:pt idx="9">
                  <c:v>TrU TN</c:v>
                </c:pt>
                <c:pt idx="10">
                  <c:v>UKF NR</c:v>
                </c:pt>
                <c:pt idx="11">
                  <c:v>KU RK</c:v>
                </c:pt>
                <c:pt idx="12">
                  <c:v>UCM TT</c:v>
                </c:pt>
                <c:pt idx="13">
                  <c:v>UJS KN</c:v>
                </c:pt>
                <c:pt idx="14">
                  <c:v>SPU NR</c:v>
                </c:pt>
                <c:pt idx="15">
                  <c:v>TU KE</c:v>
                </c:pt>
                <c:pt idx="16">
                  <c:v>UVLF KE</c:v>
                </c:pt>
                <c:pt idx="17">
                  <c:v>UPJŠ KE</c:v>
                </c:pt>
                <c:pt idx="18">
                  <c:v>PU PO</c:v>
                </c:pt>
                <c:pt idx="19">
                  <c:v>TU ZV</c:v>
                </c:pt>
              </c:strCache>
            </c:strRef>
          </c:cat>
          <c:val>
            <c:numRef>
              <c:f>Gra_17_nezamest!$E$4:$E$23</c:f>
              <c:numCache>
                <c:formatCode>0.00%</c:formatCode>
                <c:ptCount val="20"/>
                <c:pt idx="0">
                  <c:v>4.8991354466858789E-2</c:v>
                </c:pt>
                <c:pt idx="1">
                  <c:v>5.7676902536715619E-2</c:v>
                </c:pt>
                <c:pt idx="2">
                  <c:v>6.6434624697336561E-2</c:v>
                </c:pt>
                <c:pt idx="3">
                  <c:v>6.9384835479256085E-2</c:v>
                </c:pt>
                <c:pt idx="4">
                  <c:v>7.0382279385494823E-2</c:v>
                </c:pt>
                <c:pt idx="5">
                  <c:v>7.2115384615384609E-2</c:v>
                </c:pt>
                <c:pt idx="6">
                  <c:v>7.3187895847994372E-2</c:v>
                </c:pt>
                <c:pt idx="7">
                  <c:v>7.4149938549774683E-2</c:v>
                </c:pt>
                <c:pt idx="8">
                  <c:v>7.4712643678160925E-2</c:v>
                </c:pt>
                <c:pt idx="9">
                  <c:v>7.6642335766423361E-2</c:v>
                </c:pt>
                <c:pt idx="10">
                  <c:v>7.8587699316628706E-2</c:v>
                </c:pt>
                <c:pt idx="11">
                  <c:v>8.0689655172413791E-2</c:v>
                </c:pt>
                <c:pt idx="12">
                  <c:v>8.3517699115044253E-2</c:v>
                </c:pt>
                <c:pt idx="13">
                  <c:v>8.771929824561403E-2</c:v>
                </c:pt>
                <c:pt idx="14">
                  <c:v>0.10382945124358468</c:v>
                </c:pt>
                <c:pt idx="15">
                  <c:v>0.10741138560687433</c:v>
                </c:pt>
                <c:pt idx="16">
                  <c:v>0.11764705882352941</c:v>
                </c:pt>
                <c:pt idx="17">
                  <c:v>0.11821266968325791</c:v>
                </c:pt>
                <c:pt idx="18">
                  <c:v>0.12352532963219987</c:v>
                </c:pt>
                <c:pt idx="19">
                  <c:v>0.12804878048780488</c:v>
                </c:pt>
              </c:numCache>
            </c:numRef>
          </c:val>
          <c:extLst xmlns:c16r2="http://schemas.microsoft.com/office/drawing/2015/06/chart">
            <c:ext xmlns:c16="http://schemas.microsoft.com/office/drawing/2014/chart" uri="{C3380CC4-5D6E-409C-BE32-E72D297353CC}">
              <c16:uniqueId val="{00000002-D051-48A9-8D9D-9CC799BCC77E}"/>
            </c:ext>
          </c:extLst>
        </c:ser>
        <c:dLbls>
          <c:dLblPos val="outEnd"/>
          <c:showLegendKey val="0"/>
          <c:showVal val="1"/>
          <c:showCatName val="0"/>
          <c:showSerName val="0"/>
          <c:showPercent val="0"/>
          <c:showBubbleSize val="0"/>
        </c:dLbls>
        <c:gapWidth val="219"/>
        <c:overlap val="-27"/>
        <c:axId val="252495360"/>
        <c:axId val="252496896"/>
      </c:barChart>
      <c:catAx>
        <c:axId val="25249536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252496896"/>
        <c:crosses val="autoZero"/>
        <c:auto val="1"/>
        <c:lblAlgn val="ctr"/>
        <c:lblOffset val="100"/>
        <c:noMultiLvlLbl val="0"/>
      </c:catAx>
      <c:valAx>
        <c:axId val="25249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sk-SK" b="1"/>
                  <a:t>% nezamestnaných absolventov VŠ</a:t>
                </a:r>
              </a:p>
            </c:rich>
          </c:tx>
          <c:overlay val="0"/>
          <c:spPr>
            <a:noFill/>
            <a:ln>
              <a:noFill/>
            </a:ln>
            <a:effectLst/>
          </c:spPr>
        </c:title>
        <c:numFmt formatCode="0.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252495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1551299902926"/>
          <c:y val="4.7958765270441579E-2"/>
          <c:w val="0.86594405151356635"/>
          <c:h val="0.77578654905711542"/>
        </c:manualLayout>
      </c:layout>
      <c:areaChart>
        <c:grouping val="standard"/>
        <c:varyColors val="0"/>
        <c:ser>
          <c:idx val="2"/>
          <c:order val="2"/>
          <c:tx>
            <c:strRef>
              <c:f>Tab38_Graf17_ŠVOČ!$D$16</c:f>
              <c:strCache>
                <c:ptCount val="1"/>
                <c:pt idx="0">
                  <c:v>študenti</c:v>
                </c:pt>
              </c:strCache>
            </c:strRef>
          </c:tx>
          <c:spPr>
            <a:solidFill>
              <a:schemeClr val="accent3"/>
            </a:solidFill>
            <a:ln>
              <a:noFill/>
            </a:ln>
            <a:effectLst/>
          </c:spPr>
          <c:dLbls>
            <c:dLbl>
              <c:idx val="0"/>
              <c:layout>
                <c:manualLayout>
                  <c:x val="-1.5684671195358432E-2"/>
                  <c:y val="-0.373475495393968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EC-476F-8DD5-C0F650E7ED46}"/>
                </c:ext>
              </c:extLst>
            </c:dLbl>
            <c:dLbl>
              <c:idx val="1"/>
              <c:layout>
                <c:manualLayout>
                  <c:x val="-1.2966385862090739E-2"/>
                  <c:y val="-0.377600057159281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EC-476F-8DD5-C0F650E7ED46}"/>
                </c:ext>
              </c:extLst>
            </c:dLbl>
            <c:dLbl>
              <c:idx val="2"/>
              <c:layout>
                <c:manualLayout>
                  <c:x val="-1.2965529641810998E-2"/>
                  <c:y val="-0.372941250976335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EC-476F-8DD5-C0F650E7ED46}"/>
                </c:ext>
              </c:extLst>
            </c:dLbl>
            <c:dLbl>
              <c:idx val="3"/>
              <c:layout>
                <c:manualLayout>
                  <c:x val="5.4367847216053276E-3"/>
                  <c:y val="-0.308991057495416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EC-476F-8DD5-C0F650E7ED46}"/>
                </c:ext>
              </c:extLst>
            </c:dLbl>
            <c:dLbl>
              <c:idx val="4"/>
              <c:layout>
                <c:manualLayout>
                  <c:x val="-2.1405506994784549E-7"/>
                  <c:y val="-0.290498730966527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EC-476F-8DD5-C0F650E7ED46}"/>
                </c:ext>
              </c:extLst>
            </c:dLbl>
            <c:dLbl>
              <c:idx val="5"/>
              <c:layout>
                <c:manualLayout>
                  <c:x val="-2.7182853332677896E-3"/>
                  <c:y val="-0.290498730966527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EC-476F-8DD5-C0F650E7ED46}"/>
                </c:ext>
              </c:extLst>
            </c:dLbl>
            <c:dLbl>
              <c:idx val="6"/>
              <c:layout>
                <c:manualLayout>
                  <c:x val="-5.3614373369837856E-3"/>
                  <c:y val="-0.287282871864155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EC-476F-8DD5-C0F650E7ED46}"/>
                </c:ext>
              </c:extLst>
            </c:dLbl>
            <c:spPr>
              <a:noFill/>
              <a:ln>
                <a:noFill/>
              </a:ln>
              <a:effectLst/>
            </c:spPr>
            <c:txPr>
              <a:bodyPr rot="0" spcFirstLastPara="1" vertOverflow="ellipsis" vert="horz" wrap="square" anchor="t" anchorCtr="0"/>
              <a:lstStyle/>
              <a:p>
                <a:pPr>
                  <a:defRPr sz="900" b="1" i="0" u="none" strike="noStrike" kern="1200" baseline="0">
                    <a:solidFill>
                      <a:schemeClr val="tx1">
                        <a:lumMod val="75000"/>
                        <a:lumOff val="25000"/>
                      </a:schemeClr>
                    </a:solidFill>
                    <a:latin typeface="+mj-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Tab38_Graf17_ŠVOČ!$A$17:$A$23</c:f>
              <c:strCache>
                <c:ptCount val="7"/>
                <c:pt idx="0">
                  <c:v>2011/2012</c:v>
                </c:pt>
                <c:pt idx="1">
                  <c:v>2012/2013</c:v>
                </c:pt>
                <c:pt idx="2">
                  <c:v>2013/2014</c:v>
                </c:pt>
                <c:pt idx="3">
                  <c:v>2014/2015</c:v>
                </c:pt>
                <c:pt idx="4">
                  <c:v>2015/2016</c:v>
                </c:pt>
                <c:pt idx="5">
                  <c:v>2016/2017</c:v>
                </c:pt>
                <c:pt idx="6">
                  <c:v>2017/2018</c:v>
                </c:pt>
              </c:strCache>
            </c:strRef>
          </c:cat>
          <c:val>
            <c:numRef>
              <c:f>Tab38_Graf17_ŠVOČ!$D$17:$D$23</c:f>
              <c:numCache>
                <c:formatCode>#,##0</c:formatCode>
                <c:ptCount val="7"/>
                <c:pt idx="0">
                  <c:v>1100</c:v>
                </c:pt>
                <c:pt idx="1">
                  <c:v>1091</c:v>
                </c:pt>
                <c:pt idx="2">
                  <c:v>1106</c:v>
                </c:pt>
                <c:pt idx="3">
                  <c:v>846</c:v>
                </c:pt>
                <c:pt idx="4">
                  <c:v>830</c:v>
                </c:pt>
                <c:pt idx="5">
                  <c:v>839</c:v>
                </c:pt>
                <c:pt idx="6">
                  <c:v>811</c:v>
                </c:pt>
              </c:numCache>
            </c:numRef>
          </c:val>
          <c:extLst xmlns:c16r2="http://schemas.microsoft.com/office/drawing/2015/06/chart">
            <c:ext xmlns:c16="http://schemas.microsoft.com/office/drawing/2014/chart" uri="{C3380CC4-5D6E-409C-BE32-E72D297353CC}">
              <c16:uniqueId val="{00000007-E3EC-476F-8DD5-C0F650E7ED46}"/>
            </c:ext>
          </c:extLst>
        </c:ser>
        <c:dLbls>
          <c:showLegendKey val="0"/>
          <c:showVal val="0"/>
          <c:showCatName val="0"/>
          <c:showSerName val="0"/>
          <c:showPercent val="0"/>
          <c:showBubbleSize val="0"/>
        </c:dLbls>
        <c:axId val="273561856"/>
        <c:axId val="273575936"/>
      </c:areaChart>
      <c:barChart>
        <c:barDir val="col"/>
        <c:grouping val="clustered"/>
        <c:varyColors val="0"/>
        <c:ser>
          <c:idx val="1"/>
          <c:order val="1"/>
          <c:tx>
            <c:strRef>
              <c:f>Tab38_Graf17_ŠVOČ!$C$16</c:f>
              <c:strCache>
                <c:ptCount val="1"/>
                <c:pt idx="0">
                  <c:v>práce</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c:spPr>
          <c:invertIfNegative val="0"/>
          <c:dLbls>
            <c:spPr>
              <a:noFill/>
              <a:ln>
                <a:noFill/>
              </a:ln>
              <a:effectLst>
                <a:softEdge rad="127000"/>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Tab38_Graf17_ŠVOČ!$A$17:$A$23</c:f>
              <c:strCache>
                <c:ptCount val="7"/>
                <c:pt idx="0">
                  <c:v>2011/2012</c:v>
                </c:pt>
                <c:pt idx="1">
                  <c:v>2012/2013</c:v>
                </c:pt>
                <c:pt idx="2">
                  <c:v>2013/2014</c:v>
                </c:pt>
                <c:pt idx="3">
                  <c:v>2014/2015</c:v>
                </c:pt>
                <c:pt idx="4">
                  <c:v>2015/2016</c:v>
                </c:pt>
                <c:pt idx="5">
                  <c:v>2016/2017</c:v>
                </c:pt>
                <c:pt idx="6">
                  <c:v>2017/2018</c:v>
                </c:pt>
              </c:strCache>
            </c:strRef>
          </c:cat>
          <c:val>
            <c:numRef>
              <c:f>Tab38_Graf17_ŠVOČ!$C$17:$C$23</c:f>
              <c:numCache>
                <c:formatCode>#,##0</c:formatCode>
                <c:ptCount val="7"/>
                <c:pt idx="0">
                  <c:v>940</c:v>
                </c:pt>
                <c:pt idx="1">
                  <c:v>918</c:v>
                </c:pt>
                <c:pt idx="2">
                  <c:v>930</c:v>
                </c:pt>
                <c:pt idx="3">
                  <c:v>737</c:v>
                </c:pt>
                <c:pt idx="4">
                  <c:v>695</c:v>
                </c:pt>
                <c:pt idx="5">
                  <c:v>709</c:v>
                </c:pt>
                <c:pt idx="6">
                  <c:v>700</c:v>
                </c:pt>
              </c:numCache>
            </c:numRef>
          </c:val>
          <c:extLst xmlns:c16r2="http://schemas.microsoft.com/office/drawing/2015/06/chart">
            <c:ext xmlns:c16="http://schemas.microsoft.com/office/drawing/2014/chart" uri="{C3380CC4-5D6E-409C-BE32-E72D297353CC}">
              <c16:uniqueId val="{00000008-E3EC-476F-8DD5-C0F650E7ED46}"/>
            </c:ext>
          </c:extLst>
        </c:ser>
        <c:dLbls>
          <c:showLegendKey val="0"/>
          <c:showVal val="0"/>
          <c:showCatName val="0"/>
          <c:showSerName val="0"/>
          <c:showPercent val="0"/>
          <c:showBubbleSize val="0"/>
        </c:dLbls>
        <c:gapWidth val="150"/>
        <c:axId val="273561856"/>
        <c:axId val="273575936"/>
      </c:barChart>
      <c:lineChart>
        <c:grouping val="standard"/>
        <c:varyColors val="0"/>
        <c:ser>
          <c:idx val="0"/>
          <c:order val="0"/>
          <c:tx>
            <c:strRef>
              <c:f>Tab38_Graf17_ŠVOČ!$B$16</c:f>
              <c:strCache>
                <c:ptCount val="1"/>
                <c:pt idx="0">
                  <c:v>sekcie</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Tab38_Graf17_ŠVOČ!$A$17:$A$23</c:f>
              <c:strCache>
                <c:ptCount val="7"/>
                <c:pt idx="0">
                  <c:v>2011/2012</c:v>
                </c:pt>
                <c:pt idx="1">
                  <c:v>2012/2013</c:v>
                </c:pt>
                <c:pt idx="2">
                  <c:v>2013/2014</c:v>
                </c:pt>
                <c:pt idx="3">
                  <c:v>2014/2015</c:v>
                </c:pt>
                <c:pt idx="4">
                  <c:v>2015/2016</c:v>
                </c:pt>
                <c:pt idx="5">
                  <c:v>2016/2017</c:v>
                </c:pt>
                <c:pt idx="6">
                  <c:v>2017/2018</c:v>
                </c:pt>
              </c:strCache>
            </c:strRef>
          </c:cat>
          <c:val>
            <c:numRef>
              <c:f>Tab38_Graf17_ŠVOČ!$B$17:$B$23</c:f>
              <c:numCache>
                <c:formatCode>#,##0</c:formatCode>
                <c:ptCount val="7"/>
                <c:pt idx="0">
                  <c:v>96</c:v>
                </c:pt>
                <c:pt idx="1">
                  <c:v>98</c:v>
                </c:pt>
                <c:pt idx="2">
                  <c:v>96</c:v>
                </c:pt>
                <c:pt idx="3">
                  <c:v>83</c:v>
                </c:pt>
                <c:pt idx="4">
                  <c:v>79</c:v>
                </c:pt>
                <c:pt idx="5">
                  <c:v>82</c:v>
                </c:pt>
                <c:pt idx="6">
                  <c:v>79</c:v>
                </c:pt>
              </c:numCache>
            </c:numRef>
          </c:val>
          <c:smooth val="0"/>
          <c:extLst xmlns:c16r2="http://schemas.microsoft.com/office/drawing/2015/06/chart">
            <c:ext xmlns:c16="http://schemas.microsoft.com/office/drawing/2014/chart" uri="{C3380CC4-5D6E-409C-BE32-E72D297353CC}">
              <c16:uniqueId val="{00000009-E3EC-476F-8DD5-C0F650E7ED46}"/>
            </c:ext>
          </c:extLst>
        </c:ser>
        <c:dLbls>
          <c:showLegendKey val="0"/>
          <c:showVal val="0"/>
          <c:showCatName val="0"/>
          <c:showSerName val="0"/>
          <c:showPercent val="0"/>
          <c:showBubbleSize val="0"/>
        </c:dLbls>
        <c:marker val="1"/>
        <c:smooth val="0"/>
        <c:axId val="273561856"/>
        <c:axId val="273575936"/>
      </c:lineChart>
      <c:catAx>
        <c:axId val="273561856"/>
        <c:scaling>
          <c:orientation val="minMax"/>
        </c:scaling>
        <c:delete val="0"/>
        <c:axPos val="b"/>
        <c:numFmt formatCode="General" sourceLinked="0"/>
        <c:majorTickMark val="out"/>
        <c:minorTickMark val="none"/>
        <c:tickLblPos val="nextTo"/>
        <c:spPr>
          <a:no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273575936"/>
        <c:crosses val="autoZero"/>
        <c:auto val="1"/>
        <c:lblAlgn val="ctr"/>
        <c:lblOffset val="100"/>
        <c:noMultiLvlLbl val="0"/>
      </c:catAx>
      <c:valAx>
        <c:axId val="273575936"/>
        <c:scaling>
          <c:orientation val="minMax"/>
        </c:scaling>
        <c:delete val="0"/>
        <c:axPos val="l"/>
        <c:majorGridlines>
          <c:spPr>
            <a:ln w="9525" cap="flat" cmpd="sng" algn="ctr">
              <a:gradFill>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0" sourceLinked="1"/>
        <c:majorTickMark val="none"/>
        <c:minorTickMark val="none"/>
        <c:tickLblPos val="nextTo"/>
        <c:spPr>
          <a:noFill/>
          <a:ln>
            <a:solidFill>
              <a:schemeClr val="accent1">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crossAx val="27356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sk-SK"/>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spPr>
            <a:ln w="38100"/>
          </c:spPr>
          <c:invertIfNegative val="0"/>
          <c:dLbls>
            <c:dLbl>
              <c:idx val="0"/>
              <c:layout>
                <c:manualLayout>
                  <c:x val="-9.4665756632429405E-4"/>
                  <c:y val="-1.43635170603675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13-4873-971A-041E6C9A9344}"/>
                </c:ext>
              </c:extLst>
            </c:dLbl>
            <c:dLbl>
              <c:idx val="1"/>
              <c:layout>
                <c:manualLayout>
                  <c:x val="1.0088062459423016E-3"/>
                  <c:y val="-4.7462817147852273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13-4873-971A-041E6C9A9344}"/>
                </c:ext>
              </c:extLst>
            </c:dLbl>
            <c:dLbl>
              <c:idx val="2"/>
              <c:layout>
                <c:manualLayout>
                  <c:x val="8.4433420452464589E-4"/>
                  <c:y val="-5.10425780110819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13-4873-971A-041E6C9A934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Tab40_Graf19_CŽV_5rokov!$H$3:$N$3</c:f>
              <c:strCache>
                <c:ptCount val="5"/>
                <c:pt idx="0">
                  <c:v>2013/2014</c:v>
                </c:pt>
                <c:pt idx="1">
                  <c:v>2014/2015</c:v>
                </c:pt>
                <c:pt idx="2">
                  <c:v>2015/2016</c:v>
                </c:pt>
                <c:pt idx="3">
                  <c:v>2016/2017</c:v>
                </c:pt>
                <c:pt idx="4">
                  <c:v>2017/2018</c:v>
                </c:pt>
              </c:strCache>
            </c:strRef>
          </c:cat>
          <c:val>
            <c:numRef>
              <c:f>Tab40_Graf19_CŽV_5rokov!$H$8:$N$8</c:f>
              <c:numCache>
                <c:formatCode>#\ ##0_ ;[Red]\-#\ ##0\ </c:formatCode>
                <c:ptCount val="5"/>
                <c:pt idx="0" formatCode="#,##0">
                  <c:v>4202</c:v>
                </c:pt>
                <c:pt idx="1">
                  <c:v>3312</c:v>
                </c:pt>
                <c:pt idx="2">
                  <c:v>4084</c:v>
                </c:pt>
                <c:pt idx="3">
                  <c:v>3904</c:v>
                </c:pt>
                <c:pt idx="4">
                  <c:v>3568</c:v>
                </c:pt>
              </c:numCache>
            </c:numRef>
          </c:val>
          <c:extLst xmlns:c16r2="http://schemas.microsoft.com/office/drawing/2015/06/chart">
            <c:ext xmlns:c16="http://schemas.microsoft.com/office/drawing/2014/chart" uri="{C3380CC4-5D6E-409C-BE32-E72D297353CC}">
              <c16:uniqueId val="{00000004-B413-4873-971A-041E6C9A9344}"/>
            </c:ext>
          </c:extLst>
        </c:ser>
        <c:dLbls>
          <c:showLegendKey val="0"/>
          <c:showVal val="0"/>
          <c:showCatName val="0"/>
          <c:showSerName val="0"/>
          <c:showPercent val="0"/>
          <c:showBubbleSize val="0"/>
        </c:dLbls>
        <c:gapWidth val="150"/>
        <c:shape val="box"/>
        <c:axId val="273598336"/>
        <c:axId val="273599872"/>
        <c:axId val="0"/>
      </c:bar3DChart>
      <c:catAx>
        <c:axId val="273598336"/>
        <c:scaling>
          <c:orientation val="minMax"/>
        </c:scaling>
        <c:delete val="0"/>
        <c:axPos val="l"/>
        <c:numFmt formatCode="General" sourceLinked="0"/>
        <c:majorTickMark val="out"/>
        <c:minorTickMark val="none"/>
        <c:tickLblPos val="nextTo"/>
        <c:crossAx val="273599872"/>
        <c:crosses val="autoZero"/>
        <c:auto val="1"/>
        <c:lblAlgn val="ctr"/>
        <c:lblOffset val="100"/>
        <c:noMultiLvlLbl val="0"/>
      </c:catAx>
      <c:valAx>
        <c:axId val="273599872"/>
        <c:scaling>
          <c:orientation val="minMax"/>
          <c:min val="2500"/>
        </c:scaling>
        <c:delete val="0"/>
        <c:axPos val="b"/>
        <c:majorGridlines>
          <c:spPr>
            <a:ln>
              <a:solidFill>
                <a:schemeClr val="accent1">
                  <a:lumMod val="60000"/>
                  <a:lumOff val="40000"/>
                </a:schemeClr>
              </a:solidFill>
            </a:ln>
          </c:spPr>
        </c:majorGridlines>
        <c:numFmt formatCode="#,##0" sourceLinked="1"/>
        <c:majorTickMark val="out"/>
        <c:minorTickMark val="none"/>
        <c:tickLblPos val="nextTo"/>
        <c:crossAx val="273598336"/>
        <c:crosses val="autoZero"/>
        <c:crossBetween val="between"/>
      </c:valAx>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3283675137575577E-2"/>
          <c:y val="5.6353504077114903E-2"/>
          <c:w val="0.904433258224276"/>
          <c:h val="0.74008777706167517"/>
        </c:manualLayout>
      </c:layout>
      <c:lineChart>
        <c:grouping val="standard"/>
        <c:varyColors val="0"/>
        <c:ser>
          <c:idx val="1"/>
          <c:order val="0"/>
          <c:tx>
            <c:strRef>
              <c:f>Zdroj_štud_VŠ_graf_2!$A$4</c:f>
              <c:strCache>
                <c:ptCount val="1"/>
                <c:pt idx="0">
                  <c:v>UK</c:v>
                </c:pt>
              </c:strCache>
            </c:strRef>
          </c:tx>
          <c:spPr>
            <a:ln w="38100"/>
          </c:spPr>
          <c:marker>
            <c:symbol val="none"/>
          </c:marker>
          <c:dLbls>
            <c:dLbl>
              <c:idx val="3"/>
              <c:layout>
                <c:manualLayout>
                  <c:x val="-3.1641063115285847E-2"/>
                  <c:y val="-4.09781573121865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F2-4ED2-A3E3-57F787B6282A}"/>
                </c:ext>
              </c:extLst>
            </c:dLbl>
            <c:dLbl>
              <c:idx val="4"/>
              <c:layout>
                <c:manualLayout>
                  <c:x val="-2.7069569656496036E-2"/>
                  <c:y val="-3.25123386351573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F2-4ED2-A3E3-57F787B6282A}"/>
                </c:ext>
              </c:extLst>
            </c:dLbl>
            <c:dLbl>
              <c:idx val="5"/>
              <c:layout>
                <c:manualLayout>
                  <c:x val="-2.4338028823347922E-2"/>
                  <c:y val="-3.04208351949635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F2-4ED2-A3E3-57F787B6282A}"/>
                </c:ext>
              </c:extLst>
            </c:dLbl>
            <c:dLbl>
              <c:idx val="6"/>
              <c:layout>
                <c:manualLayout>
                  <c:x val="-1.6829097913148579E-2"/>
                  <c:y val="-4.58461538461538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F2-4ED2-A3E3-57F787B6282A}"/>
                </c:ext>
              </c:extLst>
            </c:dLbl>
            <c:dLbl>
              <c:idx val="7"/>
              <c:layout>
                <c:manualLayout>
                  <c:x val="-1.2472802213592067E-2"/>
                  <c:y val="-4.2427214391795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F2-4ED2-A3E3-57F787B6282A}"/>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(Zdroj_štud_VŠ_graf_2!$C$3:$J$3,Zdroj_štud_VŠ_graf_2!$L$3)</c:f>
              <c:strCache>
                <c:ptCount val="8"/>
                <c:pt idx="0">
                  <c:v>2011/2012</c:v>
                </c:pt>
                <c:pt idx="1">
                  <c:v>2012/2013</c:v>
                </c:pt>
                <c:pt idx="2">
                  <c:v>2013/2014</c:v>
                </c:pt>
                <c:pt idx="3">
                  <c:v>2014/2015</c:v>
                </c:pt>
                <c:pt idx="4">
                  <c:v>2015/2016</c:v>
                </c:pt>
                <c:pt idx="5">
                  <c:v>2016/2017</c:v>
                </c:pt>
                <c:pt idx="6">
                  <c:v>2017/2018</c:v>
                </c:pt>
                <c:pt idx="7">
                  <c:v>2018/2019</c:v>
                </c:pt>
              </c:strCache>
            </c:strRef>
          </c:cat>
          <c:val>
            <c:numRef>
              <c:f>(Zdroj_štud_VŠ_graf_2!$C$4:$J$4,Zdroj_štud_VŠ_graf_2!$L$4)</c:f>
              <c:numCache>
                <c:formatCode>#,##0</c:formatCode>
                <c:ptCount val="8"/>
                <c:pt idx="0">
                  <c:v>27800</c:v>
                </c:pt>
                <c:pt idx="1">
                  <c:v>27592</c:v>
                </c:pt>
                <c:pt idx="2">
                  <c:v>27347</c:v>
                </c:pt>
                <c:pt idx="3">
                  <c:v>26624</c:v>
                </c:pt>
                <c:pt idx="4">
                  <c:v>25110</c:v>
                </c:pt>
                <c:pt idx="5">
                  <c:v>24108</c:v>
                </c:pt>
                <c:pt idx="6">
                  <c:v>22682</c:v>
                </c:pt>
                <c:pt idx="7">
                  <c:v>22137</c:v>
                </c:pt>
              </c:numCache>
            </c:numRef>
          </c:val>
          <c:smooth val="0"/>
          <c:extLst xmlns:c16r2="http://schemas.microsoft.com/office/drawing/2015/06/chart">
            <c:ext xmlns:c16="http://schemas.microsoft.com/office/drawing/2014/chart" uri="{C3380CC4-5D6E-409C-BE32-E72D297353CC}">
              <c16:uniqueId val="{00000005-50F2-4ED2-A3E3-57F787B6282A}"/>
            </c:ext>
          </c:extLst>
        </c:ser>
        <c:ser>
          <c:idx val="2"/>
          <c:order val="1"/>
          <c:tx>
            <c:strRef>
              <c:f>Zdroj_štud_VŠ_graf_2!$A$5</c:f>
              <c:strCache>
                <c:ptCount val="1"/>
                <c:pt idx="0">
                  <c:v>STU</c:v>
                </c:pt>
              </c:strCache>
            </c:strRef>
          </c:tx>
          <c:spPr>
            <a:ln w="63500"/>
          </c:spPr>
          <c:marker>
            <c:symbol val="none"/>
          </c:marker>
          <c:dLbls>
            <c:dLbl>
              <c:idx val="0"/>
              <c:layout>
                <c:manualLayout>
                  <c:x val="-4.2122111785207174E-2"/>
                  <c:y val="-4.9108218679070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F2-4ED2-A3E3-57F787B6282A}"/>
                </c:ext>
              </c:extLst>
            </c:dLbl>
            <c:dLbl>
              <c:idx val="3"/>
              <c:layout>
                <c:manualLayout>
                  <c:x val="-3.17144663486408E-2"/>
                  <c:y val="-6.11266007229523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0F2-4ED2-A3E3-57F787B6282A}"/>
                </c:ext>
              </c:extLst>
            </c:dLbl>
            <c:dLbl>
              <c:idx val="4"/>
              <c:layout>
                <c:manualLayout>
                  <c:x val="-2.310555178487414E-2"/>
                  <c:y val="-5.47541821951971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0F2-4ED2-A3E3-57F787B6282A}"/>
                </c:ext>
              </c:extLst>
            </c:dLbl>
            <c:dLbl>
              <c:idx val="5"/>
              <c:layout>
                <c:manualLayout>
                  <c:x val="-3.1240547486308737E-2"/>
                  <c:y val="-5.00406310421161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0F2-4ED2-A3E3-57F787B6282A}"/>
                </c:ext>
              </c:extLst>
            </c:dLbl>
            <c:dLbl>
              <c:idx val="6"/>
              <c:layout>
                <c:manualLayout>
                  <c:x val="-2.5290289269103282E-2"/>
                  <c:y val="-6.3639770784879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0F2-4ED2-A3E3-57F787B6282A}"/>
                </c:ext>
              </c:extLst>
            </c:dLbl>
            <c:dLbl>
              <c:idx val="7"/>
              <c:layout>
                <c:manualLayout>
                  <c:x val="-1.1875395137651588E-2"/>
                  <c:y val="-5.0294575055342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0F2-4ED2-A3E3-57F787B6282A}"/>
                </c:ext>
              </c:extLst>
            </c:dLbl>
            <c:spPr>
              <a:noFill/>
              <a:ln>
                <a:noFill/>
              </a:ln>
              <a:effectLst/>
            </c:spPr>
            <c:txPr>
              <a:bodyPr/>
              <a:lstStyle/>
              <a:p>
                <a:pPr>
                  <a:defRPr b="1">
                    <a:solidFill>
                      <a:srgbClr val="FF0000"/>
                    </a:solidFill>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(Zdroj_štud_VŠ_graf_2!$C$3:$J$3,Zdroj_štud_VŠ_graf_2!$L$3)</c:f>
              <c:strCache>
                <c:ptCount val="8"/>
                <c:pt idx="0">
                  <c:v>2011/2012</c:v>
                </c:pt>
                <c:pt idx="1">
                  <c:v>2012/2013</c:v>
                </c:pt>
                <c:pt idx="2">
                  <c:v>2013/2014</c:v>
                </c:pt>
                <c:pt idx="3">
                  <c:v>2014/2015</c:v>
                </c:pt>
                <c:pt idx="4">
                  <c:v>2015/2016</c:v>
                </c:pt>
                <c:pt idx="5">
                  <c:v>2016/2017</c:v>
                </c:pt>
                <c:pt idx="6">
                  <c:v>2017/2018</c:v>
                </c:pt>
                <c:pt idx="7">
                  <c:v>2018/2019</c:v>
                </c:pt>
              </c:strCache>
            </c:strRef>
          </c:cat>
          <c:val>
            <c:numRef>
              <c:f>(Zdroj_štud_VŠ_graf_2!$C$5:$J$5,Zdroj_štud_VŠ_graf_2!$L$5)</c:f>
              <c:numCache>
                <c:formatCode>#,##0</c:formatCode>
                <c:ptCount val="8"/>
                <c:pt idx="0">
                  <c:v>17736</c:v>
                </c:pt>
                <c:pt idx="1">
                  <c:v>17059</c:v>
                </c:pt>
                <c:pt idx="2">
                  <c:v>16402</c:v>
                </c:pt>
                <c:pt idx="3">
                  <c:v>15403</c:v>
                </c:pt>
                <c:pt idx="4">
                  <c:v>14286</c:v>
                </c:pt>
                <c:pt idx="5">
                  <c:v>13108</c:v>
                </c:pt>
                <c:pt idx="6">
                  <c:v>11748</c:v>
                </c:pt>
                <c:pt idx="7">
                  <c:v>11130</c:v>
                </c:pt>
              </c:numCache>
            </c:numRef>
          </c:val>
          <c:smooth val="0"/>
          <c:extLst xmlns:c16r2="http://schemas.microsoft.com/office/drawing/2015/06/chart">
            <c:ext xmlns:c16="http://schemas.microsoft.com/office/drawing/2014/chart" uri="{C3380CC4-5D6E-409C-BE32-E72D297353CC}">
              <c16:uniqueId val="{0000000D-50F2-4ED2-A3E3-57F787B6282A}"/>
            </c:ext>
          </c:extLst>
        </c:ser>
        <c:ser>
          <c:idx val="3"/>
          <c:order val="2"/>
          <c:tx>
            <c:strRef>
              <c:f>Zdroj_štud_VŠ_graf_2!$A$6</c:f>
              <c:strCache>
                <c:ptCount val="1"/>
                <c:pt idx="0">
                  <c:v>TU KE</c:v>
                </c:pt>
              </c:strCache>
            </c:strRef>
          </c:tx>
          <c:spPr>
            <a:ln w="38100"/>
          </c:spPr>
          <c:marker>
            <c:symbol val="none"/>
          </c:marker>
          <c:dLbls>
            <c:dLbl>
              <c:idx val="0"/>
              <c:layout>
                <c:manualLayout>
                  <c:x val="-4.3830161102945173E-2"/>
                  <c:y val="-3.66194272424132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0F2-4ED2-A3E3-57F787B6282A}"/>
                </c:ext>
              </c:extLst>
            </c:dLbl>
            <c:dLbl>
              <c:idx val="3"/>
              <c:layout>
                <c:manualLayout>
                  <c:x val="-3.882981780562101E-2"/>
                  <c:y val="-6.9252458878583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0F2-4ED2-A3E3-57F787B6282A}"/>
                </c:ext>
              </c:extLst>
            </c:dLbl>
            <c:dLbl>
              <c:idx val="4"/>
              <c:layout>
                <c:manualLayout>
                  <c:x val="-3.5678405162858369E-2"/>
                  <c:y val="-6.809937792473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0F2-4ED2-A3E3-57F787B6282A}"/>
                </c:ext>
              </c:extLst>
            </c:dLbl>
            <c:dLbl>
              <c:idx val="5"/>
              <c:layout>
                <c:manualLayout>
                  <c:x val="-3.90559391754862E-2"/>
                  <c:y val="-6.23556897469667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0F2-4ED2-A3E3-57F787B6282A}"/>
                </c:ext>
              </c:extLst>
            </c:dLbl>
            <c:dLbl>
              <c:idx val="6"/>
              <c:layout>
                <c:manualLayout>
                  <c:x val="-3.0788026166216422E-2"/>
                  <c:y val="-4.96346708885588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0F2-4ED2-A3E3-57F787B6282A}"/>
                </c:ext>
              </c:extLst>
            </c:dLbl>
            <c:dLbl>
              <c:idx val="7"/>
              <c:layout>
                <c:manualLayout>
                  <c:x val="-1.8767722781347203E-2"/>
                  <c:y val="-2.87916468181690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0F2-4ED2-A3E3-57F787B6282A}"/>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(Zdroj_štud_VŠ_graf_2!$C$3:$J$3,Zdroj_štud_VŠ_graf_2!$L$3)</c:f>
              <c:strCache>
                <c:ptCount val="8"/>
                <c:pt idx="0">
                  <c:v>2011/2012</c:v>
                </c:pt>
                <c:pt idx="1">
                  <c:v>2012/2013</c:v>
                </c:pt>
                <c:pt idx="2">
                  <c:v>2013/2014</c:v>
                </c:pt>
                <c:pt idx="3">
                  <c:v>2014/2015</c:v>
                </c:pt>
                <c:pt idx="4">
                  <c:v>2015/2016</c:v>
                </c:pt>
                <c:pt idx="5">
                  <c:v>2016/2017</c:v>
                </c:pt>
                <c:pt idx="6">
                  <c:v>2017/2018</c:v>
                </c:pt>
                <c:pt idx="7">
                  <c:v>2018/2019</c:v>
                </c:pt>
              </c:strCache>
            </c:strRef>
          </c:cat>
          <c:val>
            <c:numRef>
              <c:f>(Zdroj_štud_VŠ_graf_2!$C$6:$J$6,Zdroj_štud_VŠ_graf_2!$L$6)</c:f>
              <c:numCache>
                <c:formatCode>#,##0</c:formatCode>
                <c:ptCount val="8"/>
                <c:pt idx="0">
                  <c:v>15324</c:v>
                </c:pt>
                <c:pt idx="1">
                  <c:v>13141</c:v>
                </c:pt>
                <c:pt idx="2">
                  <c:v>11703</c:v>
                </c:pt>
                <c:pt idx="3">
                  <c:v>10641</c:v>
                </c:pt>
                <c:pt idx="4">
                  <c:v>9713</c:v>
                </c:pt>
                <c:pt idx="5">
                  <c:v>9013</c:v>
                </c:pt>
                <c:pt idx="6">
                  <c:v>8766</c:v>
                </c:pt>
                <c:pt idx="7">
                  <c:v>9110</c:v>
                </c:pt>
              </c:numCache>
            </c:numRef>
          </c:val>
          <c:smooth val="0"/>
          <c:extLst xmlns:c16r2="http://schemas.microsoft.com/office/drawing/2015/06/chart">
            <c:ext xmlns:c16="http://schemas.microsoft.com/office/drawing/2014/chart" uri="{C3380CC4-5D6E-409C-BE32-E72D297353CC}">
              <c16:uniqueId val="{00000015-50F2-4ED2-A3E3-57F787B6282A}"/>
            </c:ext>
          </c:extLst>
        </c:ser>
        <c:ser>
          <c:idx val="4"/>
          <c:order val="3"/>
          <c:tx>
            <c:strRef>
              <c:f>Zdroj_štud_VŠ_graf_2!$A$7</c:f>
              <c:strCache>
                <c:ptCount val="1"/>
                <c:pt idx="0">
                  <c:v>ŽU </c:v>
                </c:pt>
              </c:strCache>
            </c:strRef>
          </c:tx>
          <c:spPr>
            <a:ln w="38100"/>
          </c:spPr>
          <c:marker>
            <c:symbol val="none"/>
          </c:marker>
          <c:dLbls>
            <c:dLbl>
              <c:idx val="7"/>
              <c:layout>
                <c:manualLayout>
                  <c:x val="-1.3241671073506081E-2"/>
                  <c:y val="-4.448398576512537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0370174510840827E-2"/>
                      <c:h val="5.8741278336649203E-2"/>
                    </c:manualLayout>
                  </c15:layout>
                </c:ext>
                <c:ext xmlns:c16="http://schemas.microsoft.com/office/drawing/2014/chart" uri="{C3380CC4-5D6E-409C-BE32-E72D297353CC}">
                  <c16:uniqueId val="{0000001E-50F2-4ED2-A3E3-57F787B6282A}"/>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(Zdroj_štud_VŠ_graf_2!$C$3:$J$3,Zdroj_štud_VŠ_graf_2!$L$3)</c:f>
              <c:strCache>
                <c:ptCount val="8"/>
                <c:pt idx="0">
                  <c:v>2011/2012</c:v>
                </c:pt>
                <c:pt idx="1">
                  <c:v>2012/2013</c:v>
                </c:pt>
                <c:pt idx="2">
                  <c:v>2013/2014</c:v>
                </c:pt>
                <c:pt idx="3">
                  <c:v>2014/2015</c:v>
                </c:pt>
                <c:pt idx="4">
                  <c:v>2015/2016</c:v>
                </c:pt>
                <c:pt idx="5">
                  <c:v>2016/2017</c:v>
                </c:pt>
                <c:pt idx="6">
                  <c:v>2017/2018</c:v>
                </c:pt>
                <c:pt idx="7">
                  <c:v>2018/2019</c:v>
                </c:pt>
              </c:strCache>
            </c:strRef>
          </c:cat>
          <c:val>
            <c:numRef>
              <c:f>(Zdroj_štud_VŠ_graf_2!$C$7:$J$7,Zdroj_štud_VŠ_graf_2!$L$7)</c:f>
              <c:numCache>
                <c:formatCode>#,##0</c:formatCode>
                <c:ptCount val="8"/>
                <c:pt idx="0">
                  <c:v>11448</c:v>
                </c:pt>
                <c:pt idx="1">
                  <c:v>10970</c:v>
                </c:pt>
                <c:pt idx="2">
                  <c:v>10250</c:v>
                </c:pt>
                <c:pt idx="3">
                  <c:v>9525</c:v>
                </c:pt>
                <c:pt idx="4">
                  <c:v>8792</c:v>
                </c:pt>
                <c:pt idx="5">
                  <c:v>8149</c:v>
                </c:pt>
                <c:pt idx="6">
                  <c:v>7728</c:v>
                </c:pt>
                <c:pt idx="7">
                  <c:v>7531</c:v>
                </c:pt>
              </c:numCache>
            </c:numRef>
          </c:val>
          <c:smooth val="0"/>
          <c:extLst xmlns:c16r2="http://schemas.microsoft.com/office/drawing/2015/06/chart">
            <c:ext xmlns:c16="http://schemas.microsoft.com/office/drawing/2014/chart" uri="{C3380CC4-5D6E-409C-BE32-E72D297353CC}">
              <c16:uniqueId val="{0000001F-50F2-4ED2-A3E3-57F787B6282A}"/>
            </c:ext>
          </c:extLst>
        </c:ser>
        <c:ser>
          <c:idx val="5"/>
          <c:order val="4"/>
          <c:tx>
            <c:strRef>
              <c:f>Zdroj_štud_VŠ_graf_2!$A$8</c:f>
              <c:strCache>
                <c:ptCount val="1"/>
                <c:pt idx="0">
                  <c:v>SPU</c:v>
                </c:pt>
              </c:strCache>
            </c:strRef>
          </c:tx>
          <c:spPr>
            <a:ln w="38100"/>
          </c:spPr>
          <c:marker>
            <c:symbol val="none"/>
          </c:marker>
          <c:dLbls>
            <c:dLbl>
              <c:idx val="7"/>
              <c:layout>
                <c:manualLayout>
                  <c:x val="-1.3241671073506081E-2"/>
                  <c:y val="5.82852299156555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50F2-4ED2-A3E3-57F787B6282A}"/>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(Zdroj_štud_VŠ_graf_2!$C$3:$J$3,Zdroj_štud_VŠ_graf_2!$L$3)</c:f>
              <c:strCache>
                <c:ptCount val="8"/>
                <c:pt idx="0">
                  <c:v>2011/2012</c:v>
                </c:pt>
                <c:pt idx="1">
                  <c:v>2012/2013</c:v>
                </c:pt>
                <c:pt idx="2">
                  <c:v>2013/2014</c:v>
                </c:pt>
                <c:pt idx="3">
                  <c:v>2014/2015</c:v>
                </c:pt>
                <c:pt idx="4">
                  <c:v>2015/2016</c:v>
                </c:pt>
                <c:pt idx="5">
                  <c:v>2016/2017</c:v>
                </c:pt>
                <c:pt idx="6">
                  <c:v>2017/2018</c:v>
                </c:pt>
                <c:pt idx="7">
                  <c:v>2018/2019</c:v>
                </c:pt>
              </c:strCache>
            </c:strRef>
          </c:cat>
          <c:val>
            <c:numRef>
              <c:f>(Zdroj_štud_VŠ_graf_2!$C$8:$J$8,Zdroj_štud_VŠ_graf_2!$L$8)</c:f>
              <c:numCache>
                <c:formatCode>#,##0</c:formatCode>
                <c:ptCount val="8"/>
                <c:pt idx="0">
                  <c:v>9825</c:v>
                </c:pt>
                <c:pt idx="1">
                  <c:v>9422</c:v>
                </c:pt>
                <c:pt idx="2">
                  <c:v>8997</c:v>
                </c:pt>
                <c:pt idx="3">
                  <c:v>8681</c:v>
                </c:pt>
                <c:pt idx="4">
                  <c:v>8248</c:v>
                </c:pt>
                <c:pt idx="5">
                  <c:v>7515</c:v>
                </c:pt>
                <c:pt idx="6">
                  <c:v>6720</c:v>
                </c:pt>
                <c:pt idx="7">
                  <c:v>6250</c:v>
                </c:pt>
              </c:numCache>
            </c:numRef>
          </c:val>
          <c:smooth val="0"/>
          <c:extLst xmlns:c16r2="http://schemas.microsoft.com/office/drawing/2015/06/chart">
            <c:ext xmlns:c16="http://schemas.microsoft.com/office/drawing/2014/chart" uri="{C3380CC4-5D6E-409C-BE32-E72D297353CC}">
              <c16:uniqueId val="{00000029-50F2-4ED2-A3E3-57F787B6282A}"/>
            </c:ext>
          </c:extLst>
        </c:ser>
        <c:ser>
          <c:idx val="0"/>
          <c:order val="5"/>
          <c:tx>
            <c:strRef>
              <c:f>Zdroj_štud_VŠ_graf_2!$A$9</c:f>
              <c:strCache>
                <c:ptCount val="1"/>
                <c:pt idx="0">
                  <c:v>TU ZV</c:v>
                </c:pt>
              </c:strCache>
            </c:strRef>
          </c:tx>
          <c:spPr>
            <a:ln w="38100"/>
          </c:spPr>
          <c:marker>
            <c:symbol val="none"/>
          </c:marker>
          <c:dLbls>
            <c:dLbl>
              <c:idx val="5"/>
              <c:layout>
                <c:manualLayout>
                  <c:x val="-4.1230448383733055E-2"/>
                  <c:y val="4.93884327626306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50F2-4ED2-A3E3-57F787B6282A}"/>
                </c:ext>
              </c:extLst>
            </c:dLbl>
            <c:dLbl>
              <c:idx val="6"/>
              <c:layout>
                <c:manualLayout>
                  <c:x val="-3.9144942648592439E-2"/>
                  <c:y val="4.93884327626306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50F2-4ED2-A3E3-57F787B6282A}"/>
                </c:ext>
              </c:extLst>
            </c:dLbl>
            <c:dLbl>
              <c:idx val="7"/>
              <c:layout>
                <c:manualLayout>
                  <c:x val="-9.8286436823135856E-3"/>
                  <c:y val="4.04916356096057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50F2-4ED2-A3E3-57F787B6282A}"/>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(Zdroj_štud_VŠ_graf_2!$C$3:$J$3,Zdroj_štud_VŠ_graf_2!$L$3)</c:f>
              <c:strCache>
                <c:ptCount val="8"/>
                <c:pt idx="0">
                  <c:v>2011/2012</c:v>
                </c:pt>
                <c:pt idx="1">
                  <c:v>2012/2013</c:v>
                </c:pt>
                <c:pt idx="2">
                  <c:v>2013/2014</c:v>
                </c:pt>
                <c:pt idx="3">
                  <c:v>2014/2015</c:v>
                </c:pt>
                <c:pt idx="4">
                  <c:v>2015/2016</c:v>
                </c:pt>
                <c:pt idx="5">
                  <c:v>2016/2017</c:v>
                </c:pt>
                <c:pt idx="6">
                  <c:v>2017/2018</c:v>
                </c:pt>
                <c:pt idx="7">
                  <c:v>2018/2019</c:v>
                </c:pt>
              </c:strCache>
            </c:strRef>
          </c:cat>
          <c:val>
            <c:numRef>
              <c:f>(Zdroj_štud_VŠ_graf_2!$C$9:$J$9,Zdroj_štud_VŠ_graf_2!$L$9)</c:f>
              <c:numCache>
                <c:formatCode>#,##0</c:formatCode>
                <c:ptCount val="8"/>
                <c:pt idx="0">
                  <c:v>4878</c:v>
                </c:pt>
                <c:pt idx="1">
                  <c:v>4496</c:v>
                </c:pt>
                <c:pt idx="2">
                  <c:v>4209</c:v>
                </c:pt>
                <c:pt idx="3">
                  <c:v>3862</c:v>
                </c:pt>
                <c:pt idx="4">
                  <c:v>3481</c:v>
                </c:pt>
                <c:pt idx="5">
                  <c:v>3028</c:v>
                </c:pt>
                <c:pt idx="6">
                  <c:v>2672</c:v>
                </c:pt>
                <c:pt idx="7">
                  <c:v>2506</c:v>
                </c:pt>
              </c:numCache>
            </c:numRef>
          </c:val>
          <c:smooth val="0"/>
          <c:extLst xmlns:c16r2="http://schemas.microsoft.com/office/drawing/2015/06/chart">
            <c:ext xmlns:c16="http://schemas.microsoft.com/office/drawing/2014/chart" uri="{C3380CC4-5D6E-409C-BE32-E72D297353CC}">
              <c16:uniqueId val="{0000002F-50F2-4ED2-A3E3-57F787B6282A}"/>
            </c:ext>
          </c:extLst>
        </c:ser>
        <c:dLbls>
          <c:dLblPos val="t"/>
          <c:showLegendKey val="0"/>
          <c:showVal val="1"/>
          <c:showCatName val="0"/>
          <c:showSerName val="0"/>
          <c:showPercent val="0"/>
          <c:showBubbleSize val="0"/>
        </c:dLbls>
        <c:marker val="1"/>
        <c:smooth val="0"/>
        <c:axId val="283869952"/>
        <c:axId val="283871488"/>
      </c:lineChart>
      <c:catAx>
        <c:axId val="283869952"/>
        <c:scaling>
          <c:orientation val="minMax"/>
        </c:scaling>
        <c:delete val="0"/>
        <c:axPos val="b"/>
        <c:numFmt formatCode="General" sourceLinked="0"/>
        <c:majorTickMark val="none"/>
        <c:minorTickMark val="none"/>
        <c:tickLblPos val="nextTo"/>
        <c:txPr>
          <a:bodyPr rot="0"/>
          <a:lstStyle/>
          <a:p>
            <a:pPr>
              <a:defRPr/>
            </a:pPr>
            <a:endParaRPr lang="sk-SK"/>
          </a:p>
        </c:txPr>
        <c:crossAx val="283871488"/>
        <c:crosses val="autoZero"/>
        <c:auto val="1"/>
        <c:lblAlgn val="ctr"/>
        <c:lblOffset val="100"/>
        <c:noMultiLvlLbl val="0"/>
      </c:catAx>
      <c:valAx>
        <c:axId val="283871488"/>
        <c:scaling>
          <c:orientation val="minMax"/>
        </c:scaling>
        <c:delete val="0"/>
        <c:axPos val="l"/>
        <c:majorGridlines>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jorGridlines>
        <c:numFmt formatCode="#,##0" sourceLinked="1"/>
        <c:majorTickMark val="none"/>
        <c:minorTickMark val="none"/>
        <c:tickLblPos val="nextTo"/>
        <c:crossAx val="283869952"/>
        <c:crosses val="autoZero"/>
        <c:crossBetween val="between"/>
      </c:valAx>
    </c:plotArea>
    <c:legend>
      <c:legendPos val="b"/>
      <c:layout>
        <c:manualLayout>
          <c:xMode val="edge"/>
          <c:yMode val="edge"/>
          <c:x val="0.26968319826007303"/>
          <c:y val="0.93924396597140369"/>
          <c:w val="0.54449169197553959"/>
          <c:h val="5.8050089695854228E-2"/>
        </c:manualLayout>
      </c:layout>
      <c:overlay val="0"/>
    </c:legend>
    <c:plotVisOnly val="1"/>
    <c:dispBlanksAs val="gap"/>
    <c:showDLblsOverMax val="0"/>
  </c:chart>
  <c:spPr>
    <a:ln>
      <a:noFill/>
    </a:ln>
  </c:spPr>
  <c:txPr>
    <a:bodyPr/>
    <a:lstStyle/>
    <a:p>
      <a:pPr>
        <a:defRPr sz="1000">
          <a:latin typeface="+mj-lt"/>
        </a:defRPr>
      </a:pPr>
      <a:endParaRPr lang="sk-SK"/>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sk-SK" sz="1200" b="1" i="0" baseline="0">
                <a:effectLst/>
                <a:latin typeface="+mn-lt"/>
              </a:rPr>
              <a:t>a) Podiel verejných vysokých škôl na domácich grantoch</a:t>
            </a:r>
            <a:endParaRPr lang="sk-SK" sz="1200">
              <a:effectLst/>
              <a:latin typeface="+mn-lt"/>
            </a:endParaRPr>
          </a:p>
        </c:rich>
      </c:tx>
      <c:overlay val="0"/>
    </c:title>
    <c:autoTitleDeleted val="0"/>
    <c:view3D>
      <c:rotX val="30"/>
      <c:rotY val="230"/>
      <c:rAngAx val="0"/>
      <c:perspective val="20"/>
    </c:view3D>
    <c:floor>
      <c:thickness val="0"/>
    </c:floor>
    <c:sideWall>
      <c:thickness val="0"/>
    </c:sideWall>
    <c:backWall>
      <c:thickness val="0"/>
    </c:backWall>
    <c:plotArea>
      <c:layout/>
      <c:pie3DChart>
        <c:varyColors val="1"/>
        <c:ser>
          <c:idx val="0"/>
          <c:order val="0"/>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1-B272-40DD-B800-04546776A3DD}"/>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B272-40DD-B800-04546776A3DD}"/>
              </c:ext>
            </c:extLst>
          </c:dPt>
          <c:dPt>
            <c:idx val="2"/>
            <c:bubble3D val="0"/>
            <c:spPr>
              <a:solidFill>
                <a:sysClr val="windowText" lastClr="000000"/>
              </a:solidFill>
            </c:spPr>
            <c:extLst xmlns:c16r2="http://schemas.microsoft.com/office/drawing/2015/06/chart">
              <c:ext xmlns:c16="http://schemas.microsoft.com/office/drawing/2014/chart" uri="{C3380CC4-5D6E-409C-BE32-E72D297353CC}">
                <c16:uniqueId val="{00000005-B272-40DD-B800-04546776A3DD}"/>
              </c:ext>
            </c:extLst>
          </c:dPt>
          <c:dPt>
            <c:idx val="3"/>
            <c:bubble3D val="0"/>
            <c:spPr>
              <a:solidFill>
                <a:srgbClr val="0070C0"/>
              </a:solidFill>
            </c:spPr>
            <c:extLst xmlns:c16r2="http://schemas.microsoft.com/office/drawing/2015/06/chart">
              <c:ext xmlns:c16="http://schemas.microsoft.com/office/drawing/2014/chart" uri="{C3380CC4-5D6E-409C-BE32-E72D297353CC}">
                <c16:uniqueId val="{00000007-B272-40DD-B800-04546776A3DD}"/>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9-B272-40DD-B800-04546776A3DD}"/>
              </c:ext>
            </c:extLst>
          </c:dPt>
          <c:dPt>
            <c:idx val="5"/>
            <c:bubble3D val="0"/>
            <c:spPr>
              <a:solidFill>
                <a:srgbClr val="92D050"/>
              </a:solidFill>
            </c:spPr>
            <c:extLst xmlns:c16r2="http://schemas.microsoft.com/office/drawing/2015/06/chart">
              <c:ext xmlns:c16="http://schemas.microsoft.com/office/drawing/2014/chart" uri="{C3380CC4-5D6E-409C-BE32-E72D297353CC}">
                <c16:uniqueId val="{0000000B-B272-40DD-B800-04546776A3DD}"/>
              </c:ext>
            </c:extLst>
          </c:dPt>
          <c:dPt>
            <c:idx val="6"/>
            <c:bubble3D val="0"/>
            <c:spPr>
              <a:solidFill>
                <a:srgbClr val="00B050"/>
              </a:solidFill>
            </c:spPr>
            <c:extLst xmlns:c16r2="http://schemas.microsoft.com/office/drawing/2015/06/chart">
              <c:ext xmlns:c16="http://schemas.microsoft.com/office/drawing/2014/chart" uri="{C3380CC4-5D6E-409C-BE32-E72D297353CC}">
                <c16:uniqueId val="{0000000D-B272-40DD-B800-04546776A3DD}"/>
              </c:ext>
            </c:extLst>
          </c:dPt>
          <c:dPt>
            <c:idx val="7"/>
            <c:bubble3D val="0"/>
            <c:spPr>
              <a:solidFill>
                <a:srgbClr val="7030A0"/>
              </a:solidFill>
            </c:spPr>
            <c:extLst xmlns:c16r2="http://schemas.microsoft.com/office/drawing/2015/06/chart">
              <c:ext xmlns:c16="http://schemas.microsoft.com/office/drawing/2014/chart" uri="{C3380CC4-5D6E-409C-BE32-E72D297353CC}">
                <c16:uniqueId val="{0000000F-B272-40DD-B800-04546776A3DD}"/>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'graf 5.1.aDomaceProjkety'!$J$5:$J$12</c:f>
              <c:strCache>
                <c:ptCount val="8"/>
                <c:pt idx="0">
                  <c:v>UK</c:v>
                </c:pt>
                <c:pt idx="1">
                  <c:v>STU</c:v>
                </c:pt>
                <c:pt idx="2">
                  <c:v>TUKE</c:v>
                </c:pt>
                <c:pt idx="3">
                  <c:v>ŽU</c:v>
                </c:pt>
                <c:pt idx="4">
                  <c:v>UPJŠ</c:v>
                </c:pt>
                <c:pt idx="5">
                  <c:v>SPU</c:v>
                </c:pt>
                <c:pt idx="6">
                  <c:v>TUZVO</c:v>
                </c:pt>
                <c:pt idx="7">
                  <c:v>ostatní</c:v>
                </c:pt>
              </c:strCache>
            </c:strRef>
          </c:cat>
          <c:val>
            <c:numRef>
              <c:f>'graf 5.1.aDomaceProjkety'!$O$5:$O$12</c:f>
              <c:numCache>
                <c:formatCode>#,##0.00</c:formatCode>
                <c:ptCount val="8"/>
                <c:pt idx="0">
                  <c:v>26.114368495059146</c:v>
                </c:pt>
                <c:pt idx="1">
                  <c:v>18.949877173536258</c:v>
                </c:pt>
                <c:pt idx="2">
                  <c:v>10.395759005747742</c:v>
                </c:pt>
                <c:pt idx="3">
                  <c:v>9.38419062567122</c:v>
                </c:pt>
                <c:pt idx="4">
                  <c:v>7.368704125812811</c:v>
                </c:pt>
                <c:pt idx="5">
                  <c:v>4.2689153203547443</c:v>
                </c:pt>
                <c:pt idx="6">
                  <c:v>3.7482282485028677</c:v>
                </c:pt>
                <c:pt idx="7">
                  <c:v>19.7</c:v>
                </c:pt>
              </c:numCache>
            </c:numRef>
          </c:val>
          <c:extLst xmlns:c16r2="http://schemas.microsoft.com/office/drawing/2015/06/chart">
            <c:ext xmlns:c16="http://schemas.microsoft.com/office/drawing/2014/chart" uri="{C3380CC4-5D6E-409C-BE32-E72D297353CC}">
              <c16:uniqueId val="{00000010-B272-40DD-B800-04546776A3DD}"/>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k-SK" sz="1200"/>
              <a:t>b) Podiel verejných vysokých škôl na výskumných zahraničných grantoch</a:t>
            </a:r>
          </a:p>
        </c:rich>
      </c:tx>
      <c:overlay val="0"/>
    </c:title>
    <c:autoTitleDeleted val="0"/>
    <c:view3D>
      <c:rotX val="30"/>
      <c:rotY val="18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4159-4D8C-A2DC-B261FEBC0D27}"/>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4159-4D8C-A2DC-B261FEBC0D27}"/>
              </c:ext>
            </c:extLst>
          </c:dPt>
          <c:dPt>
            <c:idx val="2"/>
            <c:bubble3D val="0"/>
            <c:spPr>
              <a:solidFill>
                <a:srgbClr val="C00000"/>
              </a:solidFill>
            </c:spPr>
            <c:extLst xmlns:c16r2="http://schemas.microsoft.com/office/drawing/2015/06/chart">
              <c:ext xmlns:c16="http://schemas.microsoft.com/office/drawing/2014/chart" uri="{C3380CC4-5D6E-409C-BE32-E72D297353CC}">
                <c16:uniqueId val="{00000005-4159-4D8C-A2DC-B261FEBC0D27}"/>
              </c:ext>
            </c:extLst>
          </c:dPt>
          <c:dPt>
            <c:idx val="3"/>
            <c:bubble3D val="0"/>
            <c:spPr>
              <a:solidFill>
                <a:srgbClr val="0070C0"/>
              </a:solidFill>
            </c:spPr>
            <c:extLst xmlns:c16r2="http://schemas.microsoft.com/office/drawing/2015/06/chart">
              <c:ext xmlns:c16="http://schemas.microsoft.com/office/drawing/2014/chart" uri="{C3380CC4-5D6E-409C-BE32-E72D297353CC}">
                <c16:uniqueId val="{00000007-4159-4D8C-A2DC-B261FEBC0D27}"/>
              </c:ext>
            </c:extLst>
          </c:dPt>
          <c:dPt>
            <c:idx val="4"/>
            <c:bubble3D val="0"/>
            <c:spPr>
              <a:solidFill>
                <a:schemeClr val="tx1"/>
              </a:solidFill>
            </c:spPr>
            <c:extLst xmlns:c16r2="http://schemas.microsoft.com/office/drawing/2015/06/chart">
              <c:ext xmlns:c16="http://schemas.microsoft.com/office/drawing/2014/chart" uri="{C3380CC4-5D6E-409C-BE32-E72D297353CC}">
                <c16:uniqueId val="{00000009-4159-4D8C-A2DC-B261FEBC0D27}"/>
              </c:ext>
            </c:extLst>
          </c:dPt>
          <c:dPt>
            <c:idx val="5"/>
            <c:bubble3D val="0"/>
            <c:spPr>
              <a:solidFill>
                <a:srgbClr val="FFC000"/>
              </a:solidFill>
            </c:spPr>
            <c:extLst xmlns:c16r2="http://schemas.microsoft.com/office/drawing/2015/06/chart">
              <c:ext xmlns:c16="http://schemas.microsoft.com/office/drawing/2014/chart" uri="{C3380CC4-5D6E-409C-BE32-E72D297353CC}">
                <c16:uniqueId val="{0000000B-4159-4D8C-A2DC-B261FEBC0D27}"/>
              </c:ext>
            </c:extLst>
          </c:dPt>
          <c:dPt>
            <c:idx val="6"/>
            <c:bubble3D val="0"/>
            <c:spPr>
              <a:solidFill>
                <a:schemeClr val="bg1">
                  <a:lumMod val="50000"/>
                </a:schemeClr>
              </a:solidFill>
            </c:spPr>
            <c:extLst xmlns:c16r2="http://schemas.microsoft.com/office/drawing/2015/06/chart">
              <c:ext xmlns:c16="http://schemas.microsoft.com/office/drawing/2014/chart" uri="{C3380CC4-5D6E-409C-BE32-E72D297353CC}">
                <c16:uniqueId val="{0000000D-4159-4D8C-A2DC-B261FEBC0D27}"/>
              </c:ext>
            </c:extLst>
          </c:dPt>
          <c:dPt>
            <c:idx val="7"/>
            <c:bubble3D val="0"/>
            <c:spPr>
              <a:solidFill>
                <a:srgbClr val="7030A0"/>
              </a:solidFill>
            </c:spPr>
            <c:extLst xmlns:c16r2="http://schemas.microsoft.com/office/drawing/2015/06/chart">
              <c:ext xmlns:c16="http://schemas.microsoft.com/office/drawing/2014/chart" uri="{C3380CC4-5D6E-409C-BE32-E72D297353CC}">
                <c16:uniqueId val="{0000000F-4159-4D8C-A2DC-B261FEBC0D27}"/>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'graf 5.1.bVyskumneProjekty'!$J$5:$J$12</c:f>
              <c:strCache>
                <c:ptCount val="8"/>
                <c:pt idx="0">
                  <c:v>TUAD</c:v>
                </c:pt>
                <c:pt idx="1">
                  <c:v>UK</c:v>
                </c:pt>
                <c:pt idx="2">
                  <c:v>STU</c:v>
                </c:pt>
                <c:pt idx="3">
                  <c:v>ŽU</c:v>
                </c:pt>
                <c:pt idx="4">
                  <c:v>TUKE</c:v>
                </c:pt>
                <c:pt idx="5">
                  <c:v>UPJŠ</c:v>
                </c:pt>
                <c:pt idx="6">
                  <c:v>EU</c:v>
                </c:pt>
                <c:pt idx="7">
                  <c:v>ostatní</c:v>
                </c:pt>
              </c:strCache>
            </c:strRef>
          </c:cat>
          <c:val>
            <c:numRef>
              <c:f>'graf 5.1.bVyskumneProjekty'!$O$5:$O$12</c:f>
              <c:numCache>
                <c:formatCode>#,##0.00</c:formatCode>
                <c:ptCount val="8"/>
                <c:pt idx="0">
                  <c:v>23.052307765829454</c:v>
                </c:pt>
                <c:pt idx="1">
                  <c:v>18.276519759966185</c:v>
                </c:pt>
                <c:pt idx="2">
                  <c:v>15.455789427056224</c:v>
                </c:pt>
                <c:pt idx="3">
                  <c:v>10.722438277198002</c:v>
                </c:pt>
                <c:pt idx="4">
                  <c:v>9.0443613604996269</c:v>
                </c:pt>
                <c:pt idx="5">
                  <c:v>8.4464566734089122</c:v>
                </c:pt>
                <c:pt idx="6">
                  <c:v>4.6196638939089771</c:v>
                </c:pt>
                <c:pt idx="7">
                  <c:v>10.38</c:v>
                </c:pt>
              </c:numCache>
            </c:numRef>
          </c:val>
          <c:extLst xmlns:c16r2="http://schemas.microsoft.com/office/drawing/2015/06/chart">
            <c:ext xmlns:c16="http://schemas.microsoft.com/office/drawing/2014/chart" uri="{C3380CC4-5D6E-409C-BE32-E72D297353CC}">
              <c16:uniqueId val="{00000010-4159-4D8C-A2DC-B261FEBC0D27}"/>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200"/>
              <a:t>c) </a:t>
            </a:r>
            <a:r>
              <a:rPr lang="en-US" sz="1200"/>
              <a:t>Podiel verejných vysokých</a:t>
            </a:r>
            <a:r>
              <a:rPr lang="sk-SK" sz="1200"/>
              <a:t> škôl</a:t>
            </a:r>
            <a:r>
              <a:rPr lang="en-US" sz="1200"/>
              <a:t> </a:t>
            </a:r>
            <a:r>
              <a:rPr lang="sk-SK" sz="1200"/>
              <a:t>na výskumných projektoch od iných subjektov</a:t>
            </a:r>
          </a:p>
        </c:rich>
      </c:tx>
      <c:overlay val="0"/>
    </c:title>
    <c:autoTitleDeleted val="0"/>
    <c:view3D>
      <c:rotX val="30"/>
      <c:rotY val="18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70C0"/>
              </a:solidFill>
              <a:ln>
                <a:solidFill>
                  <a:srgbClr val="00B0F0"/>
                </a:solidFill>
              </a:ln>
            </c:spPr>
            <c:extLst xmlns:c16r2="http://schemas.microsoft.com/office/drawing/2015/06/chart">
              <c:ext xmlns:c16="http://schemas.microsoft.com/office/drawing/2014/chart" uri="{C3380CC4-5D6E-409C-BE32-E72D297353CC}">
                <c16:uniqueId val="{00000001-EEEA-4360-B7C2-332802C11A4C}"/>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EEEA-4360-B7C2-332802C11A4C}"/>
              </c:ext>
            </c:extLst>
          </c:dPt>
          <c:dPt>
            <c:idx val="2"/>
            <c:bubble3D val="0"/>
            <c:spPr>
              <a:solidFill>
                <a:schemeClr val="tx1"/>
              </a:solidFill>
            </c:spPr>
            <c:extLst xmlns:c16r2="http://schemas.microsoft.com/office/drawing/2015/06/chart">
              <c:ext xmlns:c16="http://schemas.microsoft.com/office/drawing/2014/chart" uri="{C3380CC4-5D6E-409C-BE32-E72D297353CC}">
                <c16:uniqueId val="{00000005-EEEA-4360-B7C2-332802C11A4C}"/>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EEEA-4360-B7C2-332802C11A4C}"/>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EEEA-4360-B7C2-332802C11A4C}"/>
              </c:ext>
            </c:extLst>
          </c:dPt>
          <c:dPt>
            <c:idx val="5"/>
            <c:bubble3D val="0"/>
            <c:spPr>
              <a:solidFill>
                <a:srgbClr val="FF0000"/>
              </a:solidFill>
            </c:spPr>
            <c:extLst xmlns:c16r2="http://schemas.microsoft.com/office/drawing/2015/06/chart">
              <c:ext xmlns:c16="http://schemas.microsoft.com/office/drawing/2014/chart" uri="{C3380CC4-5D6E-409C-BE32-E72D297353CC}">
                <c16:uniqueId val="{0000000B-EEEA-4360-B7C2-332802C11A4C}"/>
              </c:ext>
            </c:extLst>
          </c:dPt>
          <c:dPt>
            <c:idx val="6"/>
            <c:bubble3D val="0"/>
            <c:spPr>
              <a:solidFill>
                <a:srgbClr val="7030A0"/>
              </a:solidFill>
            </c:spPr>
            <c:extLst xmlns:c16r2="http://schemas.microsoft.com/office/drawing/2015/06/chart">
              <c:ext xmlns:c16="http://schemas.microsoft.com/office/drawing/2014/chart" uri="{C3380CC4-5D6E-409C-BE32-E72D297353CC}">
                <c16:uniqueId val="{0000000D-EEEA-4360-B7C2-332802C11A4C}"/>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'graf 5.1.cVyskumnéProjektyOdIny'!$J$5:$J$11</c:f>
              <c:strCache>
                <c:ptCount val="7"/>
                <c:pt idx="0">
                  <c:v>ŽU</c:v>
                </c:pt>
                <c:pt idx="1">
                  <c:v>STU</c:v>
                </c:pt>
                <c:pt idx="2">
                  <c:v>TUKE</c:v>
                </c:pt>
                <c:pt idx="3">
                  <c:v>SPU</c:v>
                </c:pt>
                <c:pt idx="4">
                  <c:v>UK</c:v>
                </c:pt>
                <c:pt idx="5">
                  <c:v>TUAD</c:v>
                </c:pt>
                <c:pt idx="6">
                  <c:v>ostatní</c:v>
                </c:pt>
              </c:strCache>
            </c:strRef>
          </c:cat>
          <c:val>
            <c:numRef>
              <c:f>'graf 5.1.cVyskumnéProjektyOdIny'!$O$5:$O$11</c:f>
              <c:numCache>
                <c:formatCode>#,##0.00</c:formatCode>
                <c:ptCount val="7"/>
                <c:pt idx="0">
                  <c:v>38.096840151754499</c:v>
                </c:pt>
                <c:pt idx="1">
                  <c:v>24.731159274736655</c:v>
                </c:pt>
                <c:pt idx="2">
                  <c:v>12.573129732799483</c:v>
                </c:pt>
                <c:pt idx="3">
                  <c:v>9.1121856975284317</c:v>
                </c:pt>
                <c:pt idx="4">
                  <c:v>6.9613118397234999</c:v>
                </c:pt>
                <c:pt idx="5">
                  <c:v>3.6055079159118599</c:v>
                </c:pt>
                <c:pt idx="6">
                  <c:v>4.92</c:v>
                </c:pt>
              </c:numCache>
            </c:numRef>
          </c:val>
          <c:extLst xmlns:c16r2="http://schemas.microsoft.com/office/drawing/2015/06/chart">
            <c:ext xmlns:c16="http://schemas.microsoft.com/office/drawing/2014/chart" uri="{C3380CC4-5D6E-409C-BE32-E72D297353CC}">
              <c16:uniqueId val="{0000000E-EEEA-4360-B7C2-332802C11A4C}"/>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sk-SK" sz="1200"/>
              <a:t>d) </a:t>
            </a:r>
            <a:r>
              <a:rPr lang="en-US" sz="1200"/>
              <a:t>Podiel verejných vysokých</a:t>
            </a:r>
            <a:r>
              <a:rPr lang="sk-SK" sz="1200"/>
              <a:t> škôl</a:t>
            </a:r>
            <a:r>
              <a:rPr lang="en-US" sz="1200"/>
              <a:t> </a:t>
            </a:r>
            <a:r>
              <a:rPr lang="sk-SK" sz="1200"/>
              <a:t>na ostatných zahraničných grantoch</a:t>
            </a:r>
          </a:p>
        </c:rich>
      </c:tx>
      <c:overlay val="0"/>
    </c:title>
    <c:autoTitleDeleted val="0"/>
    <c:view3D>
      <c:rotX val="30"/>
      <c:rotY val="29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92D050"/>
              </a:solidFill>
            </c:spPr>
            <c:extLst xmlns:c16r2="http://schemas.microsoft.com/office/drawing/2015/06/chart">
              <c:ext xmlns:c16="http://schemas.microsoft.com/office/drawing/2014/chart" uri="{C3380CC4-5D6E-409C-BE32-E72D297353CC}">
                <c16:uniqueId val="{00000001-9B0F-42A1-8B61-48084966CA49}"/>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9B0F-42A1-8B61-48084966CA49}"/>
              </c:ext>
            </c:extLst>
          </c:dPt>
          <c:dPt>
            <c:idx val="2"/>
            <c:bubble3D val="0"/>
            <c:spPr>
              <a:solidFill>
                <a:schemeClr val="bg1">
                  <a:lumMod val="50000"/>
                </a:schemeClr>
              </a:solidFill>
            </c:spPr>
            <c:extLst xmlns:c16r2="http://schemas.microsoft.com/office/drawing/2015/06/chart">
              <c:ext xmlns:c16="http://schemas.microsoft.com/office/drawing/2014/chart" uri="{C3380CC4-5D6E-409C-BE32-E72D297353CC}">
                <c16:uniqueId val="{00000005-9B0F-42A1-8B61-48084966CA49}"/>
              </c:ext>
            </c:extLst>
          </c:dPt>
          <c:dPt>
            <c:idx val="3"/>
            <c:bubble3D val="0"/>
            <c:spPr>
              <a:solidFill>
                <a:schemeClr val="accent5">
                  <a:lumMod val="20000"/>
                  <a:lumOff val="80000"/>
                </a:schemeClr>
              </a:solidFill>
              <a:ln>
                <a:solidFill>
                  <a:schemeClr val="accent5">
                    <a:lumMod val="40000"/>
                    <a:lumOff val="60000"/>
                  </a:schemeClr>
                </a:solidFill>
              </a:ln>
            </c:spPr>
            <c:extLst xmlns:c16r2="http://schemas.microsoft.com/office/drawing/2015/06/chart">
              <c:ext xmlns:c16="http://schemas.microsoft.com/office/drawing/2014/chart" uri="{C3380CC4-5D6E-409C-BE32-E72D297353CC}">
                <c16:uniqueId val="{00000007-9B0F-42A1-8B61-48084966CA49}"/>
              </c:ext>
            </c:extLst>
          </c:dPt>
          <c:dPt>
            <c:idx val="4"/>
            <c:bubble3D val="0"/>
            <c:spPr>
              <a:solidFill>
                <a:srgbClr val="0070C0"/>
              </a:solidFill>
            </c:spPr>
            <c:extLst xmlns:c16r2="http://schemas.microsoft.com/office/drawing/2015/06/chart">
              <c:ext xmlns:c16="http://schemas.microsoft.com/office/drawing/2014/chart" uri="{C3380CC4-5D6E-409C-BE32-E72D297353CC}">
                <c16:uniqueId val="{00000009-9B0F-42A1-8B61-48084966CA49}"/>
              </c:ext>
            </c:extLst>
          </c:dPt>
          <c:dPt>
            <c:idx val="5"/>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B-9B0F-42A1-8B61-48084966CA49}"/>
              </c:ext>
            </c:extLst>
          </c:dPt>
          <c:dPt>
            <c:idx val="6"/>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D-9B0F-42A1-8B61-48084966CA49}"/>
              </c:ext>
            </c:extLst>
          </c:dPt>
          <c:dPt>
            <c:idx val="7"/>
            <c:bubble3D val="0"/>
            <c:spPr>
              <a:solidFill>
                <a:schemeClr val="accent2">
                  <a:lumMod val="50000"/>
                </a:schemeClr>
              </a:solidFill>
            </c:spPr>
            <c:extLst xmlns:c16r2="http://schemas.microsoft.com/office/drawing/2015/06/chart">
              <c:ext xmlns:c16="http://schemas.microsoft.com/office/drawing/2014/chart" uri="{C3380CC4-5D6E-409C-BE32-E72D297353CC}">
                <c16:uniqueId val="{0000000F-9B0F-42A1-8B61-48084966CA49}"/>
              </c:ext>
            </c:extLst>
          </c:dPt>
          <c:dPt>
            <c:idx val="8"/>
            <c:bubble3D val="0"/>
            <c:spPr>
              <a:solidFill>
                <a:srgbClr val="00B050"/>
              </a:solidFill>
            </c:spPr>
            <c:extLst xmlns:c16r2="http://schemas.microsoft.com/office/drawing/2015/06/chart">
              <c:ext xmlns:c16="http://schemas.microsoft.com/office/drawing/2014/chart" uri="{C3380CC4-5D6E-409C-BE32-E72D297353CC}">
                <c16:uniqueId val="{00000011-9B0F-42A1-8B61-48084966CA49}"/>
              </c:ext>
            </c:extLst>
          </c:dPt>
          <c:dPt>
            <c:idx val="10"/>
            <c:bubble3D val="0"/>
            <c:spPr>
              <a:solidFill>
                <a:schemeClr val="tx1"/>
              </a:solidFill>
            </c:spPr>
            <c:extLst xmlns:c16r2="http://schemas.microsoft.com/office/drawing/2015/06/chart">
              <c:ext xmlns:c16="http://schemas.microsoft.com/office/drawing/2014/chart" uri="{C3380CC4-5D6E-409C-BE32-E72D297353CC}">
                <c16:uniqueId val="{00000013-9B0F-42A1-8B61-48084966CA49}"/>
              </c:ext>
            </c:extLst>
          </c:dPt>
          <c:dPt>
            <c:idx val="11"/>
            <c:bubble3D val="0"/>
            <c:spPr>
              <a:solidFill>
                <a:srgbClr val="7030A0"/>
              </a:solidFill>
            </c:spPr>
            <c:extLst xmlns:c16r2="http://schemas.microsoft.com/office/drawing/2015/06/chart">
              <c:ext xmlns:c16="http://schemas.microsoft.com/office/drawing/2014/chart" uri="{C3380CC4-5D6E-409C-BE32-E72D297353CC}">
                <c16:uniqueId val="{00000015-9B0F-42A1-8B61-48084966CA49}"/>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'graf 5.1.dOstatnéZahraničnéGran'!$J$5:$J$16</c:f>
              <c:strCache>
                <c:ptCount val="12"/>
                <c:pt idx="0">
                  <c:v>SPU</c:v>
                </c:pt>
                <c:pt idx="1">
                  <c:v>STU</c:v>
                </c:pt>
                <c:pt idx="2">
                  <c:v>EU</c:v>
                </c:pt>
                <c:pt idx="3">
                  <c:v>UJS</c:v>
                </c:pt>
                <c:pt idx="4">
                  <c:v>ŽU</c:v>
                </c:pt>
                <c:pt idx="5">
                  <c:v>UKF</c:v>
                </c:pt>
                <c:pt idx="6">
                  <c:v>UMB</c:v>
                </c:pt>
                <c:pt idx="7">
                  <c:v>PU</c:v>
                </c:pt>
                <c:pt idx="8">
                  <c:v>TUZVO</c:v>
                </c:pt>
                <c:pt idx="9">
                  <c:v>KU</c:v>
                </c:pt>
                <c:pt idx="10">
                  <c:v>TUKE</c:v>
                </c:pt>
                <c:pt idx="11">
                  <c:v>ostatní</c:v>
                </c:pt>
              </c:strCache>
            </c:strRef>
          </c:cat>
          <c:val>
            <c:numRef>
              <c:f>'graf 5.1.dOstatnéZahraničnéGran'!$O$5:$O$16</c:f>
              <c:numCache>
                <c:formatCode>#,##0.00</c:formatCode>
                <c:ptCount val="12"/>
                <c:pt idx="0">
                  <c:v>12.994374780781435</c:v>
                </c:pt>
                <c:pt idx="1">
                  <c:v>11.276868158594276</c:v>
                </c:pt>
                <c:pt idx="2">
                  <c:v>11.048712987955128</c:v>
                </c:pt>
                <c:pt idx="3">
                  <c:v>9.9919692273670595</c:v>
                </c:pt>
                <c:pt idx="4">
                  <c:v>9.4939148431784233</c:v>
                </c:pt>
                <c:pt idx="5">
                  <c:v>7.4339427664160018</c:v>
                </c:pt>
                <c:pt idx="6">
                  <c:v>7.2644321903492699</c:v>
                </c:pt>
                <c:pt idx="7">
                  <c:v>4.233908560561356</c:v>
                </c:pt>
                <c:pt idx="8">
                  <c:v>3.9005678251795053</c:v>
                </c:pt>
                <c:pt idx="9">
                  <c:v>3.7160001110373004</c:v>
                </c:pt>
                <c:pt idx="10">
                  <c:v>3.0415717561056121</c:v>
                </c:pt>
                <c:pt idx="11">
                  <c:v>15.6</c:v>
                </c:pt>
              </c:numCache>
            </c:numRef>
          </c:val>
          <c:extLst xmlns:c16r2="http://schemas.microsoft.com/office/drawing/2015/06/chart">
            <c:ext xmlns:c16="http://schemas.microsoft.com/office/drawing/2014/chart" uri="{C3380CC4-5D6E-409C-BE32-E72D297353CC}">
              <c16:uniqueId val="{00000016-9B0F-42A1-8B61-48084966CA49}"/>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1-93D1-4DE7-944D-FEB63616EAF6}"/>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93D1-4DE7-944D-FEB63616EAF6}"/>
              </c:ext>
            </c:extLst>
          </c:dPt>
          <c:dPt>
            <c:idx val="2"/>
            <c:bubble3D val="0"/>
            <c:spPr>
              <a:solidFill>
                <a:srgbClr val="C00000"/>
              </a:solidFill>
            </c:spPr>
            <c:extLst xmlns:c16r2="http://schemas.microsoft.com/office/drawing/2015/06/chart">
              <c:ext xmlns:c16="http://schemas.microsoft.com/office/drawing/2014/chart" uri="{C3380CC4-5D6E-409C-BE32-E72D297353CC}">
                <c16:uniqueId val="{00000005-93D1-4DE7-944D-FEB63616EAF6}"/>
              </c:ext>
            </c:extLst>
          </c:dPt>
          <c:dPt>
            <c:idx val="3"/>
            <c:bubble3D val="0"/>
            <c:spPr>
              <a:solidFill>
                <a:schemeClr val="tx1"/>
              </a:solidFill>
            </c:spPr>
            <c:extLst xmlns:c16r2="http://schemas.microsoft.com/office/drawing/2015/06/chart">
              <c:ext xmlns:c16="http://schemas.microsoft.com/office/drawing/2014/chart" uri="{C3380CC4-5D6E-409C-BE32-E72D297353CC}">
                <c16:uniqueId val="{00000007-93D1-4DE7-944D-FEB63616EAF6}"/>
              </c:ext>
            </c:extLst>
          </c:dPt>
          <c:dPt>
            <c:idx val="4"/>
            <c:bubble3D val="0"/>
            <c:spPr>
              <a:solidFill>
                <a:srgbClr val="0070C0"/>
              </a:solidFill>
            </c:spPr>
            <c:extLst xmlns:c16r2="http://schemas.microsoft.com/office/drawing/2015/06/chart">
              <c:ext xmlns:c16="http://schemas.microsoft.com/office/drawing/2014/chart" uri="{C3380CC4-5D6E-409C-BE32-E72D297353CC}">
                <c16:uniqueId val="{00000009-93D1-4DE7-944D-FEB63616EAF6}"/>
              </c:ext>
            </c:extLst>
          </c:dPt>
          <c:dPt>
            <c:idx val="5"/>
            <c:bubble3D val="0"/>
            <c:spPr>
              <a:solidFill>
                <a:srgbClr val="00B050"/>
              </a:solidFill>
            </c:spPr>
            <c:extLst xmlns:c16r2="http://schemas.microsoft.com/office/drawing/2015/06/chart">
              <c:ext xmlns:c16="http://schemas.microsoft.com/office/drawing/2014/chart" uri="{C3380CC4-5D6E-409C-BE32-E72D297353CC}">
                <c16:uniqueId val="{0000000B-93D1-4DE7-944D-FEB63616EAF6}"/>
              </c:ext>
            </c:extLst>
          </c:dPt>
          <c:dPt>
            <c:idx val="6"/>
            <c:bubble3D val="0"/>
            <c:spPr>
              <a:solidFill>
                <a:srgbClr val="7030A0"/>
              </a:solidFill>
            </c:spPr>
            <c:extLst xmlns:c16r2="http://schemas.microsoft.com/office/drawing/2015/06/chart">
              <c:ext xmlns:c16="http://schemas.microsoft.com/office/drawing/2014/chart" uri="{C3380CC4-5D6E-409C-BE32-E72D297353CC}">
                <c16:uniqueId val="{0000000D-93D1-4DE7-944D-FEB63616EAF6}"/>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'graf 5.2.PublikačnáČinnosť'!$K$5:$K$11</c:f>
              <c:strCache>
                <c:ptCount val="7"/>
                <c:pt idx="0">
                  <c:v>UK</c:v>
                </c:pt>
                <c:pt idx="1">
                  <c:v>UPJŠ</c:v>
                </c:pt>
                <c:pt idx="2">
                  <c:v>STU</c:v>
                </c:pt>
                <c:pt idx="3">
                  <c:v>TUKE</c:v>
                </c:pt>
                <c:pt idx="4">
                  <c:v>ŽU</c:v>
                </c:pt>
                <c:pt idx="5">
                  <c:v>TUZVO</c:v>
                </c:pt>
                <c:pt idx="6">
                  <c:v>ostatní</c:v>
                </c:pt>
              </c:strCache>
            </c:strRef>
          </c:cat>
          <c:val>
            <c:numRef>
              <c:f>'graf 5.2.PublikačnáČinnosť'!$M$5:$M$11</c:f>
              <c:numCache>
                <c:formatCode>#,##0.00</c:formatCode>
                <c:ptCount val="7"/>
                <c:pt idx="0">
                  <c:v>26.045104432364717</c:v>
                </c:pt>
                <c:pt idx="1">
                  <c:v>14.303059056570225</c:v>
                </c:pt>
                <c:pt idx="2">
                  <c:v>12.266937956775262</c:v>
                </c:pt>
                <c:pt idx="3">
                  <c:v>11.653010715030549</c:v>
                </c:pt>
                <c:pt idx="4">
                  <c:v>4.9650500945679896</c:v>
                </c:pt>
                <c:pt idx="5">
                  <c:v>4.8734984709390847</c:v>
                </c:pt>
                <c:pt idx="6">
                  <c:v>25.89</c:v>
                </c:pt>
              </c:numCache>
            </c:numRef>
          </c:val>
          <c:extLst xmlns:c16r2="http://schemas.microsoft.com/office/drawing/2015/06/chart">
            <c:ext xmlns:c16="http://schemas.microsoft.com/office/drawing/2014/chart" uri="{C3380CC4-5D6E-409C-BE32-E72D297353CC}">
              <c16:uniqueId val="{0000000E-93D1-4DE7-944D-FEB63616EAF6}"/>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sk-SK" sz="1200"/>
              <a:t>a) Domáce výskumné granty</a:t>
            </a:r>
          </a:p>
        </c:rich>
      </c:tx>
      <c:overlay val="0"/>
    </c:title>
    <c:autoTitleDeleted val="0"/>
    <c:plotArea>
      <c:layout/>
      <c:lineChart>
        <c:grouping val="standard"/>
        <c:varyColors val="0"/>
        <c:ser>
          <c:idx val="0"/>
          <c:order val="0"/>
          <c:tx>
            <c:strRef>
              <c:f>'graf.5.3a.domace granty'!$B$30</c:f>
              <c:strCache>
                <c:ptCount val="1"/>
                <c:pt idx="0">
                  <c:v>UK Bratislava</c:v>
                </c:pt>
              </c:strCache>
            </c:strRef>
          </c:tx>
          <c:spPr>
            <a:ln>
              <a:solidFill>
                <a:srgbClr val="00B0F0"/>
              </a:solidFill>
            </a:ln>
          </c:spPr>
          <c:marker>
            <c:spPr>
              <a:solidFill>
                <a:srgbClr val="00B0F0"/>
              </a:solidFill>
              <a:ln>
                <a:solidFill>
                  <a:srgbClr val="00B0F0"/>
                </a:solidFill>
              </a:ln>
            </c:spPr>
          </c:marker>
          <c:cat>
            <c:numRef>
              <c:f>'graf.5.3a.domace granty'!$C$29:$K$29</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'graf.5.3a.domace granty'!$C$30:$K$30</c:f>
              <c:numCache>
                <c:formatCode>#,##0</c:formatCode>
                <c:ptCount val="9"/>
                <c:pt idx="0">
                  <c:v>7577764.3096288908</c:v>
                </c:pt>
                <c:pt idx="1">
                  <c:v>5013813.830000001</c:v>
                </c:pt>
                <c:pt idx="2">
                  <c:v>4630246.4800000004</c:v>
                </c:pt>
                <c:pt idx="3">
                  <c:v>5916164</c:v>
                </c:pt>
                <c:pt idx="4">
                  <c:v>6328316.29</c:v>
                </c:pt>
                <c:pt idx="5">
                  <c:v>7139989</c:v>
                </c:pt>
                <c:pt idx="6">
                  <c:v>7737188.5</c:v>
                </c:pt>
                <c:pt idx="7">
                  <c:v>7626962.251086235</c:v>
                </c:pt>
                <c:pt idx="8">
                  <c:v>8762540.4849131964</c:v>
                </c:pt>
              </c:numCache>
            </c:numRef>
          </c:val>
          <c:smooth val="0"/>
          <c:extLst xmlns:c16r2="http://schemas.microsoft.com/office/drawing/2015/06/chart">
            <c:ext xmlns:c16="http://schemas.microsoft.com/office/drawing/2014/chart" uri="{C3380CC4-5D6E-409C-BE32-E72D297353CC}">
              <c16:uniqueId val="{00000000-12FE-4382-BE52-8CC75FB3CD72}"/>
            </c:ext>
          </c:extLst>
        </c:ser>
        <c:ser>
          <c:idx val="1"/>
          <c:order val="1"/>
          <c:tx>
            <c:strRef>
              <c:f>'graf.5.3a.domace granty'!$B$31</c:f>
              <c:strCache>
                <c:ptCount val="1"/>
                <c:pt idx="0">
                  <c:v>UPJŠ Košice</c:v>
                </c:pt>
              </c:strCache>
            </c:strRef>
          </c:tx>
          <c:spPr>
            <a:ln>
              <a:solidFill>
                <a:srgbClr val="FF9900"/>
              </a:solidFill>
            </a:ln>
          </c:spPr>
          <c:marker>
            <c:spPr>
              <a:solidFill>
                <a:srgbClr val="FFC000"/>
              </a:solidFill>
              <a:ln>
                <a:solidFill>
                  <a:srgbClr val="FF9900"/>
                </a:solidFill>
              </a:ln>
            </c:spPr>
          </c:marker>
          <c:cat>
            <c:numRef>
              <c:f>'graf.5.3a.domace granty'!$C$29:$K$29</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'graf.5.3a.domace granty'!$C$31:$K$31</c:f>
              <c:numCache>
                <c:formatCode>#,##0</c:formatCode>
                <c:ptCount val="9"/>
                <c:pt idx="0">
                  <c:v>2161540.64</c:v>
                </c:pt>
                <c:pt idx="1">
                  <c:v>2133207.7500000005</c:v>
                </c:pt>
                <c:pt idx="2">
                  <c:v>1365933.97</c:v>
                </c:pt>
                <c:pt idx="3">
                  <c:v>1726536</c:v>
                </c:pt>
                <c:pt idx="4">
                  <c:v>1777863</c:v>
                </c:pt>
                <c:pt idx="5">
                  <c:v>1944418</c:v>
                </c:pt>
                <c:pt idx="6">
                  <c:v>2014771.18</c:v>
                </c:pt>
                <c:pt idx="7">
                  <c:v>1989268</c:v>
                </c:pt>
                <c:pt idx="8">
                  <c:v>2635366</c:v>
                </c:pt>
              </c:numCache>
            </c:numRef>
          </c:val>
          <c:smooth val="0"/>
          <c:extLst xmlns:c16r2="http://schemas.microsoft.com/office/drawing/2015/06/chart">
            <c:ext xmlns:c16="http://schemas.microsoft.com/office/drawing/2014/chart" uri="{C3380CC4-5D6E-409C-BE32-E72D297353CC}">
              <c16:uniqueId val="{00000001-12FE-4382-BE52-8CC75FB3CD72}"/>
            </c:ext>
          </c:extLst>
        </c:ser>
        <c:ser>
          <c:idx val="2"/>
          <c:order val="2"/>
          <c:tx>
            <c:strRef>
              <c:f>'graf.5.3a.domace granty'!$B$32</c:f>
              <c:strCache>
                <c:ptCount val="1"/>
                <c:pt idx="0">
                  <c:v>STU Bratislava</c:v>
                </c:pt>
              </c:strCache>
            </c:strRef>
          </c:tx>
          <c:spPr>
            <a:ln>
              <a:solidFill>
                <a:srgbClr val="C00000"/>
              </a:solidFill>
            </a:ln>
          </c:spPr>
          <c:marker>
            <c:spPr>
              <a:solidFill>
                <a:srgbClr val="C00000"/>
              </a:solidFill>
              <a:ln>
                <a:solidFill>
                  <a:srgbClr val="C00000"/>
                </a:solidFill>
              </a:ln>
            </c:spPr>
          </c:marker>
          <c:cat>
            <c:numRef>
              <c:f>'graf.5.3a.domace granty'!$C$29:$K$29</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'graf.5.3a.domace granty'!$C$32:$K$32</c:f>
              <c:numCache>
                <c:formatCode>#,##0</c:formatCode>
                <c:ptCount val="9"/>
                <c:pt idx="0">
                  <c:v>8096187.9550000001</c:v>
                </c:pt>
                <c:pt idx="1">
                  <c:v>7169330.7800000003</c:v>
                </c:pt>
                <c:pt idx="2">
                  <c:v>4122964.2300000004</c:v>
                </c:pt>
                <c:pt idx="3">
                  <c:v>4229140</c:v>
                </c:pt>
                <c:pt idx="4">
                  <c:v>4605369</c:v>
                </c:pt>
                <c:pt idx="5">
                  <c:v>6142930</c:v>
                </c:pt>
                <c:pt idx="6">
                  <c:v>5237267.95</c:v>
                </c:pt>
                <c:pt idx="7">
                  <c:v>5586700</c:v>
                </c:pt>
                <c:pt idx="8">
                  <c:v>6306333.6699999999</c:v>
                </c:pt>
              </c:numCache>
            </c:numRef>
          </c:val>
          <c:smooth val="0"/>
          <c:extLst xmlns:c16r2="http://schemas.microsoft.com/office/drawing/2015/06/chart">
            <c:ext xmlns:c16="http://schemas.microsoft.com/office/drawing/2014/chart" uri="{C3380CC4-5D6E-409C-BE32-E72D297353CC}">
              <c16:uniqueId val="{00000002-12FE-4382-BE52-8CC75FB3CD72}"/>
            </c:ext>
          </c:extLst>
        </c:ser>
        <c:ser>
          <c:idx val="3"/>
          <c:order val="3"/>
          <c:tx>
            <c:strRef>
              <c:f>'graf.5.3a.domace granty'!$B$33</c:f>
              <c:strCache>
                <c:ptCount val="1"/>
                <c:pt idx="0">
                  <c:v>TU Košice</c:v>
                </c:pt>
              </c:strCache>
            </c:strRef>
          </c:tx>
          <c:spPr>
            <a:ln>
              <a:solidFill>
                <a:schemeClr val="tx1"/>
              </a:solidFill>
            </a:ln>
          </c:spPr>
          <c:marker>
            <c:spPr>
              <a:solidFill>
                <a:schemeClr val="tx1"/>
              </a:solidFill>
              <a:ln>
                <a:solidFill>
                  <a:schemeClr val="tx1"/>
                </a:solidFill>
              </a:ln>
            </c:spPr>
          </c:marker>
          <c:cat>
            <c:numRef>
              <c:f>'graf.5.3a.domace granty'!$C$29:$K$29</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'graf.5.3a.domace granty'!$C$33:$K$33</c:f>
              <c:numCache>
                <c:formatCode>#,##0</c:formatCode>
                <c:ptCount val="9"/>
                <c:pt idx="0">
                  <c:v>2657416.9499999997</c:v>
                </c:pt>
                <c:pt idx="1">
                  <c:v>2268121.0300000003</c:v>
                </c:pt>
                <c:pt idx="2">
                  <c:v>1963841</c:v>
                </c:pt>
                <c:pt idx="3">
                  <c:v>2214696</c:v>
                </c:pt>
                <c:pt idx="4">
                  <c:v>2000055</c:v>
                </c:pt>
                <c:pt idx="5">
                  <c:v>2595115</c:v>
                </c:pt>
                <c:pt idx="6">
                  <c:v>2542121.19</c:v>
                </c:pt>
                <c:pt idx="7">
                  <c:v>2919875</c:v>
                </c:pt>
                <c:pt idx="8">
                  <c:v>3604553.14</c:v>
                </c:pt>
              </c:numCache>
            </c:numRef>
          </c:val>
          <c:smooth val="0"/>
          <c:extLst xmlns:c16r2="http://schemas.microsoft.com/office/drawing/2015/06/chart">
            <c:ext xmlns:c16="http://schemas.microsoft.com/office/drawing/2014/chart" uri="{C3380CC4-5D6E-409C-BE32-E72D297353CC}">
              <c16:uniqueId val="{00000003-12FE-4382-BE52-8CC75FB3CD72}"/>
            </c:ext>
          </c:extLst>
        </c:ser>
        <c:ser>
          <c:idx val="4"/>
          <c:order val="4"/>
          <c:tx>
            <c:strRef>
              <c:f>'graf.5.3a.domace granty'!$B$34</c:f>
              <c:strCache>
                <c:ptCount val="1"/>
                <c:pt idx="0">
                  <c:v>ŽU Žilina</c:v>
                </c:pt>
              </c:strCache>
            </c:strRef>
          </c:tx>
          <c:spPr>
            <a:ln>
              <a:solidFill>
                <a:srgbClr val="0070C0"/>
              </a:solidFill>
            </a:ln>
          </c:spPr>
          <c:marker>
            <c:spPr>
              <a:solidFill>
                <a:srgbClr val="0070C0"/>
              </a:solidFill>
              <a:ln>
                <a:solidFill>
                  <a:srgbClr val="0070C0"/>
                </a:solidFill>
              </a:ln>
            </c:spPr>
          </c:marker>
          <c:cat>
            <c:numRef>
              <c:f>'graf.5.3a.domace granty'!$C$29:$K$29</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'graf.5.3a.domace granty'!$C$34:$K$34</c:f>
              <c:numCache>
                <c:formatCode>#,##0</c:formatCode>
                <c:ptCount val="9"/>
                <c:pt idx="0">
                  <c:v>3360384.72</c:v>
                </c:pt>
                <c:pt idx="1">
                  <c:v>3410616.1787</c:v>
                </c:pt>
                <c:pt idx="2">
                  <c:v>1732040.6600000001</c:v>
                </c:pt>
                <c:pt idx="3">
                  <c:v>2196635</c:v>
                </c:pt>
                <c:pt idx="4">
                  <c:v>2301924.7800000003</c:v>
                </c:pt>
                <c:pt idx="5">
                  <c:v>2234895</c:v>
                </c:pt>
                <c:pt idx="6">
                  <c:v>2127693.2800000003</c:v>
                </c:pt>
                <c:pt idx="7">
                  <c:v>2573267</c:v>
                </c:pt>
                <c:pt idx="8">
                  <c:v>3316295.98</c:v>
                </c:pt>
              </c:numCache>
            </c:numRef>
          </c:val>
          <c:smooth val="0"/>
          <c:extLst xmlns:c16r2="http://schemas.microsoft.com/office/drawing/2015/06/chart">
            <c:ext xmlns:c16="http://schemas.microsoft.com/office/drawing/2014/chart" uri="{C3380CC4-5D6E-409C-BE32-E72D297353CC}">
              <c16:uniqueId val="{00000004-12FE-4382-BE52-8CC75FB3CD72}"/>
            </c:ext>
          </c:extLst>
        </c:ser>
        <c:ser>
          <c:idx val="5"/>
          <c:order val="5"/>
          <c:tx>
            <c:strRef>
              <c:f>'graf.5.3a.domace granty'!$B$35</c:f>
              <c:strCache>
                <c:ptCount val="1"/>
                <c:pt idx="0">
                  <c:v>SPU Nitra</c:v>
                </c:pt>
              </c:strCache>
            </c:strRef>
          </c:tx>
          <c:spPr>
            <a:ln>
              <a:solidFill>
                <a:srgbClr val="92D050"/>
              </a:solidFill>
            </a:ln>
          </c:spPr>
          <c:marker>
            <c:spPr>
              <a:solidFill>
                <a:srgbClr val="92D050"/>
              </a:solidFill>
              <a:ln>
                <a:solidFill>
                  <a:srgbClr val="92D050"/>
                </a:solidFill>
              </a:ln>
            </c:spPr>
          </c:marker>
          <c:cat>
            <c:numRef>
              <c:f>'graf.5.3a.domace granty'!$C$29:$K$29</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'graf.5.3a.domace granty'!$C$35:$K$35</c:f>
              <c:numCache>
                <c:formatCode>#,##0</c:formatCode>
                <c:ptCount val="9"/>
                <c:pt idx="0">
                  <c:v>1562518.13</c:v>
                </c:pt>
                <c:pt idx="1">
                  <c:v>840743.26</c:v>
                </c:pt>
                <c:pt idx="2">
                  <c:v>758364.73</c:v>
                </c:pt>
                <c:pt idx="3">
                  <c:v>687393</c:v>
                </c:pt>
                <c:pt idx="4">
                  <c:v>927555</c:v>
                </c:pt>
                <c:pt idx="5">
                  <c:v>1142264</c:v>
                </c:pt>
                <c:pt idx="6">
                  <c:v>1155521.5</c:v>
                </c:pt>
                <c:pt idx="7">
                  <c:v>1156909.5</c:v>
                </c:pt>
                <c:pt idx="8">
                  <c:v>1522282.2</c:v>
                </c:pt>
              </c:numCache>
            </c:numRef>
          </c:val>
          <c:smooth val="0"/>
          <c:extLst xmlns:c16r2="http://schemas.microsoft.com/office/drawing/2015/06/chart">
            <c:ext xmlns:c16="http://schemas.microsoft.com/office/drawing/2014/chart" uri="{C3380CC4-5D6E-409C-BE32-E72D297353CC}">
              <c16:uniqueId val="{00000005-12FE-4382-BE52-8CC75FB3CD72}"/>
            </c:ext>
          </c:extLst>
        </c:ser>
        <c:ser>
          <c:idx val="6"/>
          <c:order val="6"/>
          <c:tx>
            <c:strRef>
              <c:f>'graf.5.3a.domace granty'!$B$36</c:f>
              <c:strCache>
                <c:ptCount val="1"/>
                <c:pt idx="0">
                  <c:v>TU Zvolen</c:v>
                </c:pt>
              </c:strCache>
            </c:strRef>
          </c:tx>
          <c:spPr>
            <a:ln>
              <a:solidFill>
                <a:srgbClr val="00B050"/>
              </a:solidFill>
            </a:ln>
          </c:spPr>
          <c:marker>
            <c:spPr>
              <a:solidFill>
                <a:srgbClr val="00B050"/>
              </a:solidFill>
              <a:ln>
                <a:solidFill>
                  <a:srgbClr val="00B050"/>
                </a:solidFill>
              </a:ln>
            </c:spPr>
          </c:marker>
          <c:cat>
            <c:numRef>
              <c:f>'graf.5.3a.domace granty'!$C$29:$K$29</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'graf.5.3a.domace granty'!$C$36:$K$36</c:f>
              <c:numCache>
                <c:formatCode>#,##0</c:formatCode>
                <c:ptCount val="9"/>
                <c:pt idx="0">
                  <c:v>1611404.58</c:v>
                </c:pt>
                <c:pt idx="1">
                  <c:v>1096874.67</c:v>
                </c:pt>
                <c:pt idx="2">
                  <c:v>633576</c:v>
                </c:pt>
                <c:pt idx="3">
                  <c:v>679966</c:v>
                </c:pt>
                <c:pt idx="4">
                  <c:v>828457.44</c:v>
                </c:pt>
                <c:pt idx="5">
                  <c:v>1537006</c:v>
                </c:pt>
                <c:pt idx="6">
                  <c:v>1492887.19</c:v>
                </c:pt>
                <c:pt idx="7">
                  <c:v>1032442</c:v>
                </c:pt>
                <c:pt idx="8">
                  <c:v>1319964</c:v>
                </c:pt>
              </c:numCache>
            </c:numRef>
          </c:val>
          <c:smooth val="0"/>
          <c:extLst xmlns:c16r2="http://schemas.microsoft.com/office/drawing/2015/06/chart">
            <c:ext xmlns:c16="http://schemas.microsoft.com/office/drawing/2014/chart" uri="{C3380CC4-5D6E-409C-BE32-E72D297353CC}">
              <c16:uniqueId val="{00000006-12FE-4382-BE52-8CC75FB3CD72}"/>
            </c:ext>
          </c:extLst>
        </c:ser>
        <c:ser>
          <c:idx val="7"/>
          <c:order val="7"/>
          <c:tx>
            <c:strRef>
              <c:f>'graf.5.3a.domace granty'!$B$37</c:f>
              <c:strCache>
                <c:ptCount val="1"/>
                <c:pt idx="0">
                  <c:v>ostatné</c:v>
                </c:pt>
              </c:strCache>
            </c:strRef>
          </c:tx>
          <c:spPr>
            <a:ln>
              <a:solidFill>
                <a:srgbClr val="7030A0"/>
              </a:solidFill>
            </a:ln>
          </c:spPr>
          <c:marker>
            <c:spPr>
              <a:solidFill>
                <a:srgbClr val="7030A0"/>
              </a:solidFill>
              <a:ln>
                <a:solidFill>
                  <a:srgbClr val="7030A0"/>
                </a:solidFill>
              </a:ln>
            </c:spPr>
          </c:marker>
          <c:cat>
            <c:numRef>
              <c:f>'graf.5.3a.domace granty'!$C$29:$K$29</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'graf.5.3a.domace granty'!$C$37:$K$37</c:f>
              <c:numCache>
                <c:formatCode>#,##0</c:formatCode>
                <c:ptCount val="9"/>
                <c:pt idx="0">
                  <c:v>4283582.6399999997</c:v>
                </c:pt>
                <c:pt idx="1">
                  <c:v>4455583.8999999994</c:v>
                </c:pt>
                <c:pt idx="2">
                  <c:v>3821807.2399999998</c:v>
                </c:pt>
                <c:pt idx="3">
                  <c:v>4675548</c:v>
                </c:pt>
                <c:pt idx="4">
                  <c:v>4109458.82</c:v>
                </c:pt>
                <c:pt idx="5">
                  <c:v>4921893</c:v>
                </c:pt>
                <c:pt idx="6">
                  <c:v>5157520.2799999993</c:v>
                </c:pt>
                <c:pt idx="7">
                  <c:v>5500644.1600000001</c:v>
                </c:pt>
                <c:pt idx="8">
                  <c:v>6907075.5399999991</c:v>
                </c:pt>
              </c:numCache>
            </c:numRef>
          </c:val>
          <c:smooth val="0"/>
          <c:extLst xmlns:c16r2="http://schemas.microsoft.com/office/drawing/2015/06/chart">
            <c:ext xmlns:c16="http://schemas.microsoft.com/office/drawing/2014/chart" uri="{C3380CC4-5D6E-409C-BE32-E72D297353CC}">
              <c16:uniqueId val="{00000007-12FE-4382-BE52-8CC75FB3CD72}"/>
            </c:ext>
          </c:extLst>
        </c:ser>
        <c:dLbls>
          <c:showLegendKey val="0"/>
          <c:showVal val="0"/>
          <c:showCatName val="0"/>
          <c:showSerName val="0"/>
          <c:showPercent val="0"/>
          <c:showBubbleSize val="0"/>
        </c:dLbls>
        <c:marker val="1"/>
        <c:smooth val="0"/>
        <c:axId val="321181184"/>
        <c:axId val="321183104"/>
      </c:lineChart>
      <c:catAx>
        <c:axId val="321181184"/>
        <c:scaling>
          <c:orientation val="minMax"/>
        </c:scaling>
        <c:delete val="0"/>
        <c:axPos val="b"/>
        <c:numFmt formatCode="0" sourceLinked="1"/>
        <c:majorTickMark val="none"/>
        <c:minorTickMark val="none"/>
        <c:tickLblPos val="nextTo"/>
        <c:crossAx val="321183104"/>
        <c:crosses val="autoZero"/>
        <c:auto val="1"/>
        <c:lblAlgn val="ctr"/>
        <c:lblOffset val="100"/>
        <c:noMultiLvlLbl val="0"/>
      </c:catAx>
      <c:valAx>
        <c:axId val="321183104"/>
        <c:scaling>
          <c:orientation val="minMax"/>
        </c:scaling>
        <c:delete val="0"/>
        <c:axPos val="l"/>
        <c:majorGridlines/>
        <c:title>
          <c:tx>
            <c:rich>
              <a:bodyPr/>
              <a:lstStyle/>
              <a:p>
                <a:pPr>
                  <a:defRPr/>
                </a:pPr>
                <a:r>
                  <a:rPr lang="sk-SK"/>
                  <a:t>EUR</a:t>
                </a:r>
              </a:p>
            </c:rich>
          </c:tx>
          <c:overlay val="0"/>
        </c:title>
        <c:numFmt formatCode="#,##0" sourceLinked="1"/>
        <c:majorTickMark val="none"/>
        <c:minorTickMark val="none"/>
        <c:tickLblPos val="nextTo"/>
        <c:crossAx val="321181184"/>
        <c:crosses val="autoZero"/>
        <c:crossBetween val="between"/>
      </c:valAx>
    </c:plotArea>
    <c:legend>
      <c:legendPos val="r"/>
      <c:overlay val="0"/>
    </c:legend>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a:t>
            </a:r>
            <a:r>
              <a:rPr lang="sk-SK" sz="1200"/>
              <a:t> Zahraničné výskumné granty</a:t>
            </a:r>
            <a:r>
              <a:rPr lang="en-US" sz="1200"/>
              <a:t> </a:t>
            </a:r>
            <a:endParaRPr lang="sk-SK" sz="1200"/>
          </a:p>
        </c:rich>
      </c:tx>
      <c:overlay val="0"/>
    </c:title>
    <c:autoTitleDeleted val="0"/>
    <c:plotArea>
      <c:layout/>
      <c:lineChart>
        <c:grouping val="standard"/>
        <c:varyColors val="0"/>
        <c:ser>
          <c:idx val="0"/>
          <c:order val="0"/>
          <c:tx>
            <c:strRef>
              <c:f>'5.3bUniv.zahraničné granty'!$B$28</c:f>
              <c:strCache>
                <c:ptCount val="1"/>
                <c:pt idx="0">
                  <c:v>UK Bratislava</c:v>
                </c:pt>
              </c:strCache>
            </c:strRef>
          </c:tx>
          <c:spPr>
            <a:ln>
              <a:solidFill>
                <a:srgbClr val="00B0F0"/>
              </a:solidFill>
            </a:ln>
          </c:spPr>
          <c:marker>
            <c:spPr>
              <a:solidFill>
                <a:srgbClr val="00B0F0"/>
              </a:solidFill>
              <a:ln>
                <a:solidFill>
                  <a:srgbClr val="00B0F0"/>
                </a:solidFill>
              </a:ln>
            </c:spPr>
          </c:marker>
          <c:cat>
            <c:numRef>
              <c:f>'5.3bUniv.zahraničné granty'!$C$27:$K$27</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'5.3bUniv.zahraničné granty'!$C$28:$K$28</c:f>
              <c:numCache>
                <c:formatCode>#,##0</c:formatCode>
                <c:ptCount val="9"/>
                <c:pt idx="0">
                  <c:v>1600682.6433848552</c:v>
                </c:pt>
                <c:pt idx="1">
                  <c:v>1372479.0325366866</c:v>
                </c:pt>
                <c:pt idx="2">
                  <c:v>1363309.4036834375</c:v>
                </c:pt>
                <c:pt idx="3">
                  <c:v>1641813</c:v>
                </c:pt>
                <c:pt idx="4">
                  <c:v>1099139</c:v>
                </c:pt>
                <c:pt idx="5">
                  <c:v>1507911</c:v>
                </c:pt>
                <c:pt idx="6">
                  <c:v>2238624.2400000002</c:v>
                </c:pt>
                <c:pt idx="7">
                  <c:v>1726148.7325633243</c:v>
                </c:pt>
                <c:pt idx="8">
                  <c:v>1524258.2099999997</c:v>
                </c:pt>
              </c:numCache>
            </c:numRef>
          </c:val>
          <c:smooth val="0"/>
          <c:extLst xmlns:c16r2="http://schemas.microsoft.com/office/drawing/2015/06/chart">
            <c:ext xmlns:c16="http://schemas.microsoft.com/office/drawing/2014/chart" uri="{C3380CC4-5D6E-409C-BE32-E72D297353CC}">
              <c16:uniqueId val="{00000000-B10E-4854-B1AE-658AFB7E5F3C}"/>
            </c:ext>
          </c:extLst>
        </c:ser>
        <c:ser>
          <c:idx val="1"/>
          <c:order val="1"/>
          <c:tx>
            <c:strRef>
              <c:f>'5.3bUniv.zahraničné granty'!$B$29</c:f>
              <c:strCache>
                <c:ptCount val="1"/>
                <c:pt idx="0">
                  <c:v>UPJŠ Košice</c:v>
                </c:pt>
              </c:strCache>
            </c:strRef>
          </c:tx>
          <c:spPr>
            <a:ln>
              <a:solidFill>
                <a:srgbClr val="FFC000"/>
              </a:solidFill>
            </a:ln>
          </c:spPr>
          <c:marker>
            <c:spPr>
              <a:solidFill>
                <a:srgbClr val="FFC000"/>
              </a:solidFill>
              <a:ln>
                <a:solidFill>
                  <a:srgbClr val="FFC000"/>
                </a:solidFill>
              </a:ln>
            </c:spPr>
          </c:marker>
          <c:cat>
            <c:numRef>
              <c:f>'5.3bUniv.zahraničné granty'!$C$27:$K$27</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'5.3bUniv.zahraničné granty'!$C$29:$K$29</c:f>
              <c:numCache>
                <c:formatCode>#,##0</c:formatCode>
                <c:ptCount val="9"/>
                <c:pt idx="0">
                  <c:v>264191.95187699568</c:v>
                </c:pt>
                <c:pt idx="1">
                  <c:v>450466.13</c:v>
                </c:pt>
                <c:pt idx="2">
                  <c:v>270324.07</c:v>
                </c:pt>
                <c:pt idx="3">
                  <c:v>391901</c:v>
                </c:pt>
                <c:pt idx="4">
                  <c:v>1885773</c:v>
                </c:pt>
                <c:pt idx="5">
                  <c:v>124616</c:v>
                </c:pt>
                <c:pt idx="6">
                  <c:v>623202.04</c:v>
                </c:pt>
                <c:pt idx="7">
                  <c:v>1442969</c:v>
                </c:pt>
                <c:pt idx="8">
                  <c:v>59200</c:v>
                </c:pt>
              </c:numCache>
            </c:numRef>
          </c:val>
          <c:smooth val="0"/>
          <c:extLst xmlns:c16r2="http://schemas.microsoft.com/office/drawing/2015/06/chart">
            <c:ext xmlns:c16="http://schemas.microsoft.com/office/drawing/2014/chart" uri="{C3380CC4-5D6E-409C-BE32-E72D297353CC}">
              <c16:uniqueId val="{00000001-B10E-4854-B1AE-658AFB7E5F3C}"/>
            </c:ext>
          </c:extLst>
        </c:ser>
        <c:ser>
          <c:idx val="2"/>
          <c:order val="2"/>
          <c:tx>
            <c:strRef>
              <c:f>'5.3bUniv.zahraničné granty'!$B$30</c:f>
              <c:strCache>
                <c:ptCount val="1"/>
                <c:pt idx="0">
                  <c:v>STU Bratislava</c:v>
                </c:pt>
              </c:strCache>
            </c:strRef>
          </c:tx>
          <c:spPr>
            <a:ln>
              <a:solidFill>
                <a:srgbClr val="C00000"/>
              </a:solidFill>
            </a:ln>
          </c:spPr>
          <c:marker>
            <c:spPr>
              <a:solidFill>
                <a:srgbClr val="C00000"/>
              </a:solidFill>
              <a:ln>
                <a:solidFill>
                  <a:srgbClr val="C00000"/>
                </a:solidFill>
              </a:ln>
            </c:spPr>
          </c:marker>
          <c:cat>
            <c:numRef>
              <c:f>'5.3bUniv.zahraničné granty'!$C$27:$K$27</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'5.3bUniv.zahraničné granty'!$C$30:$K$30</c:f>
              <c:numCache>
                <c:formatCode>#,##0</c:formatCode>
                <c:ptCount val="9"/>
                <c:pt idx="0">
                  <c:v>1264454.9330348466</c:v>
                </c:pt>
                <c:pt idx="1">
                  <c:v>2418320.42</c:v>
                </c:pt>
                <c:pt idx="2">
                  <c:v>1841005.4899999998</c:v>
                </c:pt>
                <c:pt idx="3">
                  <c:v>408945</c:v>
                </c:pt>
                <c:pt idx="4">
                  <c:v>815307</c:v>
                </c:pt>
                <c:pt idx="5">
                  <c:v>974206</c:v>
                </c:pt>
                <c:pt idx="6">
                  <c:v>1149299.26</c:v>
                </c:pt>
                <c:pt idx="7">
                  <c:v>1607625.8599999999</c:v>
                </c:pt>
                <c:pt idx="8">
                  <c:v>1141125.32</c:v>
                </c:pt>
              </c:numCache>
            </c:numRef>
          </c:val>
          <c:smooth val="0"/>
          <c:extLst xmlns:c16r2="http://schemas.microsoft.com/office/drawing/2015/06/chart">
            <c:ext xmlns:c16="http://schemas.microsoft.com/office/drawing/2014/chart" uri="{C3380CC4-5D6E-409C-BE32-E72D297353CC}">
              <c16:uniqueId val="{00000002-B10E-4854-B1AE-658AFB7E5F3C}"/>
            </c:ext>
          </c:extLst>
        </c:ser>
        <c:ser>
          <c:idx val="3"/>
          <c:order val="3"/>
          <c:tx>
            <c:strRef>
              <c:f>'5.3bUniv.zahraničné granty'!$B$31</c:f>
              <c:strCache>
                <c:ptCount val="1"/>
                <c:pt idx="0">
                  <c:v>TU Košice</c:v>
                </c:pt>
              </c:strCache>
            </c:strRef>
          </c:tx>
          <c:spPr>
            <a:ln>
              <a:solidFill>
                <a:schemeClr val="tx1"/>
              </a:solidFill>
            </a:ln>
          </c:spPr>
          <c:marker>
            <c:spPr>
              <a:solidFill>
                <a:schemeClr val="tx1"/>
              </a:solidFill>
              <a:ln>
                <a:solidFill>
                  <a:schemeClr val="tx1"/>
                </a:solidFill>
              </a:ln>
            </c:spPr>
          </c:marker>
          <c:cat>
            <c:numRef>
              <c:f>'5.3bUniv.zahraničné granty'!$C$27:$K$27</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'5.3bUniv.zahraničné granty'!$C$31:$K$31</c:f>
              <c:numCache>
                <c:formatCode>#,##0</c:formatCode>
                <c:ptCount val="9"/>
                <c:pt idx="0">
                  <c:v>788742.54</c:v>
                </c:pt>
                <c:pt idx="1">
                  <c:v>712087.8</c:v>
                </c:pt>
                <c:pt idx="2">
                  <c:v>813265.80999999994</c:v>
                </c:pt>
                <c:pt idx="3">
                  <c:v>1247420</c:v>
                </c:pt>
                <c:pt idx="4">
                  <c:v>765371</c:v>
                </c:pt>
                <c:pt idx="5">
                  <c:v>1260890</c:v>
                </c:pt>
                <c:pt idx="6">
                  <c:v>803415.60000000009</c:v>
                </c:pt>
                <c:pt idx="7">
                  <c:v>758632.6</c:v>
                </c:pt>
                <c:pt idx="8">
                  <c:v>849871.39000000013</c:v>
                </c:pt>
              </c:numCache>
            </c:numRef>
          </c:val>
          <c:smooth val="0"/>
          <c:extLst xmlns:c16r2="http://schemas.microsoft.com/office/drawing/2015/06/chart">
            <c:ext xmlns:c16="http://schemas.microsoft.com/office/drawing/2014/chart" uri="{C3380CC4-5D6E-409C-BE32-E72D297353CC}">
              <c16:uniqueId val="{00000003-B10E-4854-B1AE-658AFB7E5F3C}"/>
            </c:ext>
          </c:extLst>
        </c:ser>
        <c:ser>
          <c:idx val="4"/>
          <c:order val="4"/>
          <c:tx>
            <c:strRef>
              <c:f>'5.3bUniv.zahraničné granty'!$B$32</c:f>
              <c:strCache>
                <c:ptCount val="1"/>
                <c:pt idx="0">
                  <c:v>ŽU Žilina</c:v>
                </c:pt>
              </c:strCache>
            </c:strRef>
          </c:tx>
          <c:spPr>
            <a:ln>
              <a:solidFill>
                <a:srgbClr val="0070C0"/>
              </a:solidFill>
            </a:ln>
          </c:spPr>
          <c:marker>
            <c:spPr>
              <a:solidFill>
                <a:srgbClr val="0070C0"/>
              </a:solidFill>
              <a:ln>
                <a:solidFill>
                  <a:srgbClr val="0070C0"/>
                </a:solidFill>
              </a:ln>
            </c:spPr>
          </c:marker>
          <c:cat>
            <c:numRef>
              <c:f>'5.3bUniv.zahraničné granty'!$C$27:$K$27</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'5.3bUniv.zahraničné granty'!$C$32:$K$32</c:f>
              <c:numCache>
                <c:formatCode>#,##0</c:formatCode>
                <c:ptCount val="9"/>
                <c:pt idx="0">
                  <c:v>434184</c:v>
                </c:pt>
                <c:pt idx="1">
                  <c:v>489118.02</c:v>
                </c:pt>
                <c:pt idx="2">
                  <c:v>668636</c:v>
                </c:pt>
                <c:pt idx="3">
                  <c:v>623887</c:v>
                </c:pt>
                <c:pt idx="4">
                  <c:v>485579</c:v>
                </c:pt>
                <c:pt idx="5">
                  <c:v>1035120</c:v>
                </c:pt>
                <c:pt idx="6">
                  <c:v>387762.65000000008</c:v>
                </c:pt>
                <c:pt idx="7">
                  <c:v>641872.35</c:v>
                </c:pt>
                <c:pt idx="8">
                  <c:v>1265071</c:v>
                </c:pt>
              </c:numCache>
            </c:numRef>
          </c:val>
          <c:smooth val="0"/>
          <c:extLst xmlns:c16r2="http://schemas.microsoft.com/office/drawing/2015/06/chart">
            <c:ext xmlns:c16="http://schemas.microsoft.com/office/drawing/2014/chart" uri="{C3380CC4-5D6E-409C-BE32-E72D297353CC}">
              <c16:uniqueId val="{00000004-B10E-4854-B1AE-658AFB7E5F3C}"/>
            </c:ext>
          </c:extLst>
        </c:ser>
        <c:ser>
          <c:idx val="5"/>
          <c:order val="5"/>
          <c:tx>
            <c:strRef>
              <c:f>'5.3bUniv.zahraničné granty'!$B$33</c:f>
              <c:strCache>
                <c:ptCount val="1"/>
                <c:pt idx="0">
                  <c:v>TUAD Trenčín</c:v>
                </c:pt>
              </c:strCache>
            </c:strRef>
          </c:tx>
          <c:spPr>
            <a:ln>
              <a:solidFill>
                <a:srgbClr val="FF0000"/>
              </a:solidFill>
            </a:ln>
          </c:spPr>
          <c:marker>
            <c:spPr>
              <a:solidFill>
                <a:srgbClr val="FF0000"/>
              </a:solidFill>
              <a:ln>
                <a:solidFill>
                  <a:srgbClr val="FF0000"/>
                </a:solidFill>
              </a:ln>
            </c:spPr>
          </c:marker>
          <c:cat>
            <c:numRef>
              <c:f>'5.3bUniv.zahraničné granty'!$C$27:$K$27</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'5.3bUniv.zahraničné granty'!$C$33:$K$33</c:f>
              <c:numCache>
                <c:formatCode>#,##0</c:formatCode>
                <c:ptCount val="9"/>
                <c:pt idx="0">
                  <c:v>0</c:v>
                </c:pt>
                <c:pt idx="1">
                  <c:v>0</c:v>
                </c:pt>
                <c:pt idx="2">
                  <c:v>0</c:v>
                </c:pt>
                <c:pt idx="3">
                  <c:v>0</c:v>
                </c:pt>
                <c:pt idx="4">
                  <c:v>0</c:v>
                </c:pt>
                <c:pt idx="5">
                  <c:v>0</c:v>
                </c:pt>
                <c:pt idx="6">
                  <c:v>232749.19</c:v>
                </c:pt>
                <c:pt idx="7">
                  <c:v>49762</c:v>
                </c:pt>
                <c:pt idx="8">
                  <c:v>4050000</c:v>
                </c:pt>
              </c:numCache>
            </c:numRef>
          </c:val>
          <c:smooth val="0"/>
          <c:extLst xmlns:c16r2="http://schemas.microsoft.com/office/drawing/2015/06/chart">
            <c:ext xmlns:c16="http://schemas.microsoft.com/office/drawing/2014/chart" uri="{C3380CC4-5D6E-409C-BE32-E72D297353CC}">
              <c16:uniqueId val="{00000005-B10E-4854-B1AE-658AFB7E5F3C}"/>
            </c:ext>
          </c:extLst>
        </c:ser>
        <c:ser>
          <c:idx val="6"/>
          <c:order val="6"/>
          <c:tx>
            <c:strRef>
              <c:f>'5.3bUniv.zahraničné granty'!$B$34</c:f>
              <c:strCache>
                <c:ptCount val="1"/>
                <c:pt idx="0">
                  <c:v>ostatné</c:v>
                </c:pt>
              </c:strCache>
            </c:strRef>
          </c:tx>
          <c:spPr>
            <a:ln>
              <a:solidFill>
                <a:srgbClr val="7030A0"/>
              </a:solidFill>
            </a:ln>
          </c:spPr>
          <c:marker>
            <c:spPr>
              <a:solidFill>
                <a:srgbClr val="7030A0"/>
              </a:solidFill>
              <a:ln>
                <a:solidFill>
                  <a:srgbClr val="7030A0"/>
                </a:solidFill>
              </a:ln>
            </c:spPr>
          </c:marker>
          <c:cat>
            <c:numRef>
              <c:f>'5.3bUniv.zahraničné granty'!$C$27:$K$27</c:f>
              <c:numCache>
                <c:formatCode>0</c:formatCode>
                <c:ptCount val="9"/>
                <c:pt idx="0">
                  <c:v>2009</c:v>
                </c:pt>
                <c:pt idx="1">
                  <c:v>2010</c:v>
                </c:pt>
                <c:pt idx="2">
                  <c:v>2011</c:v>
                </c:pt>
                <c:pt idx="3">
                  <c:v>2012</c:v>
                </c:pt>
                <c:pt idx="4">
                  <c:v>2013</c:v>
                </c:pt>
                <c:pt idx="5">
                  <c:v>2014</c:v>
                </c:pt>
                <c:pt idx="6">
                  <c:v>2015</c:v>
                </c:pt>
                <c:pt idx="7">
                  <c:v>2016</c:v>
                </c:pt>
                <c:pt idx="8">
                  <c:v>2017</c:v>
                </c:pt>
              </c:numCache>
            </c:numRef>
          </c:cat>
          <c:val>
            <c:numRef>
              <c:f>'5.3bUniv.zahraničné granty'!$C$34:$K$34</c:f>
              <c:numCache>
                <c:formatCode>#,##0</c:formatCode>
                <c:ptCount val="9"/>
                <c:pt idx="0">
                  <c:v>643751.5739819241</c:v>
                </c:pt>
                <c:pt idx="1">
                  <c:v>782171.37152346491</c:v>
                </c:pt>
                <c:pt idx="2">
                  <c:v>1169309.2834679228</c:v>
                </c:pt>
                <c:pt idx="3">
                  <c:v>701603</c:v>
                </c:pt>
                <c:pt idx="4">
                  <c:v>874058</c:v>
                </c:pt>
                <c:pt idx="5">
                  <c:v>800303</c:v>
                </c:pt>
                <c:pt idx="6">
                  <c:v>1340521.0100000002</c:v>
                </c:pt>
                <c:pt idx="7" formatCode="General">
                  <c:v>1489612.67</c:v>
                </c:pt>
                <c:pt idx="8">
                  <c:v>1228218.3900000006</c:v>
                </c:pt>
              </c:numCache>
            </c:numRef>
          </c:val>
          <c:smooth val="0"/>
          <c:extLst xmlns:c16r2="http://schemas.microsoft.com/office/drawing/2015/06/chart">
            <c:ext xmlns:c16="http://schemas.microsoft.com/office/drawing/2014/chart" uri="{C3380CC4-5D6E-409C-BE32-E72D297353CC}">
              <c16:uniqueId val="{00000006-B10E-4854-B1AE-658AFB7E5F3C}"/>
            </c:ext>
          </c:extLst>
        </c:ser>
        <c:dLbls>
          <c:showLegendKey val="0"/>
          <c:showVal val="0"/>
          <c:showCatName val="0"/>
          <c:showSerName val="0"/>
          <c:showPercent val="0"/>
          <c:showBubbleSize val="0"/>
        </c:dLbls>
        <c:marker val="1"/>
        <c:smooth val="0"/>
        <c:axId val="320588800"/>
        <c:axId val="320595072"/>
      </c:lineChart>
      <c:catAx>
        <c:axId val="320588800"/>
        <c:scaling>
          <c:orientation val="minMax"/>
        </c:scaling>
        <c:delete val="0"/>
        <c:axPos val="b"/>
        <c:numFmt formatCode="0" sourceLinked="1"/>
        <c:majorTickMark val="none"/>
        <c:minorTickMark val="none"/>
        <c:tickLblPos val="nextTo"/>
        <c:crossAx val="320595072"/>
        <c:crosses val="autoZero"/>
        <c:auto val="1"/>
        <c:lblAlgn val="ctr"/>
        <c:lblOffset val="100"/>
        <c:noMultiLvlLbl val="0"/>
      </c:catAx>
      <c:valAx>
        <c:axId val="320595072"/>
        <c:scaling>
          <c:orientation val="minMax"/>
        </c:scaling>
        <c:delete val="0"/>
        <c:axPos val="l"/>
        <c:majorGridlines/>
        <c:title>
          <c:tx>
            <c:rich>
              <a:bodyPr/>
              <a:lstStyle/>
              <a:p>
                <a:pPr>
                  <a:defRPr/>
                </a:pPr>
                <a:r>
                  <a:rPr lang="sk-SK"/>
                  <a:t>EUR</a:t>
                </a:r>
              </a:p>
            </c:rich>
          </c:tx>
          <c:overlay val="0"/>
        </c:title>
        <c:numFmt formatCode="#,##0" sourceLinked="1"/>
        <c:majorTickMark val="none"/>
        <c:minorTickMark val="none"/>
        <c:tickLblPos val="nextTo"/>
        <c:crossAx val="320588800"/>
        <c:crosses val="autoZero"/>
        <c:crossBetween val="between"/>
      </c:valAx>
    </c:plotArea>
    <c:legend>
      <c:legendPos val="r"/>
      <c:overlay val="0"/>
    </c:legend>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191929606593242E-2"/>
          <c:y val="0.11084506620934995"/>
          <c:w val="0.70118104942265358"/>
          <c:h val="0.7554548792558281"/>
        </c:manualLayout>
      </c:layout>
      <c:lineChart>
        <c:grouping val="standard"/>
        <c:varyColors val="0"/>
        <c:ser>
          <c:idx val="0"/>
          <c:order val="0"/>
          <c:tx>
            <c:strRef>
              <c:f>[VS2018_GrafScopus.xlsx]Hárok1!$B$1</c:f>
              <c:strCache>
                <c:ptCount val="1"/>
                <c:pt idx="0">
                  <c:v>STU</c:v>
                </c:pt>
              </c:strCache>
            </c:strRef>
          </c:tx>
          <c:spPr>
            <a:ln w="12700">
              <a:solidFill>
                <a:srgbClr val="C00000"/>
              </a:solidFill>
              <a:prstDash val="solid"/>
            </a:ln>
          </c:spPr>
          <c:marker>
            <c:symbol val="circle"/>
            <c:size val="5"/>
            <c:spPr>
              <a:solidFill>
                <a:srgbClr val="C00000"/>
              </a:solidFill>
              <a:ln>
                <a:solidFill>
                  <a:srgbClr val="C00000"/>
                </a:solidFill>
                <a:prstDash val="solid"/>
              </a:ln>
            </c:spPr>
          </c:marker>
          <c:cat>
            <c:numRef>
              <c:f>[VS2018_GrafScopus.xlsx]Hárok1!$A$2:$A$7</c:f>
              <c:numCache>
                <c:formatCode>General</c:formatCode>
                <c:ptCount val="6"/>
                <c:pt idx="0">
                  <c:v>2013</c:v>
                </c:pt>
                <c:pt idx="1">
                  <c:v>2014</c:v>
                </c:pt>
                <c:pt idx="2">
                  <c:v>2015</c:v>
                </c:pt>
                <c:pt idx="3">
                  <c:v>2016</c:v>
                </c:pt>
                <c:pt idx="4">
                  <c:v>2017</c:v>
                </c:pt>
                <c:pt idx="5">
                  <c:v>2018</c:v>
                </c:pt>
              </c:numCache>
            </c:numRef>
          </c:cat>
          <c:val>
            <c:numRef>
              <c:f>[VS2018_GrafScopus.xlsx]Hárok1!$B$2:$B$7</c:f>
              <c:numCache>
                <c:formatCode>General</c:formatCode>
                <c:ptCount val="6"/>
                <c:pt idx="0">
                  <c:v>928</c:v>
                </c:pt>
                <c:pt idx="1">
                  <c:v>1182</c:v>
                </c:pt>
                <c:pt idx="2">
                  <c:v>1006</c:v>
                </c:pt>
                <c:pt idx="3">
                  <c:v>1061</c:v>
                </c:pt>
                <c:pt idx="4">
                  <c:v>974</c:v>
                </c:pt>
                <c:pt idx="5">
                  <c:v>1154</c:v>
                </c:pt>
              </c:numCache>
            </c:numRef>
          </c:val>
          <c:smooth val="0"/>
          <c:extLst xmlns:c16r2="http://schemas.microsoft.com/office/drawing/2015/06/chart">
            <c:ext xmlns:c16="http://schemas.microsoft.com/office/drawing/2014/chart" uri="{C3380CC4-5D6E-409C-BE32-E72D297353CC}">
              <c16:uniqueId val="{00000000-1A3B-48B7-AF75-9ADB14817920}"/>
            </c:ext>
          </c:extLst>
        </c:ser>
        <c:ser>
          <c:idx val="1"/>
          <c:order val="1"/>
          <c:tx>
            <c:strRef>
              <c:f>[VS2018_GrafScopus.xlsx]Hárok1!$C$1</c:f>
              <c:strCache>
                <c:ptCount val="1"/>
                <c:pt idx="0">
                  <c:v>TUKE</c:v>
                </c:pt>
              </c:strCache>
            </c:strRef>
          </c:tx>
          <c:spPr>
            <a:ln w="12700">
              <a:solidFill>
                <a:sysClr val="windowText" lastClr="000000"/>
              </a:solidFill>
              <a:prstDash val="solid"/>
            </a:ln>
          </c:spPr>
          <c:marker>
            <c:spPr>
              <a:solidFill>
                <a:sysClr val="windowText" lastClr="000000"/>
              </a:solidFill>
              <a:ln>
                <a:solidFill>
                  <a:sysClr val="windowText" lastClr="000000"/>
                </a:solidFill>
                <a:prstDash val="solid"/>
              </a:ln>
            </c:spPr>
          </c:marker>
          <c:cat>
            <c:numRef>
              <c:f>[VS2018_GrafScopus.xlsx]Hárok1!$A$2:$A$7</c:f>
              <c:numCache>
                <c:formatCode>General</c:formatCode>
                <c:ptCount val="6"/>
                <c:pt idx="0">
                  <c:v>2013</c:v>
                </c:pt>
                <c:pt idx="1">
                  <c:v>2014</c:v>
                </c:pt>
                <c:pt idx="2">
                  <c:v>2015</c:v>
                </c:pt>
                <c:pt idx="3">
                  <c:v>2016</c:v>
                </c:pt>
                <c:pt idx="4">
                  <c:v>2017</c:v>
                </c:pt>
                <c:pt idx="5">
                  <c:v>2018</c:v>
                </c:pt>
              </c:numCache>
            </c:numRef>
          </c:cat>
          <c:val>
            <c:numRef>
              <c:f>[VS2018_GrafScopus.xlsx]Hárok1!$C$2:$C$7</c:f>
              <c:numCache>
                <c:formatCode>General</c:formatCode>
                <c:ptCount val="6"/>
                <c:pt idx="0">
                  <c:v>1124</c:v>
                </c:pt>
                <c:pt idx="1">
                  <c:v>1295</c:v>
                </c:pt>
                <c:pt idx="2">
                  <c:v>1329</c:v>
                </c:pt>
                <c:pt idx="3">
                  <c:v>1236</c:v>
                </c:pt>
                <c:pt idx="4">
                  <c:v>1404</c:v>
                </c:pt>
                <c:pt idx="5">
                  <c:v>688</c:v>
                </c:pt>
              </c:numCache>
            </c:numRef>
          </c:val>
          <c:smooth val="0"/>
          <c:extLst xmlns:c16r2="http://schemas.microsoft.com/office/drawing/2015/06/chart">
            <c:ext xmlns:c16="http://schemas.microsoft.com/office/drawing/2014/chart" uri="{C3380CC4-5D6E-409C-BE32-E72D297353CC}">
              <c16:uniqueId val="{00000001-1A3B-48B7-AF75-9ADB14817920}"/>
            </c:ext>
          </c:extLst>
        </c:ser>
        <c:ser>
          <c:idx val="2"/>
          <c:order val="2"/>
          <c:tx>
            <c:strRef>
              <c:f>[VS2018_GrafScopus.xlsx]Hárok1!$D$1</c:f>
              <c:strCache>
                <c:ptCount val="1"/>
                <c:pt idx="0">
                  <c:v>TU ZA</c:v>
                </c:pt>
              </c:strCache>
            </c:strRef>
          </c:tx>
          <c:spPr>
            <a:ln w="12700">
              <a:solidFill>
                <a:srgbClr val="0070C0"/>
              </a:solidFill>
              <a:prstDash val="solid"/>
            </a:ln>
          </c:spPr>
          <c:marker>
            <c:spPr>
              <a:solidFill>
                <a:srgbClr val="0070C0"/>
              </a:solidFill>
              <a:ln>
                <a:solidFill>
                  <a:srgbClr val="0070C0"/>
                </a:solidFill>
                <a:prstDash val="solid"/>
              </a:ln>
            </c:spPr>
          </c:marker>
          <c:cat>
            <c:numRef>
              <c:f>[VS2018_GrafScopus.xlsx]Hárok1!$A$2:$A$7</c:f>
              <c:numCache>
                <c:formatCode>General</c:formatCode>
                <c:ptCount val="6"/>
                <c:pt idx="0">
                  <c:v>2013</c:v>
                </c:pt>
                <c:pt idx="1">
                  <c:v>2014</c:v>
                </c:pt>
                <c:pt idx="2">
                  <c:v>2015</c:v>
                </c:pt>
                <c:pt idx="3">
                  <c:v>2016</c:v>
                </c:pt>
                <c:pt idx="4">
                  <c:v>2017</c:v>
                </c:pt>
                <c:pt idx="5">
                  <c:v>2018</c:v>
                </c:pt>
              </c:numCache>
            </c:numRef>
          </c:cat>
          <c:val>
            <c:numRef>
              <c:f>[VS2018_GrafScopus.xlsx]Hárok1!$D$2:$D$7</c:f>
              <c:numCache>
                <c:formatCode>General</c:formatCode>
                <c:ptCount val="6"/>
                <c:pt idx="0">
                  <c:v>139</c:v>
                </c:pt>
                <c:pt idx="1">
                  <c:v>210</c:v>
                </c:pt>
                <c:pt idx="2">
                  <c:v>190</c:v>
                </c:pt>
                <c:pt idx="3">
                  <c:v>254</c:v>
                </c:pt>
                <c:pt idx="4">
                  <c:v>275</c:v>
                </c:pt>
                <c:pt idx="5">
                  <c:v>55</c:v>
                </c:pt>
              </c:numCache>
            </c:numRef>
          </c:val>
          <c:smooth val="0"/>
          <c:extLst xmlns:c16r2="http://schemas.microsoft.com/office/drawing/2015/06/chart">
            <c:ext xmlns:c16="http://schemas.microsoft.com/office/drawing/2014/chart" uri="{C3380CC4-5D6E-409C-BE32-E72D297353CC}">
              <c16:uniqueId val="{00000002-1A3B-48B7-AF75-9ADB14817920}"/>
            </c:ext>
          </c:extLst>
        </c:ser>
        <c:ser>
          <c:idx val="3"/>
          <c:order val="3"/>
          <c:tx>
            <c:strRef>
              <c:f>[VS2018_GrafScopus.xlsx]Hárok1!$E$1</c:f>
              <c:strCache>
                <c:ptCount val="1"/>
                <c:pt idx="0">
                  <c:v>TU ZV</c:v>
                </c:pt>
              </c:strCache>
            </c:strRef>
          </c:tx>
          <c:spPr>
            <a:ln w="12700">
              <a:solidFill>
                <a:srgbClr val="00B050"/>
              </a:solidFill>
              <a:prstDash val="solid"/>
            </a:ln>
          </c:spPr>
          <c:marker>
            <c:spPr>
              <a:solidFill>
                <a:srgbClr val="00B050"/>
              </a:solidFill>
              <a:ln>
                <a:solidFill>
                  <a:srgbClr val="00B050"/>
                </a:solidFill>
                <a:prstDash val="solid"/>
              </a:ln>
            </c:spPr>
          </c:marker>
          <c:cat>
            <c:numRef>
              <c:f>[VS2018_GrafScopus.xlsx]Hárok1!$A$2:$A$7</c:f>
              <c:numCache>
                <c:formatCode>General</c:formatCode>
                <c:ptCount val="6"/>
                <c:pt idx="0">
                  <c:v>2013</c:v>
                </c:pt>
                <c:pt idx="1">
                  <c:v>2014</c:v>
                </c:pt>
                <c:pt idx="2">
                  <c:v>2015</c:v>
                </c:pt>
                <c:pt idx="3">
                  <c:v>2016</c:v>
                </c:pt>
                <c:pt idx="4">
                  <c:v>2017</c:v>
                </c:pt>
                <c:pt idx="5">
                  <c:v>2018</c:v>
                </c:pt>
              </c:numCache>
            </c:numRef>
          </c:cat>
          <c:val>
            <c:numRef>
              <c:f>[VS2018_GrafScopus.xlsx]Hárok1!$E$2:$E$7</c:f>
              <c:numCache>
                <c:formatCode>General</c:formatCode>
                <c:ptCount val="6"/>
                <c:pt idx="0">
                  <c:v>127</c:v>
                </c:pt>
                <c:pt idx="1">
                  <c:v>177</c:v>
                </c:pt>
                <c:pt idx="2">
                  <c:v>221</c:v>
                </c:pt>
                <c:pt idx="3">
                  <c:v>270</c:v>
                </c:pt>
                <c:pt idx="4">
                  <c:v>258</c:v>
                </c:pt>
                <c:pt idx="5">
                  <c:v>204</c:v>
                </c:pt>
              </c:numCache>
            </c:numRef>
          </c:val>
          <c:smooth val="0"/>
          <c:extLst xmlns:c16r2="http://schemas.microsoft.com/office/drawing/2015/06/chart">
            <c:ext xmlns:c16="http://schemas.microsoft.com/office/drawing/2014/chart" uri="{C3380CC4-5D6E-409C-BE32-E72D297353CC}">
              <c16:uniqueId val="{00000003-1A3B-48B7-AF75-9ADB14817920}"/>
            </c:ext>
          </c:extLst>
        </c:ser>
        <c:ser>
          <c:idx val="4"/>
          <c:order val="4"/>
          <c:tx>
            <c:strRef>
              <c:f>[VS2018_GrafScopus.xlsx]Hárok1!$F$1</c:f>
              <c:strCache>
                <c:ptCount val="1"/>
                <c:pt idx="0">
                  <c:v>UK</c:v>
                </c:pt>
              </c:strCache>
            </c:strRef>
          </c:tx>
          <c:spPr>
            <a:ln w="12700">
              <a:solidFill>
                <a:srgbClr val="00B0F0"/>
              </a:solidFill>
              <a:prstDash val="solid"/>
            </a:ln>
          </c:spPr>
          <c:marker>
            <c:spPr>
              <a:solidFill>
                <a:srgbClr val="00B0F0"/>
              </a:solidFill>
              <a:ln>
                <a:solidFill>
                  <a:srgbClr val="00B0F0"/>
                </a:solidFill>
                <a:prstDash val="solid"/>
              </a:ln>
            </c:spPr>
          </c:marker>
          <c:cat>
            <c:numRef>
              <c:f>[VS2018_GrafScopus.xlsx]Hárok1!$A$2:$A$7</c:f>
              <c:numCache>
                <c:formatCode>General</c:formatCode>
                <c:ptCount val="6"/>
                <c:pt idx="0">
                  <c:v>2013</c:v>
                </c:pt>
                <c:pt idx="1">
                  <c:v>2014</c:v>
                </c:pt>
                <c:pt idx="2">
                  <c:v>2015</c:v>
                </c:pt>
                <c:pt idx="3">
                  <c:v>2016</c:v>
                </c:pt>
                <c:pt idx="4">
                  <c:v>2017</c:v>
                </c:pt>
                <c:pt idx="5">
                  <c:v>2018</c:v>
                </c:pt>
              </c:numCache>
            </c:numRef>
          </c:cat>
          <c:val>
            <c:numRef>
              <c:f>[VS2018_GrafScopus.xlsx]Hárok1!$F$2:$F$7</c:f>
              <c:numCache>
                <c:formatCode>General</c:formatCode>
                <c:ptCount val="6"/>
                <c:pt idx="0">
                  <c:v>1135</c:v>
                </c:pt>
                <c:pt idx="1">
                  <c:v>1279</c:v>
                </c:pt>
                <c:pt idx="2">
                  <c:v>1459</c:v>
                </c:pt>
                <c:pt idx="3">
                  <c:v>1645</c:v>
                </c:pt>
                <c:pt idx="4">
                  <c:v>1541</c:v>
                </c:pt>
                <c:pt idx="5">
                  <c:v>648</c:v>
                </c:pt>
              </c:numCache>
            </c:numRef>
          </c:val>
          <c:smooth val="0"/>
          <c:extLst xmlns:c16r2="http://schemas.microsoft.com/office/drawing/2015/06/chart">
            <c:ext xmlns:c16="http://schemas.microsoft.com/office/drawing/2014/chart" uri="{C3380CC4-5D6E-409C-BE32-E72D297353CC}">
              <c16:uniqueId val="{00000004-1A3B-48B7-AF75-9ADB14817920}"/>
            </c:ext>
          </c:extLst>
        </c:ser>
        <c:ser>
          <c:idx val="5"/>
          <c:order val="5"/>
          <c:tx>
            <c:strRef>
              <c:f>[VS2018_GrafScopus.xlsx]Hárok1!$G$1</c:f>
              <c:strCache>
                <c:ptCount val="1"/>
                <c:pt idx="0">
                  <c:v>UPJŠ</c:v>
                </c:pt>
              </c:strCache>
            </c:strRef>
          </c:tx>
          <c:spPr>
            <a:ln w="12700">
              <a:solidFill>
                <a:srgbClr val="FFC000"/>
              </a:solidFill>
              <a:prstDash val="solid"/>
            </a:ln>
          </c:spPr>
          <c:marker>
            <c:symbol val="diamond"/>
            <c:size val="5"/>
            <c:spPr>
              <a:solidFill>
                <a:srgbClr val="FFC000"/>
              </a:solidFill>
              <a:ln>
                <a:solidFill>
                  <a:srgbClr val="FFC000"/>
                </a:solidFill>
                <a:prstDash val="solid"/>
              </a:ln>
            </c:spPr>
          </c:marker>
          <c:cat>
            <c:numRef>
              <c:f>[VS2018_GrafScopus.xlsx]Hárok1!$A$2:$A$7</c:f>
              <c:numCache>
                <c:formatCode>General</c:formatCode>
                <c:ptCount val="6"/>
                <c:pt idx="0">
                  <c:v>2013</c:v>
                </c:pt>
                <c:pt idx="1">
                  <c:v>2014</c:v>
                </c:pt>
                <c:pt idx="2">
                  <c:v>2015</c:v>
                </c:pt>
                <c:pt idx="3">
                  <c:v>2016</c:v>
                </c:pt>
                <c:pt idx="4">
                  <c:v>2017</c:v>
                </c:pt>
                <c:pt idx="5">
                  <c:v>2018</c:v>
                </c:pt>
              </c:numCache>
            </c:numRef>
          </c:cat>
          <c:val>
            <c:numRef>
              <c:f>[VS2018_GrafScopus.xlsx]Hárok1!$G$2:$G$7</c:f>
              <c:numCache>
                <c:formatCode>General</c:formatCode>
                <c:ptCount val="6"/>
                <c:pt idx="0">
                  <c:v>80</c:v>
                </c:pt>
                <c:pt idx="1">
                  <c:v>121</c:v>
                </c:pt>
                <c:pt idx="2">
                  <c:v>174</c:v>
                </c:pt>
                <c:pt idx="3">
                  <c:v>173</c:v>
                </c:pt>
                <c:pt idx="4">
                  <c:v>199</c:v>
                </c:pt>
                <c:pt idx="5">
                  <c:v>65</c:v>
                </c:pt>
              </c:numCache>
            </c:numRef>
          </c:val>
          <c:smooth val="0"/>
          <c:extLst xmlns:c16r2="http://schemas.microsoft.com/office/drawing/2015/06/chart">
            <c:ext xmlns:c16="http://schemas.microsoft.com/office/drawing/2014/chart" uri="{C3380CC4-5D6E-409C-BE32-E72D297353CC}">
              <c16:uniqueId val="{00000005-1A3B-48B7-AF75-9ADB14817920}"/>
            </c:ext>
          </c:extLst>
        </c:ser>
        <c:dLbls>
          <c:showLegendKey val="0"/>
          <c:showVal val="0"/>
          <c:showCatName val="0"/>
          <c:showSerName val="0"/>
          <c:showPercent val="0"/>
          <c:showBubbleSize val="0"/>
        </c:dLbls>
        <c:marker val="1"/>
        <c:smooth val="0"/>
        <c:axId val="321224064"/>
        <c:axId val="321234432"/>
      </c:lineChart>
      <c:catAx>
        <c:axId val="321224064"/>
        <c:scaling>
          <c:orientation val="minMax"/>
        </c:scaling>
        <c:delete val="0"/>
        <c:axPos val="b"/>
        <c:numFmt formatCode="General" sourceLinked="1"/>
        <c:majorTickMark val="out"/>
        <c:minorTickMark val="none"/>
        <c:tickLblPos val="nextTo"/>
        <c:crossAx val="321234432"/>
        <c:crosses val="autoZero"/>
        <c:auto val="1"/>
        <c:lblAlgn val="ctr"/>
        <c:lblOffset val="100"/>
        <c:noMultiLvlLbl val="0"/>
      </c:catAx>
      <c:valAx>
        <c:axId val="321234432"/>
        <c:scaling>
          <c:orientation val="minMax"/>
        </c:scaling>
        <c:delete val="0"/>
        <c:axPos val="l"/>
        <c:majorGridlines/>
        <c:numFmt formatCode="General" sourceLinked="1"/>
        <c:majorTickMark val="out"/>
        <c:minorTickMark val="none"/>
        <c:tickLblPos val="nextTo"/>
        <c:crossAx val="321224064"/>
        <c:crosses val="autoZero"/>
        <c:crossBetween val="between"/>
      </c:valAx>
    </c:plotArea>
    <c:legend>
      <c:legendPos val="r"/>
      <c:overlay val="0"/>
    </c:legend>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'Tab.č.5.1+Graf.5.5.VEDATORI'!$A$39</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F183-43B5-B07E-EF4F62CD6620}"/>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3-F183-43B5-B07E-EF4F62CD6620}"/>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5-F183-43B5-B07E-EF4F62CD6620}"/>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7-F183-43B5-B07E-EF4F62CD6620}"/>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9-F183-43B5-B07E-EF4F62CD6620}"/>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B-F183-43B5-B07E-EF4F62CD6620}"/>
              </c:ext>
            </c:extLst>
          </c:dPt>
          <c:dPt>
            <c:idx val="8"/>
            <c:invertIfNegative val="0"/>
            <c:bubble3D val="0"/>
            <c:spPr>
              <a:solidFill>
                <a:srgbClr val="7030A0"/>
              </a:solidFill>
            </c:spPr>
            <c:extLst xmlns:c16r2="http://schemas.microsoft.com/office/drawing/2015/06/chart">
              <c:ext xmlns:c16="http://schemas.microsoft.com/office/drawing/2014/chart" uri="{C3380CC4-5D6E-409C-BE32-E72D297353CC}">
                <c16:uniqueId val="{0000000D-F183-43B5-B07E-EF4F62CD6620}"/>
              </c:ext>
            </c:extLst>
          </c:dPt>
          <c:cat>
            <c:strRef>
              <c:f>'Tab.č.5.1+Graf.5.5.VEDATORI'!$B$38:$J$38</c:f>
              <c:strCache>
                <c:ptCount val="9"/>
                <c:pt idx="0">
                  <c:v>SvF</c:v>
                </c:pt>
                <c:pt idx="1">
                  <c:v>SjF</c:v>
                </c:pt>
                <c:pt idx="2">
                  <c:v>FEI</c:v>
                </c:pt>
                <c:pt idx="3">
                  <c:v>FCHPT</c:v>
                </c:pt>
                <c:pt idx="4">
                  <c:v>FA</c:v>
                </c:pt>
                <c:pt idx="5">
                  <c:v>MTF</c:v>
                </c:pt>
                <c:pt idx="6">
                  <c:v>FIIT</c:v>
                </c:pt>
                <c:pt idx="7">
                  <c:v>Rektorát</c:v>
                </c:pt>
                <c:pt idx="8">
                  <c:v>ÚM</c:v>
                </c:pt>
              </c:strCache>
            </c:strRef>
          </c:cat>
          <c:val>
            <c:numRef>
              <c:f>'Tab.č.5.1+Graf.5.5.VEDATORI'!$G$44:$G$52</c:f>
              <c:numCache>
                <c:formatCode>0</c:formatCode>
                <c:ptCount val="9"/>
                <c:pt idx="0">
                  <c:v>249.3</c:v>
                </c:pt>
                <c:pt idx="1">
                  <c:v>119.3</c:v>
                </c:pt>
                <c:pt idx="2">
                  <c:v>232.64</c:v>
                </c:pt>
                <c:pt idx="3">
                  <c:v>283.69</c:v>
                </c:pt>
                <c:pt idx="4">
                  <c:v>100.97</c:v>
                </c:pt>
                <c:pt idx="5">
                  <c:v>203.94000000000003</c:v>
                </c:pt>
                <c:pt idx="6">
                  <c:v>44.680000000000007</c:v>
                </c:pt>
                <c:pt idx="7">
                  <c:v>8.44</c:v>
                </c:pt>
                <c:pt idx="8">
                  <c:v>34.090000000000003</c:v>
                </c:pt>
              </c:numCache>
            </c:numRef>
          </c:val>
          <c:extLst xmlns:c16r2="http://schemas.microsoft.com/office/drawing/2015/06/chart">
            <c:ext xmlns:c16="http://schemas.microsoft.com/office/drawing/2014/chart" uri="{C3380CC4-5D6E-409C-BE32-E72D297353CC}">
              <c16:uniqueId val="{0000000E-F183-43B5-B07E-EF4F62CD6620}"/>
            </c:ext>
          </c:extLst>
        </c:ser>
        <c:dLbls>
          <c:showLegendKey val="0"/>
          <c:showVal val="0"/>
          <c:showCatName val="0"/>
          <c:showSerName val="0"/>
          <c:showPercent val="0"/>
          <c:showBubbleSize val="0"/>
        </c:dLbls>
        <c:gapWidth val="150"/>
        <c:shape val="cylinder"/>
        <c:axId val="321256832"/>
        <c:axId val="321328256"/>
        <c:axId val="0"/>
      </c:bar3DChart>
      <c:catAx>
        <c:axId val="321256832"/>
        <c:scaling>
          <c:orientation val="minMax"/>
        </c:scaling>
        <c:delete val="0"/>
        <c:axPos val="b"/>
        <c:numFmt formatCode="General" sourceLinked="0"/>
        <c:majorTickMark val="none"/>
        <c:minorTickMark val="none"/>
        <c:tickLblPos val="nextTo"/>
        <c:crossAx val="321328256"/>
        <c:crosses val="autoZero"/>
        <c:auto val="1"/>
        <c:lblAlgn val="ctr"/>
        <c:lblOffset val="100"/>
        <c:noMultiLvlLbl val="0"/>
      </c:catAx>
      <c:valAx>
        <c:axId val="321328256"/>
        <c:scaling>
          <c:orientation val="minMax"/>
        </c:scaling>
        <c:delete val="0"/>
        <c:axPos val="l"/>
        <c:majorGridlines/>
        <c:numFmt formatCode="0" sourceLinked="1"/>
        <c:majorTickMark val="none"/>
        <c:minorTickMark val="none"/>
        <c:tickLblPos val="nextTo"/>
        <c:txPr>
          <a:bodyPr/>
          <a:lstStyle/>
          <a:p>
            <a:pPr>
              <a:defRPr>
                <a:latin typeface="+mj-lt"/>
              </a:defRPr>
            </a:pPr>
            <a:endParaRPr lang="sk-SK"/>
          </a:p>
        </c:txPr>
        <c:crossAx val="321256832"/>
        <c:crosses val="autoZero"/>
        <c:crossBetween val="between"/>
      </c:valAx>
      <c:dTable>
        <c:showHorzBorder val="1"/>
        <c:showVertBorder val="1"/>
        <c:showOutline val="1"/>
        <c:showKeys val="1"/>
        <c:spPr>
          <a:ln>
            <a:solidFill>
              <a:sysClr val="windowText" lastClr="000000"/>
            </a:solidFill>
          </a:ln>
        </c:spPr>
        <c:txPr>
          <a:bodyPr/>
          <a:lstStyle/>
          <a:p>
            <a:pPr rtl="0">
              <a:defRPr sz="900">
                <a:latin typeface="+mj-lt"/>
              </a:defRPr>
            </a:pPr>
            <a:endParaRPr lang="sk-SK"/>
          </a:p>
        </c:txPr>
      </c:dTable>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rtl="0">
              <a:defRPr/>
            </a:pPr>
            <a:r>
              <a:rPr lang="sk-SK" sz="1200"/>
              <a:t>Finančné prostriedky z domácich grantových agentúr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'tab.5.3+graf5.7VEGA,KEGA,APVV'!$A$104</c:f>
              <c:strCache>
                <c:ptCount val="1"/>
                <c:pt idx="0">
                  <c:v>STU</c:v>
                </c:pt>
              </c:strCache>
            </c:strRef>
          </c:tx>
          <c:spPr>
            <a:solidFill>
              <a:srgbClr val="C00000"/>
            </a:solidFill>
          </c:spPr>
          <c:invertIfNegative val="0"/>
          <c:cat>
            <c:numRef>
              <c:f>'tab.5.3+graf5.7VEGA,KEGA,APVV'!$B$103:$H$103</c:f>
              <c:numCache>
                <c:formatCode>General</c:formatCode>
                <c:ptCount val="7"/>
                <c:pt idx="0">
                  <c:v>2012</c:v>
                </c:pt>
                <c:pt idx="1">
                  <c:v>2013</c:v>
                </c:pt>
                <c:pt idx="2">
                  <c:v>2014</c:v>
                </c:pt>
                <c:pt idx="3">
                  <c:v>2015</c:v>
                </c:pt>
                <c:pt idx="4">
                  <c:v>2016</c:v>
                </c:pt>
                <c:pt idx="5">
                  <c:v>2017</c:v>
                </c:pt>
                <c:pt idx="6">
                  <c:v>2018</c:v>
                </c:pt>
              </c:numCache>
            </c:numRef>
          </c:cat>
          <c:val>
            <c:numRef>
              <c:f>'tab.5.3+graf5.7VEGA,KEGA,APVV'!$B$104:$H$104</c:f>
              <c:numCache>
                <c:formatCode>#,##0</c:formatCode>
                <c:ptCount val="7"/>
                <c:pt idx="0">
                  <c:v>4318888.76</c:v>
                </c:pt>
                <c:pt idx="1">
                  <c:v>5301963.88</c:v>
                </c:pt>
                <c:pt idx="2">
                  <c:v>5703150.3700000001</c:v>
                </c:pt>
                <c:pt idx="3">
                  <c:v>5420702</c:v>
                </c:pt>
                <c:pt idx="4">
                  <c:v>5473805</c:v>
                </c:pt>
                <c:pt idx="5">
                  <c:v>6064792.8200000003</c:v>
                </c:pt>
                <c:pt idx="6">
                  <c:v>6795577</c:v>
                </c:pt>
              </c:numCache>
            </c:numRef>
          </c:val>
          <c:extLst xmlns:c16r2="http://schemas.microsoft.com/office/drawing/2015/06/chart">
            <c:ext xmlns:c16="http://schemas.microsoft.com/office/drawing/2014/chart" uri="{C3380CC4-5D6E-409C-BE32-E72D297353CC}">
              <c16:uniqueId val="{00000000-F6FF-478E-B9DE-852B9DA9D767}"/>
            </c:ext>
          </c:extLst>
        </c:ser>
        <c:dLbls>
          <c:showLegendKey val="0"/>
          <c:showVal val="0"/>
          <c:showCatName val="0"/>
          <c:showSerName val="0"/>
          <c:showPercent val="0"/>
          <c:showBubbleSize val="0"/>
        </c:dLbls>
        <c:gapWidth val="150"/>
        <c:shape val="cylinder"/>
        <c:axId val="321350272"/>
        <c:axId val="321360256"/>
        <c:axId val="0"/>
      </c:bar3DChart>
      <c:catAx>
        <c:axId val="321350272"/>
        <c:scaling>
          <c:orientation val="minMax"/>
        </c:scaling>
        <c:delete val="0"/>
        <c:axPos val="b"/>
        <c:numFmt formatCode="General" sourceLinked="1"/>
        <c:majorTickMark val="none"/>
        <c:minorTickMark val="none"/>
        <c:tickLblPos val="nextTo"/>
        <c:crossAx val="321360256"/>
        <c:crosses val="autoZero"/>
        <c:auto val="1"/>
        <c:lblAlgn val="ctr"/>
        <c:lblOffset val="100"/>
        <c:noMultiLvlLbl val="0"/>
      </c:catAx>
      <c:valAx>
        <c:axId val="321360256"/>
        <c:scaling>
          <c:orientation val="minMax"/>
        </c:scaling>
        <c:delete val="0"/>
        <c:axPos val="l"/>
        <c:majorGridlines/>
        <c:title>
          <c:tx>
            <c:rich>
              <a:bodyPr/>
              <a:lstStyle/>
              <a:p>
                <a:pPr>
                  <a:defRPr/>
                </a:pPr>
                <a:r>
                  <a:rPr lang="sk-SK"/>
                  <a:t>EUR</a:t>
                </a:r>
                <a:endParaRPr lang="en-US"/>
              </a:p>
            </c:rich>
          </c:tx>
          <c:overlay val="0"/>
        </c:title>
        <c:numFmt formatCode="#,##0" sourceLinked="1"/>
        <c:majorTickMark val="none"/>
        <c:minorTickMark val="none"/>
        <c:tickLblPos val="nextTo"/>
        <c:crossAx val="321350272"/>
        <c:crosses val="autoZero"/>
        <c:crossBetween val="between"/>
      </c:valAx>
      <c:dTable>
        <c:showHorzBorder val="1"/>
        <c:showVertBorder val="1"/>
        <c:showOutline val="1"/>
        <c:showKeys val="1"/>
        <c:txPr>
          <a:bodyPr/>
          <a:lstStyle/>
          <a:p>
            <a:pPr rtl="0">
              <a:defRPr sz="800"/>
            </a:pPr>
            <a:endParaRPr lang="sk-SK"/>
          </a:p>
        </c:txPr>
      </c:dTable>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pPr>
        <a:noFill/>
        <a:ln>
          <a:noFill/>
        </a:ln>
        <a:effectLst/>
      </c:spPr>
    </c:sideWall>
    <c:backWall>
      <c:thickness val="0"/>
      <c:spPr>
        <a:noFill/>
        <a:ln>
          <a:noFill/>
        </a:ln>
        <a:effectLst/>
      </c:spPr>
    </c:backWall>
    <c:plotArea>
      <c:layout/>
      <c:bar3DChart>
        <c:barDir val="col"/>
        <c:grouping val="stacked"/>
        <c:varyColors val="0"/>
        <c:ser>
          <c:idx val="0"/>
          <c:order val="0"/>
          <c:tx>
            <c:strRef>
              <c:f>Graf3_vývoj_celkom!$A$3</c:f>
              <c:strCache>
                <c:ptCount val="1"/>
                <c:pt idx="0">
                  <c:v>I. stupeň</c:v>
                </c:pt>
              </c:strCache>
            </c:strRef>
          </c:tx>
          <c:spPr>
            <a:gradFill flip="none" rotWithShape="1">
              <a:gsLst>
                <a:gs pos="0">
                  <a:schemeClr val="accent1">
                    <a:lumMod val="40000"/>
                    <a:lumOff val="60000"/>
                  </a:schemeClr>
                </a:gs>
                <a:gs pos="35000">
                  <a:schemeClr val="accent1">
                    <a:lumMod val="0"/>
                    <a:lumOff val="100000"/>
                  </a:schemeClr>
                </a:gs>
                <a:gs pos="100000">
                  <a:schemeClr val="accent1">
                    <a:lumMod val="100000"/>
                  </a:schemeClr>
                </a:gs>
              </a:gsLst>
              <a:path path="circle">
                <a:fillToRect l="50000" t="-80000" r="50000" b="180000"/>
              </a:path>
              <a:tileRect/>
            </a:gradFill>
            <a:ln>
              <a:noFill/>
            </a:ln>
            <a:effectLst/>
          </c:spPr>
          <c:invertIfNegative val="0"/>
          <c:dLbls>
            <c:spPr>
              <a:noFill/>
              <a:ln>
                <a:noFill/>
              </a:ln>
              <a:effectLst/>
            </c:spPr>
            <c:txPr>
              <a:bodyPr rot="-5400000" vert="horz"/>
              <a:lstStyle/>
              <a:p>
                <a:pPr>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Graf3_vývoj_celkom!$D$2:$J$2</c:f>
              <c:strCache>
                <c:ptCount val="7"/>
                <c:pt idx="0">
                  <c:v>2011/2012</c:v>
                </c:pt>
                <c:pt idx="1">
                  <c:v>2012/2013</c:v>
                </c:pt>
                <c:pt idx="2">
                  <c:v>2013/2014</c:v>
                </c:pt>
                <c:pt idx="3">
                  <c:v>2014/2015</c:v>
                </c:pt>
                <c:pt idx="4">
                  <c:v>2015/2016</c:v>
                </c:pt>
                <c:pt idx="5">
                  <c:v>2016/2017</c:v>
                </c:pt>
                <c:pt idx="6">
                  <c:v>2017/2018</c:v>
                </c:pt>
              </c:strCache>
              <c:extLst xmlns:c16r2="http://schemas.microsoft.com/office/drawing/2015/06/chart"/>
            </c:strRef>
          </c:cat>
          <c:val>
            <c:numRef>
              <c:f>Graf3_vývoj_celkom!$D$3:$J$3</c:f>
              <c:numCache>
                <c:formatCode>#,##0</c:formatCode>
                <c:ptCount val="7"/>
                <c:pt idx="0">
                  <c:v>10825</c:v>
                </c:pt>
                <c:pt idx="1">
                  <c:v>10883</c:v>
                </c:pt>
                <c:pt idx="2">
                  <c:v>10619</c:v>
                </c:pt>
                <c:pt idx="3">
                  <c:v>9936</c:v>
                </c:pt>
                <c:pt idx="4">
                  <c:v>8977</c:v>
                </c:pt>
                <c:pt idx="5">
                  <c:v>8020</c:v>
                </c:pt>
                <c:pt idx="6">
                  <c:v>7136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4E92-489F-BFA4-42226379464C}"/>
            </c:ext>
          </c:extLst>
        </c:ser>
        <c:ser>
          <c:idx val="1"/>
          <c:order val="1"/>
          <c:tx>
            <c:strRef>
              <c:f>Graf3_vývoj_celkom!$A$4</c:f>
              <c:strCache>
                <c:ptCount val="1"/>
                <c:pt idx="0">
                  <c:v>II. stupeň</c:v>
                </c:pt>
              </c:strCache>
            </c:strRef>
          </c:tx>
          <c:spPr>
            <a:gradFill>
              <a:gsLst>
                <a:gs pos="0">
                  <a:schemeClr val="accent2">
                    <a:lumMod val="60000"/>
                    <a:lumOff val="40000"/>
                  </a:schemeClr>
                </a:gs>
                <a:gs pos="32000">
                  <a:schemeClr val="accent2">
                    <a:lumMod val="0"/>
                    <a:lumOff val="100000"/>
                  </a:schemeClr>
                </a:gs>
                <a:gs pos="100000">
                  <a:schemeClr val="accent2">
                    <a:lumMod val="100000"/>
                  </a:schemeClr>
                </a:gs>
              </a:gsLst>
              <a:path path="circle">
                <a:fillToRect l="50000" t="-80000" r="50000" b="180000"/>
              </a:path>
            </a:gradFill>
            <a:ln>
              <a:noFill/>
            </a:ln>
            <a:effectLst/>
          </c:spPr>
          <c:invertIfNegative val="0"/>
          <c:dLbls>
            <c:spPr>
              <a:noFill/>
              <a:ln>
                <a:noFill/>
              </a:ln>
              <a:effectLst/>
            </c:spPr>
            <c:txPr>
              <a:bodyPr rot="-5400000" vert="horz"/>
              <a:lstStyle/>
              <a:p>
                <a:pPr>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Graf3_vývoj_celkom!$D$2:$J$2</c:f>
              <c:strCache>
                <c:ptCount val="7"/>
                <c:pt idx="0">
                  <c:v>2011/2012</c:v>
                </c:pt>
                <c:pt idx="1">
                  <c:v>2012/2013</c:v>
                </c:pt>
                <c:pt idx="2">
                  <c:v>2013/2014</c:v>
                </c:pt>
                <c:pt idx="3">
                  <c:v>2014/2015</c:v>
                </c:pt>
                <c:pt idx="4">
                  <c:v>2015/2016</c:v>
                </c:pt>
                <c:pt idx="5">
                  <c:v>2016/2017</c:v>
                </c:pt>
                <c:pt idx="6">
                  <c:v>2017/2018</c:v>
                </c:pt>
              </c:strCache>
              <c:extLst xmlns:c16r2="http://schemas.microsoft.com/office/drawing/2015/06/chart"/>
            </c:strRef>
          </c:cat>
          <c:val>
            <c:numRef>
              <c:f>Graf3_vývoj_celkom!$D$4:$J$4</c:f>
              <c:numCache>
                <c:formatCode>#,##0</c:formatCode>
                <c:ptCount val="7"/>
                <c:pt idx="0">
                  <c:v>5220</c:v>
                </c:pt>
                <c:pt idx="1">
                  <c:v>4640</c:v>
                </c:pt>
                <c:pt idx="2">
                  <c:v>4419</c:v>
                </c:pt>
                <c:pt idx="3">
                  <c:v>4239</c:v>
                </c:pt>
                <c:pt idx="4">
                  <c:v>4289</c:v>
                </c:pt>
                <c:pt idx="5">
                  <c:v>4205</c:v>
                </c:pt>
                <c:pt idx="6">
                  <c:v>3815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4E92-489F-BFA4-42226379464C}"/>
            </c:ext>
          </c:extLst>
        </c:ser>
        <c:ser>
          <c:idx val="2"/>
          <c:order val="2"/>
          <c:tx>
            <c:strRef>
              <c:f>Graf3_vývoj_celkom!$A$5</c:f>
              <c:strCache>
                <c:ptCount val="1"/>
                <c:pt idx="0">
                  <c:v>III. stupeň</c:v>
                </c:pt>
              </c:strCache>
            </c:strRef>
          </c:tx>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a:effectLst/>
          </c:spPr>
          <c:invertIfNegative val="0"/>
          <c:dPt>
            <c:idx val="6"/>
            <c:invertIfNegative val="0"/>
            <c:bubble3D val="0"/>
            <c:extLst xmlns:c16r2="http://schemas.microsoft.com/office/drawing/2015/06/chart">
              <c:ext xmlns:c16="http://schemas.microsoft.com/office/drawing/2014/chart" uri="{C3380CC4-5D6E-409C-BE32-E72D297353CC}">
                <c16:uniqueId val="{00000009-4E92-489F-BFA4-42226379464C}"/>
              </c:ext>
            </c:extLst>
          </c:dPt>
          <c:dLbls>
            <c:dLbl>
              <c:idx val="0"/>
              <c:layout>
                <c:manualLayout>
                  <c:x val="1.1554012917932259E-2"/>
                  <c:y val="-7.71929611291722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92-489F-BFA4-42226379464C}"/>
                </c:ext>
              </c:extLst>
            </c:dLbl>
            <c:dLbl>
              <c:idx val="1"/>
              <c:layout>
                <c:manualLayout>
                  <c:x val="9.2432103343458409E-3"/>
                  <c:y val="-7.36841901687552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92-489F-BFA4-42226379464C}"/>
                </c:ext>
              </c:extLst>
            </c:dLbl>
            <c:dLbl>
              <c:idx val="2"/>
              <c:layout>
                <c:manualLayout>
                  <c:x val="0"/>
                  <c:y val="-7.01754192083384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92-489F-BFA4-42226379464C}"/>
                </c:ext>
              </c:extLst>
            </c:dLbl>
            <c:dLbl>
              <c:idx val="3"/>
              <c:layout>
                <c:manualLayout>
                  <c:x val="0"/>
                  <c:y val="-8.0701732089589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E92-489F-BFA4-42226379464C}"/>
                </c:ext>
              </c:extLst>
            </c:dLbl>
            <c:dLbl>
              <c:idx val="4"/>
              <c:layout>
                <c:manualLayout>
                  <c:x val="-8.4728449274560695E-17"/>
                  <c:y val="-7.71929611291722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92-489F-BFA4-42226379464C}"/>
                </c:ext>
              </c:extLst>
            </c:dLbl>
            <c:dLbl>
              <c:idx val="5"/>
              <c:layout>
                <c:manualLayout>
                  <c:x val="4.6216051671730055E-3"/>
                  <c:y val="-6.666664824792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E92-489F-BFA4-42226379464C}"/>
                </c:ext>
              </c:extLst>
            </c:dLbl>
            <c:dLbl>
              <c:idx val="6"/>
              <c:layout>
                <c:manualLayout>
                  <c:x val="9.2432103343458409E-3"/>
                  <c:y val="-6.31578772875045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E92-489F-BFA4-42226379464C}"/>
                </c:ext>
              </c:extLst>
            </c:dLbl>
            <c:spPr>
              <a:noFill/>
              <a:ln>
                <a:noFill/>
              </a:ln>
              <a:effectLst/>
            </c:spPr>
            <c:txPr>
              <a:bodyPr rot="0" vert="horz"/>
              <a:lstStyle/>
              <a:p>
                <a:pPr>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Graf3_vývoj_celkom!$D$2:$J$2</c:f>
              <c:strCache>
                <c:ptCount val="7"/>
                <c:pt idx="0">
                  <c:v>2011/2012</c:v>
                </c:pt>
                <c:pt idx="1">
                  <c:v>2012/2013</c:v>
                </c:pt>
                <c:pt idx="2">
                  <c:v>2013/2014</c:v>
                </c:pt>
                <c:pt idx="3">
                  <c:v>2014/2015</c:v>
                </c:pt>
                <c:pt idx="4">
                  <c:v>2015/2016</c:v>
                </c:pt>
                <c:pt idx="5">
                  <c:v>2016/2017</c:v>
                </c:pt>
                <c:pt idx="6">
                  <c:v>2017/2018</c:v>
                </c:pt>
              </c:strCache>
              <c:extLst xmlns:c16r2="http://schemas.microsoft.com/office/drawing/2015/06/chart"/>
            </c:strRef>
          </c:cat>
          <c:val>
            <c:numRef>
              <c:f>Graf3_vývoj_celkom!$D$5:$J$5</c:f>
              <c:numCache>
                <c:formatCode>#,##0</c:formatCode>
                <c:ptCount val="7"/>
                <c:pt idx="0">
                  <c:v>1691</c:v>
                </c:pt>
                <c:pt idx="1">
                  <c:v>1536</c:v>
                </c:pt>
                <c:pt idx="2">
                  <c:v>1364</c:v>
                </c:pt>
                <c:pt idx="3">
                  <c:v>1228</c:v>
                </c:pt>
                <c:pt idx="4">
                  <c:v>1020</c:v>
                </c:pt>
                <c:pt idx="5">
                  <c:v>883</c:v>
                </c:pt>
                <c:pt idx="6">
                  <c:v>797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4E92-489F-BFA4-42226379464C}"/>
            </c:ext>
          </c:extLst>
        </c:ser>
        <c:dLbls>
          <c:showLegendKey val="0"/>
          <c:showVal val="1"/>
          <c:showCatName val="0"/>
          <c:showSerName val="0"/>
          <c:showPercent val="0"/>
          <c:showBubbleSize val="0"/>
        </c:dLbls>
        <c:gapWidth val="150"/>
        <c:shape val="box"/>
        <c:axId val="308491776"/>
        <c:axId val="308493312"/>
        <c:axId val="0"/>
      </c:bar3DChart>
      <c:catAx>
        <c:axId val="30849177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round/>
          </a:ln>
          <a:effectLst/>
        </c:spPr>
        <c:txPr>
          <a:bodyPr rot="-2220000"/>
          <a:lstStyle/>
          <a:p>
            <a:pPr>
              <a:defRPr/>
            </a:pPr>
            <a:endParaRPr lang="sk-SK"/>
          </a:p>
        </c:txPr>
        <c:crossAx val="308493312"/>
        <c:crosses val="autoZero"/>
        <c:auto val="1"/>
        <c:lblAlgn val="ctr"/>
        <c:lblOffset val="100"/>
        <c:noMultiLvlLbl val="0"/>
      </c:catAx>
      <c:valAx>
        <c:axId val="30849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tint val="75000"/>
                <a:shade val="95000"/>
                <a:satMod val="105000"/>
              </a:schemeClr>
            </a:solidFill>
          </a:ln>
          <a:effectLst/>
        </c:spPr>
        <c:txPr>
          <a:bodyPr rot="-60000000" vert="horz"/>
          <a:lstStyle/>
          <a:p>
            <a:pPr>
              <a:defRPr/>
            </a:pPr>
            <a:endParaRPr lang="sk-SK"/>
          </a:p>
        </c:txPr>
        <c:crossAx val="308491776"/>
        <c:crosses val="autoZero"/>
        <c:crossBetween val="between"/>
        <c:majorUnit val="3000"/>
      </c:valAx>
    </c:plotArea>
    <c:legend>
      <c:legendPos val="b"/>
      <c:overlay val="0"/>
      <c:spPr>
        <a:noFill/>
        <a:ln>
          <a:noFill/>
        </a:ln>
        <a:effectLst/>
      </c:spPr>
      <c:txPr>
        <a:bodyPr rot="0" vert="horz"/>
        <a:lstStyle/>
        <a:p>
          <a:pPr>
            <a:defRPr/>
          </a:pPr>
          <a:endParaRPr lang="sk-SK"/>
        </a:p>
      </c:txPr>
    </c:legend>
    <c:plotVisOnly val="1"/>
    <c:dispBlanksAs val="gap"/>
    <c:showDLblsOverMax val="0"/>
  </c:chart>
  <c:spPr>
    <a:noFill/>
    <a:ln w="9525" cap="flat" cmpd="sng" algn="ctr">
      <a:noFill/>
      <a:round/>
    </a:ln>
    <a:effectLst/>
  </c:spPr>
  <c:txPr>
    <a:bodyPr/>
    <a:lstStyle/>
    <a:p>
      <a:pPr>
        <a:defRPr sz="1000">
          <a:latin typeface="+mj-lt"/>
        </a:defRPr>
      </a:pPr>
      <a:endParaRPr lang="sk-SK"/>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'tab.5.3+graf5.9.VEGA,KEGA,APVV'!$A$118</c:f>
              <c:strCache>
                <c:ptCount val="1"/>
                <c:pt idx="0">
                  <c:v>STU</c:v>
                </c:pt>
              </c:strCache>
            </c:strRef>
          </c:tx>
          <c:spPr>
            <a:solidFill>
              <a:srgbClr val="C00000"/>
            </a:solidFill>
          </c:spPr>
          <c:invertIfNegative val="0"/>
          <c:dPt>
            <c:idx val="0"/>
            <c:invertIfNegative val="0"/>
            <c:bubble3D val="0"/>
            <c:spPr>
              <a:solidFill>
                <a:srgbClr val="FFC000"/>
              </a:solidFill>
            </c:spPr>
            <c:extLst xmlns:c16r2="http://schemas.microsoft.com/office/drawing/2015/06/chart">
              <c:ext xmlns:c16="http://schemas.microsoft.com/office/drawing/2014/chart" uri="{C3380CC4-5D6E-409C-BE32-E72D297353CC}">
                <c16:uniqueId val="{00000001-A4B7-4F8A-B98A-03E0BCD3937C}"/>
              </c:ext>
            </c:extLst>
          </c:dPt>
          <c:dPt>
            <c:idx val="1"/>
            <c:invertIfNegative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3-A4B7-4F8A-B98A-03E0BCD3937C}"/>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A4B7-4F8A-B98A-03E0BCD3937C}"/>
              </c:ext>
            </c:extLst>
          </c:dPt>
          <c:dPt>
            <c:idx val="3"/>
            <c:invertIfNegative val="0"/>
            <c:bubble3D val="0"/>
            <c:spPr>
              <a:solidFill>
                <a:srgbClr val="EAEA16"/>
              </a:solidFill>
            </c:spPr>
            <c:extLst xmlns:c16r2="http://schemas.microsoft.com/office/drawing/2015/06/chart">
              <c:ext xmlns:c16="http://schemas.microsoft.com/office/drawing/2014/chart" uri="{C3380CC4-5D6E-409C-BE32-E72D297353CC}">
                <c16:uniqueId val="{00000007-A4B7-4F8A-B98A-03E0BCD3937C}"/>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A4B7-4F8A-B98A-03E0BCD3937C}"/>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A4B7-4F8A-B98A-03E0BCD3937C}"/>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A4B7-4F8A-B98A-03E0BCD3937C}"/>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A4B7-4F8A-B98A-03E0BCD3937C}"/>
              </c:ext>
            </c:extLst>
          </c:dPt>
          <c:cat>
            <c:strRef>
              <c:f>'tab.5.3+graf5.9.VEGA,KEGA,APVV'!$B$117:$J$117</c:f>
              <c:strCache>
                <c:ptCount val="9"/>
                <c:pt idx="0">
                  <c:v>SvF</c:v>
                </c:pt>
                <c:pt idx="1">
                  <c:v>SjF</c:v>
                </c:pt>
                <c:pt idx="2">
                  <c:v>FEI</c:v>
                </c:pt>
                <c:pt idx="3">
                  <c:v>FCHPT</c:v>
                </c:pt>
                <c:pt idx="4">
                  <c:v>FA</c:v>
                </c:pt>
                <c:pt idx="5">
                  <c:v>MTF</c:v>
                </c:pt>
                <c:pt idx="6">
                  <c:v>FIIT</c:v>
                </c:pt>
                <c:pt idx="7">
                  <c:v>UM</c:v>
                </c:pt>
                <c:pt idx="8">
                  <c:v>R-STU</c:v>
                </c:pt>
              </c:strCache>
            </c:strRef>
          </c:cat>
          <c:val>
            <c:numRef>
              <c:f>'tab.5.3+graf5.9.VEGA,KEGA,APVV'!$B$118:$J$118</c:f>
              <c:numCache>
                <c:formatCode>#,##0</c:formatCode>
                <c:ptCount val="9"/>
                <c:pt idx="0">
                  <c:v>888432</c:v>
                </c:pt>
                <c:pt idx="1">
                  <c:v>696279</c:v>
                </c:pt>
                <c:pt idx="2">
                  <c:v>1906679</c:v>
                </c:pt>
                <c:pt idx="3">
                  <c:v>2221957.5</c:v>
                </c:pt>
                <c:pt idx="4">
                  <c:v>116026</c:v>
                </c:pt>
                <c:pt idx="5">
                  <c:v>629802</c:v>
                </c:pt>
                <c:pt idx="6">
                  <c:v>193703</c:v>
                </c:pt>
                <c:pt idx="7">
                  <c:v>27391</c:v>
                </c:pt>
                <c:pt idx="8">
                  <c:v>115307</c:v>
                </c:pt>
              </c:numCache>
            </c:numRef>
          </c:val>
          <c:extLst xmlns:c16r2="http://schemas.microsoft.com/office/drawing/2015/06/chart">
            <c:ext xmlns:c16="http://schemas.microsoft.com/office/drawing/2014/chart" uri="{C3380CC4-5D6E-409C-BE32-E72D297353CC}">
              <c16:uniqueId val="{00000010-A4B7-4F8A-B98A-03E0BCD3937C}"/>
            </c:ext>
          </c:extLst>
        </c:ser>
        <c:dLbls>
          <c:showLegendKey val="0"/>
          <c:showVal val="0"/>
          <c:showCatName val="0"/>
          <c:showSerName val="0"/>
          <c:showPercent val="0"/>
          <c:showBubbleSize val="0"/>
        </c:dLbls>
        <c:gapWidth val="150"/>
        <c:shape val="cylinder"/>
        <c:axId val="321410176"/>
        <c:axId val="321411712"/>
        <c:axId val="0"/>
      </c:bar3DChart>
      <c:catAx>
        <c:axId val="321410176"/>
        <c:scaling>
          <c:orientation val="minMax"/>
        </c:scaling>
        <c:delete val="0"/>
        <c:axPos val="b"/>
        <c:numFmt formatCode="General" sourceLinked="0"/>
        <c:majorTickMark val="none"/>
        <c:minorTickMark val="none"/>
        <c:tickLblPos val="nextTo"/>
        <c:crossAx val="321411712"/>
        <c:crosses val="autoZero"/>
        <c:auto val="1"/>
        <c:lblAlgn val="ctr"/>
        <c:lblOffset val="100"/>
        <c:noMultiLvlLbl val="0"/>
      </c:catAx>
      <c:valAx>
        <c:axId val="321411712"/>
        <c:scaling>
          <c:orientation val="minMax"/>
        </c:scaling>
        <c:delete val="0"/>
        <c:axPos val="l"/>
        <c:majorGridlines/>
        <c:numFmt formatCode="#,##0" sourceLinked="1"/>
        <c:majorTickMark val="none"/>
        <c:minorTickMark val="none"/>
        <c:tickLblPos val="nextTo"/>
        <c:crossAx val="321410176"/>
        <c:crosses val="autoZero"/>
        <c:crossBetween val="between"/>
      </c:valAx>
      <c:dTable>
        <c:showHorzBorder val="1"/>
        <c:showVertBorder val="1"/>
        <c:showOutline val="1"/>
        <c:showKeys val="1"/>
        <c:txPr>
          <a:bodyPr/>
          <a:lstStyle/>
          <a:p>
            <a:pPr rtl="0">
              <a:defRPr sz="800"/>
            </a:pPr>
            <a:endParaRPr lang="sk-SK"/>
          </a:p>
        </c:txPr>
      </c:dTable>
    </c:plotArea>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k-SK" sz="1200"/>
              <a:t>Finančné prostriedky zo zahr. výsk. grantových agentúr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'graf.5.9.č.zahraničné granty'!$J$20</c:f>
              <c:strCache>
                <c:ptCount val="1"/>
                <c:pt idx="0">
                  <c:v>STU</c:v>
                </c:pt>
              </c:strCache>
            </c:strRef>
          </c:tx>
          <c:spPr>
            <a:solidFill>
              <a:srgbClr val="C00000"/>
            </a:solidFill>
          </c:spPr>
          <c:invertIfNegative val="0"/>
          <c:cat>
            <c:numRef>
              <c:f>'graf.5.9.č.zahraničné granty'!$K$19:$Q$19</c:f>
              <c:numCache>
                <c:formatCode>General</c:formatCode>
                <c:ptCount val="7"/>
                <c:pt idx="0">
                  <c:v>2012</c:v>
                </c:pt>
                <c:pt idx="1">
                  <c:v>2013</c:v>
                </c:pt>
                <c:pt idx="2">
                  <c:v>2014</c:v>
                </c:pt>
                <c:pt idx="3">
                  <c:v>2015</c:v>
                </c:pt>
                <c:pt idx="4">
                  <c:v>2016</c:v>
                </c:pt>
                <c:pt idx="5">
                  <c:v>2017</c:v>
                </c:pt>
                <c:pt idx="6">
                  <c:v>2018</c:v>
                </c:pt>
              </c:numCache>
            </c:numRef>
          </c:cat>
          <c:val>
            <c:numRef>
              <c:f>'graf.5.9.č.zahraničné granty'!$K$20:$Q$20</c:f>
              <c:numCache>
                <c:formatCode>#,##0_ ;\-#,##0\ </c:formatCode>
                <c:ptCount val="7"/>
                <c:pt idx="0">
                  <c:v>616865.35</c:v>
                </c:pt>
                <c:pt idx="1">
                  <c:v>815307</c:v>
                </c:pt>
                <c:pt idx="2">
                  <c:v>974206</c:v>
                </c:pt>
                <c:pt idx="3">
                  <c:v>1149300</c:v>
                </c:pt>
                <c:pt idx="4">
                  <c:v>2119406.2600000002</c:v>
                </c:pt>
                <c:pt idx="5">
                  <c:v>1304642.01</c:v>
                </c:pt>
                <c:pt idx="6" formatCode="#,##0">
                  <c:v>1698600.3799999997</c:v>
                </c:pt>
              </c:numCache>
            </c:numRef>
          </c:val>
          <c:extLst xmlns:c16r2="http://schemas.microsoft.com/office/drawing/2015/06/chart">
            <c:ext xmlns:c16="http://schemas.microsoft.com/office/drawing/2014/chart" uri="{C3380CC4-5D6E-409C-BE32-E72D297353CC}">
              <c16:uniqueId val="{00000000-E1D3-4892-B450-0A24A65292BE}"/>
            </c:ext>
          </c:extLst>
        </c:ser>
        <c:dLbls>
          <c:showLegendKey val="0"/>
          <c:showVal val="0"/>
          <c:showCatName val="0"/>
          <c:showSerName val="0"/>
          <c:showPercent val="0"/>
          <c:showBubbleSize val="0"/>
        </c:dLbls>
        <c:gapWidth val="150"/>
        <c:shape val="cylinder"/>
        <c:axId val="321425792"/>
        <c:axId val="321427328"/>
        <c:axId val="0"/>
      </c:bar3DChart>
      <c:catAx>
        <c:axId val="321425792"/>
        <c:scaling>
          <c:orientation val="minMax"/>
        </c:scaling>
        <c:delete val="0"/>
        <c:axPos val="b"/>
        <c:numFmt formatCode="General" sourceLinked="1"/>
        <c:majorTickMark val="none"/>
        <c:minorTickMark val="none"/>
        <c:tickLblPos val="nextTo"/>
        <c:crossAx val="321427328"/>
        <c:crosses val="autoZero"/>
        <c:auto val="1"/>
        <c:lblAlgn val="ctr"/>
        <c:lblOffset val="100"/>
        <c:noMultiLvlLbl val="0"/>
      </c:catAx>
      <c:valAx>
        <c:axId val="321427328"/>
        <c:scaling>
          <c:orientation val="minMax"/>
        </c:scaling>
        <c:delete val="0"/>
        <c:axPos val="l"/>
        <c:majorGridlines/>
        <c:title>
          <c:tx>
            <c:rich>
              <a:bodyPr/>
              <a:lstStyle/>
              <a:p>
                <a:pPr>
                  <a:defRPr/>
                </a:pPr>
                <a:r>
                  <a:rPr lang="sk-SK"/>
                  <a:t>EUR</a:t>
                </a:r>
              </a:p>
            </c:rich>
          </c:tx>
          <c:overlay val="0"/>
        </c:title>
        <c:numFmt formatCode="#,##0_ ;\-#,##0\ " sourceLinked="1"/>
        <c:majorTickMark val="none"/>
        <c:minorTickMark val="none"/>
        <c:tickLblPos val="nextTo"/>
        <c:crossAx val="321425792"/>
        <c:crosses val="autoZero"/>
        <c:crossBetween val="between"/>
      </c:valAx>
      <c:dTable>
        <c:showHorzBorder val="1"/>
        <c:showVertBorder val="1"/>
        <c:showOutline val="1"/>
        <c:showKeys val="1"/>
        <c:txPr>
          <a:bodyPr/>
          <a:lstStyle/>
          <a:p>
            <a:pPr rtl="0">
              <a:defRPr sz="800"/>
            </a:pPr>
            <a:endParaRPr lang="sk-SK"/>
          </a:p>
        </c:txPr>
      </c:dTable>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'graf.č.5.priemer na pracov'!$A$87</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A44F-445D-8BBE-2C13A920D8C6}"/>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A44F-445D-8BBE-2C13A920D8C6}"/>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A44F-445D-8BBE-2C13A920D8C6}"/>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A44F-445D-8BBE-2C13A920D8C6}"/>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A44F-445D-8BBE-2C13A920D8C6}"/>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A44F-445D-8BBE-2C13A920D8C6}"/>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A44F-445D-8BBE-2C13A920D8C6}"/>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A44F-445D-8BBE-2C13A920D8C6}"/>
              </c:ext>
            </c:extLst>
          </c:dPt>
          <c:cat>
            <c:strRef>
              <c:f>'graf.č.5.priemer na pracov'!$B$86:$J$86</c:f>
              <c:strCache>
                <c:ptCount val="9"/>
                <c:pt idx="0">
                  <c:v>SvF</c:v>
                </c:pt>
                <c:pt idx="1">
                  <c:v>SjF</c:v>
                </c:pt>
                <c:pt idx="2">
                  <c:v>FEI</c:v>
                </c:pt>
                <c:pt idx="3">
                  <c:v>FCHPT</c:v>
                </c:pt>
                <c:pt idx="4">
                  <c:v>FA</c:v>
                </c:pt>
                <c:pt idx="5">
                  <c:v>MTF</c:v>
                </c:pt>
                <c:pt idx="6">
                  <c:v>FIIT</c:v>
                </c:pt>
                <c:pt idx="7">
                  <c:v>ÚM</c:v>
                </c:pt>
                <c:pt idx="8">
                  <c:v>R STU</c:v>
                </c:pt>
              </c:strCache>
            </c:strRef>
          </c:cat>
          <c:val>
            <c:numRef>
              <c:f>'graf.č.5.priemer na pracov'!$B$87:$J$87</c:f>
              <c:numCache>
                <c:formatCode>#,##0</c:formatCode>
                <c:ptCount val="9"/>
                <c:pt idx="0">
                  <c:v>351061</c:v>
                </c:pt>
                <c:pt idx="1">
                  <c:v>118598</c:v>
                </c:pt>
                <c:pt idx="2">
                  <c:v>479256</c:v>
                </c:pt>
                <c:pt idx="3">
                  <c:v>432506</c:v>
                </c:pt>
                <c:pt idx="4">
                  <c:v>21049</c:v>
                </c:pt>
                <c:pt idx="5">
                  <c:v>204358</c:v>
                </c:pt>
                <c:pt idx="6">
                  <c:v>56370</c:v>
                </c:pt>
                <c:pt idx="7">
                  <c:v>14342</c:v>
                </c:pt>
                <c:pt idx="8">
                  <c:v>11497</c:v>
                </c:pt>
              </c:numCache>
            </c:numRef>
          </c:val>
          <c:extLst xmlns:c16r2="http://schemas.microsoft.com/office/drawing/2015/06/chart">
            <c:ext xmlns:c16="http://schemas.microsoft.com/office/drawing/2014/chart" uri="{C3380CC4-5D6E-409C-BE32-E72D297353CC}">
              <c16:uniqueId val="{00000010-A44F-445D-8BBE-2C13A920D8C6}"/>
            </c:ext>
          </c:extLst>
        </c:ser>
        <c:dLbls>
          <c:showLegendKey val="0"/>
          <c:showVal val="0"/>
          <c:showCatName val="0"/>
          <c:showSerName val="0"/>
          <c:showPercent val="0"/>
          <c:showBubbleSize val="0"/>
        </c:dLbls>
        <c:gapWidth val="150"/>
        <c:shape val="cylinder"/>
        <c:axId val="324233856"/>
        <c:axId val="324235648"/>
        <c:axId val="0"/>
      </c:bar3DChart>
      <c:catAx>
        <c:axId val="324233856"/>
        <c:scaling>
          <c:orientation val="minMax"/>
        </c:scaling>
        <c:delete val="0"/>
        <c:axPos val="b"/>
        <c:numFmt formatCode="General" sourceLinked="0"/>
        <c:majorTickMark val="none"/>
        <c:minorTickMark val="none"/>
        <c:tickLblPos val="nextTo"/>
        <c:crossAx val="324235648"/>
        <c:crosses val="autoZero"/>
        <c:auto val="1"/>
        <c:lblAlgn val="ctr"/>
        <c:lblOffset val="100"/>
        <c:noMultiLvlLbl val="0"/>
      </c:catAx>
      <c:valAx>
        <c:axId val="324235648"/>
        <c:scaling>
          <c:orientation val="minMax"/>
        </c:scaling>
        <c:delete val="0"/>
        <c:axPos val="l"/>
        <c:majorGridlines/>
        <c:title>
          <c:tx>
            <c:rich>
              <a:bodyPr/>
              <a:lstStyle/>
              <a:p>
                <a:pPr>
                  <a:defRPr/>
                </a:pPr>
                <a:r>
                  <a:rPr lang="sk-SK"/>
                  <a:t>EUR</a:t>
                </a:r>
              </a:p>
            </c:rich>
          </c:tx>
          <c:overlay val="0"/>
        </c:title>
        <c:numFmt formatCode="#,##0" sourceLinked="1"/>
        <c:majorTickMark val="none"/>
        <c:minorTickMark val="none"/>
        <c:tickLblPos val="nextTo"/>
        <c:crossAx val="324233856"/>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'graf.č.5.priemer na pracov'!$A$114</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F6B6-41BC-A181-E388D48A14EE}"/>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F6B6-41BC-A181-E388D48A14EE}"/>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F6B6-41BC-A181-E388D48A14EE}"/>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F6B6-41BC-A181-E388D48A14EE}"/>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F6B6-41BC-A181-E388D48A14EE}"/>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F6B6-41BC-A181-E388D48A14EE}"/>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F6B6-41BC-A181-E388D48A14EE}"/>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F6B6-41BC-A181-E388D48A14EE}"/>
              </c:ext>
            </c:extLst>
          </c:dPt>
          <c:cat>
            <c:strRef>
              <c:f>'graf.č.5.priemer na pracov'!$B$113:$J$113</c:f>
              <c:strCache>
                <c:ptCount val="9"/>
                <c:pt idx="0">
                  <c:v>SvF</c:v>
                </c:pt>
                <c:pt idx="1">
                  <c:v>SjF</c:v>
                </c:pt>
                <c:pt idx="2">
                  <c:v>FEI</c:v>
                </c:pt>
                <c:pt idx="3">
                  <c:v>FCHPT</c:v>
                </c:pt>
                <c:pt idx="4">
                  <c:v>FA</c:v>
                </c:pt>
                <c:pt idx="5">
                  <c:v>MTF</c:v>
                </c:pt>
                <c:pt idx="6">
                  <c:v>FIIT</c:v>
                </c:pt>
                <c:pt idx="7">
                  <c:v>ÚM</c:v>
                </c:pt>
                <c:pt idx="8">
                  <c:v>R STU</c:v>
                </c:pt>
              </c:strCache>
            </c:strRef>
          </c:cat>
          <c:val>
            <c:numRef>
              <c:f>'graf.č.5.priemer na pracov'!$B$114:$J$114</c:f>
              <c:numCache>
                <c:formatCode>#,##0</c:formatCode>
                <c:ptCount val="9"/>
                <c:pt idx="0">
                  <c:v>1408.1869233854793</c:v>
                </c:pt>
                <c:pt idx="1">
                  <c:v>994.11567476948869</c:v>
                </c:pt>
                <c:pt idx="2">
                  <c:v>2060.0756533700137</c:v>
                </c:pt>
                <c:pt idx="3">
                  <c:v>1524.5725968486729</c:v>
                </c:pt>
                <c:pt idx="4">
                  <c:v>208.46786174111122</c:v>
                </c:pt>
                <c:pt idx="5">
                  <c:v>1002.0496224379718</c:v>
                </c:pt>
                <c:pt idx="6">
                  <c:v>1261.638316920322</c:v>
                </c:pt>
                <c:pt idx="7">
                  <c:v>420.70988559694922</c:v>
                </c:pt>
                <c:pt idx="8">
                  <c:v>1362.2037914691944</c:v>
                </c:pt>
              </c:numCache>
            </c:numRef>
          </c:val>
          <c:extLst xmlns:c16r2="http://schemas.microsoft.com/office/drawing/2015/06/chart">
            <c:ext xmlns:c16="http://schemas.microsoft.com/office/drawing/2014/chart" uri="{C3380CC4-5D6E-409C-BE32-E72D297353CC}">
              <c16:uniqueId val="{00000010-F6B6-41BC-A181-E388D48A14EE}"/>
            </c:ext>
          </c:extLst>
        </c:ser>
        <c:dLbls>
          <c:showLegendKey val="0"/>
          <c:showVal val="0"/>
          <c:showCatName val="0"/>
          <c:showSerName val="0"/>
          <c:showPercent val="0"/>
          <c:showBubbleSize val="0"/>
        </c:dLbls>
        <c:gapWidth val="150"/>
        <c:shape val="cylinder"/>
        <c:axId val="324272896"/>
        <c:axId val="324274432"/>
        <c:axId val="0"/>
      </c:bar3DChart>
      <c:catAx>
        <c:axId val="324272896"/>
        <c:scaling>
          <c:orientation val="minMax"/>
        </c:scaling>
        <c:delete val="0"/>
        <c:axPos val="b"/>
        <c:numFmt formatCode="General" sourceLinked="1"/>
        <c:majorTickMark val="none"/>
        <c:minorTickMark val="none"/>
        <c:tickLblPos val="nextTo"/>
        <c:crossAx val="324274432"/>
        <c:crosses val="autoZero"/>
        <c:auto val="1"/>
        <c:lblAlgn val="ctr"/>
        <c:lblOffset val="100"/>
        <c:noMultiLvlLbl val="0"/>
      </c:catAx>
      <c:valAx>
        <c:axId val="324274432"/>
        <c:scaling>
          <c:orientation val="minMax"/>
        </c:scaling>
        <c:delete val="0"/>
        <c:axPos val="l"/>
        <c:majorGridlines/>
        <c:title>
          <c:tx>
            <c:rich>
              <a:bodyPr/>
              <a:lstStyle/>
              <a:p>
                <a:pPr>
                  <a:defRPr/>
                </a:pPr>
                <a:r>
                  <a:rPr lang="sk-SK"/>
                  <a:t>EUR</a:t>
                </a:r>
              </a:p>
            </c:rich>
          </c:tx>
          <c:overlay val="0"/>
        </c:title>
        <c:numFmt formatCode="#,##0" sourceLinked="1"/>
        <c:majorTickMark val="none"/>
        <c:minorTickMark val="none"/>
        <c:tickLblPos val="nextTo"/>
        <c:txPr>
          <a:bodyPr/>
          <a:lstStyle/>
          <a:p>
            <a:pPr>
              <a:defRPr>
                <a:latin typeface="+mj-lt"/>
              </a:defRPr>
            </a:pPr>
            <a:endParaRPr lang="sk-SK"/>
          </a:p>
        </c:txPr>
        <c:crossAx val="324272896"/>
        <c:crosses val="autoZero"/>
        <c:crossBetween val="between"/>
      </c:valAx>
      <c:dTable>
        <c:showHorzBorder val="1"/>
        <c:showVertBorder val="1"/>
        <c:showOutline val="1"/>
        <c:showKeys val="1"/>
        <c:txPr>
          <a:bodyPr/>
          <a:lstStyle/>
          <a:p>
            <a:pPr rtl="0">
              <a:defRPr>
                <a:latin typeface="+mj-lt"/>
              </a:defRPr>
            </a:pPr>
            <a:endParaRPr lang="sk-SK"/>
          </a:p>
        </c:txPr>
      </c:dTable>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'graf.č.5.priemer na pracov'!$A$90</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987C-4CA7-A41F-988BE6652733}"/>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987C-4CA7-A41F-988BE6652733}"/>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987C-4CA7-A41F-988BE6652733}"/>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987C-4CA7-A41F-988BE6652733}"/>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987C-4CA7-A41F-988BE6652733}"/>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987C-4CA7-A41F-988BE6652733}"/>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987C-4CA7-A41F-988BE6652733}"/>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987C-4CA7-A41F-988BE6652733}"/>
              </c:ext>
            </c:extLst>
          </c:dPt>
          <c:cat>
            <c:strRef>
              <c:f>'graf.č.5.priemer na pracov'!$B$89:$J$89</c:f>
              <c:strCache>
                <c:ptCount val="9"/>
                <c:pt idx="0">
                  <c:v>SvF</c:v>
                </c:pt>
                <c:pt idx="1">
                  <c:v>SjF</c:v>
                </c:pt>
                <c:pt idx="2">
                  <c:v>FEI</c:v>
                </c:pt>
                <c:pt idx="3">
                  <c:v>FCHPT</c:v>
                </c:pt>
                <c:pt idx="4">
                  <c:v>FA</c:v>
                </c:pt>
                <c:pt idx="5">
                  <c:v>MTF</c:v>
                </c:pt>
                <c:pt idx="6">
                  <c:v>FIIT</c:v>
                </c:pt>
                <c:pt idx="7">
                  <c:v>ÚM</c:v>
                </c:pt>
                <c:pt idx="8">
                  <c:v>R STU</c:v>
                </c:pt>
              </c:strCache>
            </c:strRef>
          </c:cat>
          <c:val>
            <c:numRef>
              <c:f>'graf.č.5.priemer na pracov'!$B$90:$J$90</c:f>
              <c:numCache>
                <c:formatCode>#,##0</c:formatCode>
                <c:ptCount val="9"/>
                <c:pt idx="0">
                  <c:v>510960</c:v>
                </c:pt>
                <c:pt idx="1">
                  <c:v>472189</c:v>
                </c:pt>
                <c:pt idx="2">
                  <c:v>1096172</c:v>
                </c:pt>
                <c:pt idx="3">
                  <c:v>1781438.5</c:v>
                </c:pt>
                <c:pt idx="4">
                  <c:v>61573</c:v>
                </c:pt>
                <c:pt idx="5">
                  <c:v>369497</c:v>
                </c:pt>
                <c:pt idx="6">
                  <c:v>117957</c:v>
                </c:pt>
                <c:pt idx="7">
                  <c:v>2000</c:v>
                </c:pt>
                <c:pt idx="8">
                  <c:v>103810</c:v>
                </c:pt>
              </c:numCache>
            </c:numRef>
          </c:val>
          <c:extLst xmlns:c16r2="http://schemas.microsoft.com/office/drawing/2015/06/chart">
            <c:ext xmlns:c16="http://schemas.microsoft.com/office/drawing/2014/chart" uri="{C3380CC4-5D6E-409C-BE32-E72D297353CC}">
              <c16:uniqueId val="{00000010-987C-4CA7-A41F-988BE6652733}"/>
            </c:ext>
          </c:extLst>
        </c:ser>
        <c:dLbls>
          <c:showLegendKey val="0"/>
          <c:showVal val="0"/>
          <c:showCatName val="0"/>
          <c:showSerName val="0"/>
          <c:showPercent val="0"/>
          <c:showBubbleSize val="0"/>
        </c:dLbls>
        <c:gapWidth val="150"/>
        <c:shape val="cylinder"/>
        <c:axId val="324332160"/>
        <c:axId val="324403584"/>
        <c:axId val="0"/>
      </c:bar3DChart>
      <c:catAx>
        <c:axId val="324332160"/>
        <c:scaling>
          <c:orientation val="minMax"/>
        </c:scaling>
        <c:delete val="0"/>
        <c:axPos val="b"/>
        <c:numFmt formatCode="General" sourceLinked="0"/>
        <c:majorTickMark val="none"/>
        <c:minorTickMark val="none"/>
        <c:tickLblPos val="nextTo"/>
        <c:crossAx val="324403584"/>
        <c:crosses val="autoZero"/>
        <c:auto val="1"/>
        <c:lblAlgn val="ctr"/>
        <c:lblOffset val="100"/>
        <c:noMultiLvlLbl val="0"/>
      </c:catAx>
      <c:valAx>
        <c:axId val="324403584"/>
        <c:scaling>
          <c:orientation val="minMax"/>
        </c:scaling>
        <c:delete val="0"/>
        <c:axPos val="l"/>
        <c:majorGridlines/>
        <c:title>
          <c:tx>
            <c:rich>
              <a:bodyPr/>
              <a:lstStyle/>
              <a:p>
                <a:pPr>
                  <a:defRPr/>
                </a:pPr>
                <a:r>
                  <a:rPr lang="sk-SK"/>
                  <a:t>EUR</a:t>
                </a:r>
              </a:p>
            </c:rich>
          </c:tx>
          <c:overlay val="0"/>
        </c:title>
        <c:numFmt formatCode="#,##0" sourceLinked="1"/>
        <c:majorTickMark val="none"/>
        <c:minorTickMark val="none"/>
        <c:tickLblPos val="nextTo"/>
        <c:crossAx val="324332160"/>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'graf.č.5.priemer na pracov'!$A$118</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5A63-41E4-A772-90BFA0D2A834}"/>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5A63-41E4-A772-90BFA0D2A834}"/>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5A63-41E4-A772-90BFA0D2A834}"/>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5A63-41E4-A772-90BFA0D2A834}"/>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5A63-41E4-A772-90BFA0D2A834}"/>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5A63-41E4-A772-90BFA0D2A834}"/>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5A63-41E4-A772-90BFA0D2A834}"/>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5A63-41E4-A772-90BFA0D2A834}"/>
              </c:ext>
            </c:extLst>
          </c:dPt>
          <c:cat>
            <c:strRef>
              <c:f>'graf.č.5.priemer na pracov'!$B$113:$J$113</c:f>
              <c:strCache>
                <c:ptCount val="9"/>
                <c:pt idx="0">
                  <c:v>SvF</c:v>
                </c:pt>
                <c:pt idx="1">
                  <c:v>SjF</c:v>
                </c:pt>
                <c:pt idx="2">
                  <c:v>FEI</c:v>
                </c:pt>
                <c:pt idx="3">
                  <c:v>FCHPT</c:v>
                </c:pt>
                <c:pt idx="4">
                  <c:v>FA</c:v>
                </c:pt>
                <c:pt idx="5">
                  <c:v>MTF</c:v>
                </c:pt>
                <c:pt idx="6">
                  <c:v>FIIT</c:v>
                </c:pt>
                <c:pt idx="7">
                  <c:v>ÚM</c:v>
                </c:pt>
                <c:pt idx="8">
                  <c:v>R STU</c:v>
                </c:pt>
              </c:strCache>
            </c:strRef>
          </c:cat>
          <c:val>
            <c:numRef>
              <c:f>'graf.č.5.priemer na pracov'!$B$118:$J$118</c:f>
              <c:numCache>
                <c:formatCode>#,##0</c:formatCode>
                <c:ptCount val="9"/>
                <c:pt idx="0">
                  <c:v>2049.5788206979541</c:v>
                </c:pt>
                <c:pt idx="1">
                  <c:v>3957.9966471081307</c:v>
                </c:pt>
                <c:pt idx="2">
                  <c:v>4711.8810178817057</c:v>
                </c:pt>
                <c:pt idx="3">
                  <c:v>6279.5251859424015</c:v>
                </c:pt>
                <c:pt idx="4">
                  <c:v>609.81479647420031</c:v>
                </c:pt>
                <c:pt idx="5">
                  <c:v>1811.7926841227809</c:v>
                </c:pt>
                <c:pt idx="6">
                  <c:v>2640.0402864816469</c:v>
                </c:pt>
                <c:pt idx="7">
                  <c:v>58.668231152830735</c:v>
                </c:pt>
                <c:pt idx="8">
                  <c:v>12299.763033175355</c:v>
                </c:pt>
              </c:numCache>
            </c:numRef>
          </c:val>
          <c:extLst xmlns:c16r2="http://schemas.microsoft.com/office/drawing/2015/06/chart">
            <c:ext xmlns:c16="http://schemas.microsoft.com/office/drawing/2014/chart" uri="{C3380CC4-5D6E-409C-BE32-E72D297353CC}">
              <c16:uniqueId val="{00000010-5A63-41E4-A772-90BFA0D2A834}"/>
            </c:ext>
          </c:extLst>
        </c:ser>
        <c:dLbls>
          <c:showLegendKey val="0"/>
          <c:showVal val="0"/>
          <c:showCatName val="0"/>
          <c:showSerName val="0"/>
          <c:showPercent val="0"/>
          <c:showBubbleSize val="0"/>
        </c:dLbls>
        <c:gapWidth val="150"/>
        <c:shape val="cylinder"/>
        <c:axId val="324428544"/>
        <c:axId val="324430080"/>
        <c:axId val="0"/>
      </c:bar3DChart>
      <c:catAx>
        <c:axId val="324428544"/>
        <c:scaling>
          <c:orientation val="minMax"/>
        </c:scaling>
        <c:delete val="0"/>
        <c:axPos val="b"/>
        <c:numFmt formatCode="General" sourceLinked="1"/>
        <c:majorTickMark val="none"/>
        <c:minorTickMark val="none"/>
        <c:tickLblPos val="nextTo"/>
        <c:crossAx val="324430080"/>
        <c:crosses val="autoZero"/>
        <c:auto val="1"/>
        <c:lblAlgn val="ctr"/>
        <c:lblOffset val="100"/>
        <c:noMultiLvlLbl val="0"/>
      </c:catAx>
      <c:valAx>
        <c:axId val="324430080"/>
        <c:scaling>
          <c:orientation val="minMax"/>
        </c:scaling>
        <c:delete val="0"/>
        <c:axPos val="l"/>
        <c:majorGridlines/>
        <c:title>
          <c:tx>
            <c:rich>
              <a:bodyPr/>
              <a:lstStyle/>
              <a:p>
                <a:pPr>
                  <a:defRPr/>
                </a:pPr>
                <a:r>
                  <a:rPr lang="sk-SK"/>
                  <a:t>EUR</a:t>
                </a:r>
              </a:p>
            </c:rich>
          </c:tx>
          <c:overlay val="0"/>
        </c:title>
        <c:numFmt formatCode="#,##0" sourceLinked="1"/>
        <c:majorTickMark val="none"/>
        <c:minorTickMark val="none"/>
        <c:tickLblPos val="nextTo"/>
        <c:txPr>
          <a:bodyPr/>
          <a:lstStyle/>
          <a:p>
            <a:pPr>
              <a:defRPr>
                <a:latin typeface="+mj-lt"/>
              </a:defRPr>
            </a:pPr>
            <a:endParaRPr lang="sk-SK"/>
          </a:p>
        </c:txPr>
        <c:crossAx val="324428544"/>
        <c:crosses val="autoZero"/>
        <c:crossBetween val="between"/>
      </c:valAx>
      <c:dTable>
        <c:showHorzBorder val="1"/>
        <c:showVertBorder val="1"/>
        <c:showOutline val="1"/>
        <c:showKeys val="1"/>
        <c:txPr>
          <a:bodyPr/>
          <a:lstStyle/>
          <a:p>
            <a:pPr rtl="0">
              <a:defRPr>
                <a:latin typeface="+mj-lt"/>
              </a:defRPr>
            </a:pPr>
            <a:endParaRPr lang="sk-SK"/>
          </a:p>
        </c:txPr>
      </c:dTable>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'graf.5.9.č.zahraničné granty'!$L$66</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C214-4C14-8177-8443EB7AAB2E}"/>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C214-4C14-8177-8443EB7AAB2E}"/>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C214-4C14-8177-8443EB7AAB2E}"/>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C214-4C14-8177-8443EB7AAB2E}"/>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C214-4C14-8177-8443EB7AAB2E}"/>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C214-4C14-8177-8443EB7AAB2E}"/>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C214-4C14-8177-8443EB7AAB2E}"/>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C214-4C14-8177-8443EB7AAB2E}"/>
              </c:ext>
            </c:extLst>
          </c:dPt>
          <c:cat>
            <c:strRef>
              <c:f>'graf.5.9.č.zahraničné granty'!$M$65:$T$65</c:f>
              <c:strCache>
                <c:ptCount val="8"/>
                <c:pt idx="0">
                  <c:v>SvF</c:v>
                </c:pt>
                <c:pt idx="1">
                  <c:v>SjF</c:v>
                </c:pt>
                <c:pt idx="2">
                  <c:v>FEI</c:v>
                </c:pt>
                <c:pt idx="3">
                  <c:v>FChPT</c:v>
                </c:pt>
                <c:pt idx="4">
                  <c:v>FA</c:v>
                </c:pt>
                <c:pt idx="5">
                  <c:v>MTF</c:v>
                </c:pt>
                <c:pt idx="6">
                  <c:v>FIIT</c:v>
                </c:pt>
                <c:pt idx="7">
                  <c:v>ÚM</c:v>
                </c:pt>
              </c:strCache>
            </c:strRef>
          </c:cat>
          <c:val>
            <c:numRef>
              <c:f>'graf.5.9.č.zahraničné granty'!$I$20:$I$27</c:f>
              <c:numCache>
                <c:formatCode>#,##0</c:formatCode>
                <c:ptCount val="8"/>
                <c:pt idx="0">
                  <c:v>65475</c:v>
                </c:pt>
                <c:pt idx="1">
                  <c:v>0</c:v>
                </c:pt>
                <c:pt idx="2">
                  <c:v>904012.96999999986</c:v>
                </c:pt>
                <c:pt idx="3">
                  <c:v>373054.52</c:v>
                </c:pt>
                <c:pt idx="4">
                  <c:v>144617.46000000002</c:v>
                </c:pt>
                <c:pt idx="5">
                  <c:v>21903.39</c:v>
                </c:pt>
                <c:pt idx="6">
                  <c:v>24574.62</c:v>
                </c:pt>
                <c:pt idx="7">
                  <c:v>164962.41999999998</c:v>
                </c:pt>
              </c:numCache>
            </c:numRef>
          </c:val>
          <c:extLst xmlns:c16r2="http://schemas.microsoft.com/office/drawing/2015/06/chart">
            <c:ext xmlns:c16="http://schemas.microsoft.com/office/drawing/2014/chart" uri="{C3380CC4-5D6E-409C-BE32-E72D297353CC}">
              <c16:uniqueId val="{00000010-C214-4C14-8177-8443EB7AAB2E}"/>
            </c:ext>
          </c:extLst>
        </c:ser>
        <c:dLbls>
          <c:showLegendKey val="0"/>
          <c:showVal val="0"/>
          <c:showCatName val="0"/>
          <c:showSerName val="0"/>
          <c:showPercent val="0"/>
          <c:showBubbleSize val="0"/>
        </c:dLbls>
        <c:gapWidth val="150"/>
        <c:shape val="cylinder"/>
        <c:axId val="324471424"/>
        <c:axId val="324481408"/>
        <c:axId val="0"/>
      </c:bar3DChart>
      <c:catAx>
        <c:axId val="324471424"/>
        <c:scaling>
          <c:orientation val="minMax"/>
        </c:scaling>
        <c:delete val="0"/>
        <c:axPos val="b"/>
        <c:numFmt formatCode="General" sourceLinked="0"/>
        <c:majorTickMark val="none"/>
        <c:minorTickMark val="none"/>
        <c:tickLblPos val="nextTo"/>
        <c:crossAx val="324481408"/>
        <c:crosses val="autoZero"/>
        <c:auto val="1"/>
        <c:lblAlgn val="ctr"/>
        <c:lblOffset val="100"/>
        <c:noMultiLvlLbl val="0"/>
      </c:catAx>
      <c:valAx>
        <c:axId val="324481408"/>
        <c:scaling>
          <c:orientation val="minMax"/>
        </c:scaling>
        <c:delete val="0"/>
        <c:axPos val="l"/>
        <c:majorGridlines/>
        <c:title>
          <c:tx>
            <c:rich>
              <a:bodyPr/>
              <a:lstStyle/>
              <a:p>
                <a:pPr>
                  <a:defRPr/>
                </a:pPr>
                <a:r>
                  <a:rPr lang="sk-SK"/>
                  <a:t>EUR</a:t>
                </a:r>
              </a:p>
            </c:rich>
          </c:tx>
          <c:overlay val="0"/>
        </c:title>
        <c:numFmt formatCode="#,##0" sourceLinked="1"/>
        <c:majorTickMark val="none"/>
        <c:minorTickMark val="none"/>
        <c:tickLblPos val="nextTo"/>
        <c:crossAx val="32447142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'graf.č.5.priemer na pracov'!$K$45</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C86C-415F-A0E9-08AFF2FC6C8B}"/>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C86C-415F-A0E9-08AFF2FC6C8B}"/>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C86C-415F-A0E9-08AFF2FC6C8B}"/>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C86C-415F-A0E9-08AFF2FC6C8B}"/>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C86C-415F-A0E9-08AFF2FC6C8B}"/>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C86C-415F-A0E9-08AFF2FC6C8B}"/>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C86C-415F-A0E9-08AFF2FC6C8B}"/>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C86C-415F-A0E9-08AFF2FC6C8B}"/>
              </c:ext>
            </c:extLst>
          </c:dPt>
          <c:cat>
            <c:strRef>
              <c:f>'graf.č.5.priemer na pracov'!$L$44:$T$44</c:f>
              <c:strCache>
                <c:ptCount val="9"/>
                <c:pt idx="0">
                  <c:v>SvF</c:v>
                </c:pt>
                <c:pt idx="1">
                  <c:v>SjF</c:v>
                </c:pt>
                <c:pt idx="2">
                  <c:v>FEI</c:v>
                </c:pt>
                <c:pt idx="3">
                  <c:v>FCHPT</c:v>
                </c:pt>
                <c:pt idx="4">
                  <c:v>FA</c:v>
                </c:pt>
                <c:pt idx="5">
                  <c:v>MTF</c:v>
                </c:pt>
                <c:pt idx="6">
                  <c:v>FIIT</c:v>
                </c:pt>
                <c:pt idx="7">
                  <c:v>ÚM</c:v>
                </c:pt>
                <c:pt idx="8">
                  <c:v>R STU</c:v>
                </c:pt>
              </c:strCache>
            </c:strRef>
          </c:cat>
          <c:val>
            <c:numRef>
              <c:f>'graf.č.5.priemer na pracov'!$L$45:$T$45</c:f>
              <c:numCache>
                <c:formatCode>#,##0</c:formatCode>
                <c:ptCount val="9"/>
                <c:pt idx="0">
                  <c:v>1177078</c:v>
                </c:pt>
                <c:pt idx="1">
                  <c:v>851073.64</c:v>
                </c:pt>
                <c:pt idx="2">
                  <c:v>2871243.9699999997</c:v>
                </c:pt>
                <c:pt idx="3">
                  <c:v>2768783.02</c:v>
                </c:pt>
                <c:pt idx="4">
                  <c:v>298602.46000000002</c:v>
                </c:pt>
                <c:pt idx="5">
                  <c:v>927443.39</c:v>
                </c:pt>
                <c:pt idx="6">
                  <c:v>232002.62</c:v>
                </c:pt>
                <c:pt idx="7">
                  <c:v>192353.41999999998</c:v>
                </c:pt>
                <c:pt idx="8">
                  <c:v>115307</c:v>
                </c:pt>
              </c:numCache>
            </c:numRef>
          </c:val>
          <c:extLst xmlns:c16r2="http://schemas.microsoft.com/office/drawing/2015/06/chart">
            <c:ext xmlns:c16="http://schemas.microsoft.com/office/drawing/2014/chart" uri="{C3380CC4-5D6E-409C-BE32-E72D297353CC}">
              <c16:uniqueId val="{00000010-C86C-415F-A0E9-08AFF2FC6C8B}"/>
            </c:ext>
          </c:extLst>
        </c:ser>
        <c:dLbls>
          <c:showLegendKey val="0"/>
          <c:showVal val="0"/>
          <c:showCatName val="0"/>
          <c:showSerName val="0"/>
          <c:showPercent val="0"/>
          <c:showBubbleSize val="0"/>
        </c:dLbls>
        <c:gapWidth val="150"/>
        <c:shape val="cylinder"/>
        <c:axId val="324522752"/>
        <c:axId val="324524288"/>
        <c:axId val="0"/>
      </c:bar3DChart>
      <c:catAx>
        <c:axId val="324522752"/>
        <c:scaling>
          <c:orientation val="minMax"/>
        </c:scaling>
        <c:delete val="0"/>
        <c:axPos val="b"/>
        <c:numFmt formatCode="General" sourceLinked="0"/>
        <c:majorTickMark val="none"/>
        <c:minorTickMark val="none"/>
        <c:tickLblPos val="nextTo"/>
        <c:crossAx val="324524288"/>
        <c:crosses val="autoZero"/>
        <c:auto val="1"/>
        <c:lblAlgn val="ctr"/>
        <c:lblOffset val="100"/>
        <c:noMultiLvlLbl val="0"/>
      </c:catAx>
      <c:valAx>
        <c:axId val="324524288"/>
        <c:scaling>
          <c:orientation val="minMax"/>
        </c:scaling>
        <c:delete val="0"/>
        <c:axPos val="l"/>
        <c:majorGridlines/>
        <c:title>
          <c:tx>
            <c:rich>
              <a:bodyPr/>
              <a:lstStyle/>
              <a:p>
                <a:pPr>
                  <a:defRPr>
                    <a:latin typeface="+mj-lt"/>
                  </a:defRPr>
                </a:pPr>
                <a:r>
                  <a:rPr lang="sk-SK">
                    <a:latin typeface="+mj-lt"/>
                  </a:rPr>
                  <a:t>eur</a:t>
                </a:r>
              </a:p>
            </c:rich>
          </c:tx>
          <c:overlay val="0"/>
        </c:title>
        <c:numFmt formatCode="#,##0" sourceLinked="1"/>
        <c:majorTickMark val="none"/>
        <c:minorTickMark val="none"/>
        <c:tickLblPos val="nextTo"/>
        <c:txPr>
          <a:bodyPr/>
          <a:lstStyle/>
          <a:p>
            <a:pPr>
              <a:defRPr>
                <a:latin typeface="+mj-lt"/>
              </a:defRPr>
            </a:pPr>
            <a:endParaRPr lang="sk-SK"/>
          </a:p>
        </c:txPr>
        <c:crossAx val="324522752"/>
        <c:crosses val="autoZero"/>
        <c:crossBetween val="between"/>
      </c:valAx>
      <c:dTable>
        <c:showHorzBorder val="1"/>
        <c:showVertBorder val="1"/>
        <c:showOutline val="1"/>
        <c:showKeys val="1"/>
        <c:txPr>
          <a:bodyPr/>
          <a:lstStyle/>
          <a:p>
            <a:pPr rtl="0">
              <a:defRPr sz="900" baseline="0">
                <a:latin typeface="Calibri" panose="020F0502020204030204" pitchFamily="34" charset="0"/>
              </a:defRPr>
            </a:pPr>
            <a:endParaRPr lang="sk-SK"/>
          </a:p>
        </c:txPr>
      </c:dTable>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6631356917836512"/>
          <c:y val="0.14957203266258387"/>
          <c:w val="0.80620606251545768"/>
          <c:h val="0.57094488188976378"/>
        </c:manualLayout>
      </c:layout>
      <c:bar3DChart>
        <c:barDir val="col"/>
        <c:grouping val="clustered"/>
        <c:varyColors val="0"/>
        <c:ser>
          <c:idx val="0"/>
          <c:order val="0"/>
          <c:tx>
            <c:strRef>
              <c:f>'graf.č.5.priemer na pracov'!$K$31</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5AD9-4B52-AC5F-5D4AD1486190}"/>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5AD9-4B52-AC5F-5D4AD1486190}"/>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5AD9-4B52-AC5F-5D4AD1486190}"/>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5AD9-4B52-AC5F-5D4AD1486190}"/>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5AD9-4B52-AC5F-5D4AD1486190}"/>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5AD9-4B52-AC5F-5D4AD1486190}"/>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5AD9-4B52-AC5F-5D4AD1486190}"/>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5AD9-4B52-AC5F-5D4AD1486190}"/>
              </c:ext>
            </c:extLst>
          </c:dPt>
          <c:cat>
            <c:strRef>
              <c:f>'graf.č.5.priemer na pracov'!$L$30:$T$30</c:f>
              <c:strCache>
                <c:ptCount val="9"/>
                <c:pt idx="0">
                  <c:v>SvF</c:v>
                </c:pt>
                <c:pt idx="1">
                  <c:v>SjF</c:v>
                </c:pt>
                <c:pt idx="2">
                  <c:v>FEI</c:v>
                </c:pt>
                <c:pt idx="3">
                  <c:v>FCHPT</c:v>
                </c:pt>
                <c:pt idx="4">
                  <c:v>FA</c:v>
                </c:pt>
                <c:pt idx="5">
                  <c:v>MTF</c:v>
                </c:pt>
                <c:pt idx="6">
                  <c:v>FIIT</c:v>
                </c:pt>
                <c:pt idx="7">
                  <c:v>ÚM</c:v>
                </c:pt>
                <c:pt idx="8">
                  <c:v>R STU</c:v>
                </c:pt>
              </c:strCache>
            </c:strRef>
          </c:cat>
          <c:val>
            <c:numRef>
              <c:f>'graf.č.5.priemer na pracov'!$L$31:$T$31</c:f>
              <c:numCache>
                <c:formatCode>#,##0</c:formatCode>
                <c:ptCount val="9"/>
                <c:pt idx="0">
                  <c:v>4721.5322904131563</c:v>
                </c:pt>
                <c:pt idx="1">
                  <c:v>7133.8947191953066</c:v>
                </c:pt>
                <c:pt idx="2">
                  <c:v>12342.004685350756</c:v>
                </c:pt>
                <c:pt idx="3">
                  <c:v>9759.8893863019493</c:v>
                </c:pt>
                <c:pt idx="4">
                  <c:v>2957.3384173516888</c:v>
                </c:pt>
                <c:pt idx="5">
                  <c:v>4547.6286652937133</c:v>
                </c:pt>
                <c:pt idx="6">
                  <c:v>5192.538495971351</c:v>
                </c:pt>
                <c:pt idx="7">
                  <c:v>5642.5174537987668</c:v>
                </c:pt>
                <c:pt idx="8">
                  <c:v>13661.966824644551</c:v>
                </c:pt>
              </c:numCache>
            </c:numRef>
          </c:val>
          <c:extLst xmlns:c16r2="http://schemas.microsoft.com/office/drawing/2015/06/chart">
            <c:ext xmlns:c16="http://schemas.microsoft.com/office/drawing/2014/chart" uri="{C3380CC4-5D6E-409C-BE32-E72D297353CC}">
              <c16:uniqueId val="{00000010-5AD9-4B52-AC5F-5D4AD1486190}"/>
            </c:ext>
          </c:extLst>
        </c:ser>
        <c:dLbls>
          <c:showLegendKey val="0"/>
          <c:showVal val="0"/>
          <c:showCatName val="0"/>
          <c:showSerName val="0"/>
          <c:showPercent val="0"/>
          <c:showBubbleSize val="0"/>
        </c:dLbls>
        <c:gapWidth val="150"/>
        <c:shape val="cylinder"/>
        <c:axId val="324622976"/>
        <c:axId val="324637056"/>
        <c:axId val="0"/>
      </c:bar3DChart>
      <c:catAx>
        <c:axId val="324622976"/>
        <c:scaling>
          <c:orientation val="minMax"/>
        </c:scaling>
        <c:delete val="0"/>
        <c:axPos val="b"/>
        <c:numFmt formatCode="General" sourceLinked="1"/>
        <c:majorTickMark val="none"/>
        <c:minorTickMark val="none"/>
        <c:tickLblPos val="nextTo"/>
        <c:crossAx val="324637056"/>
        <c:crosses val="autoZero"/>
        <c:auto val="1"/>
        <c:lblAlgn val="ctr"/>
        <c:lblOffset val="100"/>
        <c:noMultiLvlLbl val="0"/>
      </c:catAx>
      <c:valAx>
        <c:axId val="324637056"/>
        <c:scaling>
          <c:orientation val="minMax"/>
        </c:scaling>
        <c:delete val="0"/>
        <c:axPos val="l"/>
        <c:majorGridlines/>
        <c:title>
          <c:tx>
            <c:rich>
              <a:bodyPr/>
              <a:lstStyle/>
              <a:p>
                <a:pPr>
                  <a:defRPr>
                    <a:latin typeface="+mj-lt"/>
                  </a:defRPr>
                </a:pPr>
                <a:r>
                  <a:rPr lang="sk-SK">
                    <a:latin typeface="+mj-lt"/>
                  </a:rPr>
                  <a:t>EUR</a:t>
                </a:r>
              </a:p>
            </c:rich>
          </c:tx>
          <c:overlay val="0"/>
        </c:title>
        <c:numFmt formatCode="#,##0" sourceLinked="1"/>
        <c:majorTickMark val="none"/>
        <c:minorTickMark val="none"/>
        <c:tickLblPos val="nextTo"/>
        <c:txPr>
          <a:bodyPr/>
          <a:lstStyle/>
          <a:p>
            <a:pPr>
              <a:defRPr>
                <a:latin typeface="+mj-lt"/>
              </a:defRPr>
            </a:pPr>
            <a:endParaRPr lang="sk-SK"/>
          </a:p>
        </c:txPr>
        <c:crossAx val="324622976"/>
        <c:crosses val="autoZero"/>
        <c:crossBetween val="between"/>
      </c:valAx>
      <c:dTable>
        <c:showHorzBorder val="1"/>
        <c:showVertBorder val="1"/>
        <c:showOutline val="1"/>
        <c:showKeys val="1"/>
        <c:spPr>
          <a:ln>
            <a:solidFill>
              <a:sysClr val="windowText" lastClr="000000"/>
            </a:solidFill>
          </a:ln>
        </c:spPr>
        <c:txPr>
          <a:bodyPr/>
          <a:lstStyle/>
          <a:p>
            <a:pPr rtl="0">
              <a:defRPr sz="800" baseline="0">
                <a:latin typeface="Calibri" panose="020F0502020204030204" pitchFamily="34" charset="0"/>
              </a:defRPr>
            </a:pPr>
            <a:endParaRPr lang="sk-SK"/>
          </a:p>
        </c:txPr>
      </c:dTable>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6631356917836512"/>
          <c:y val="0.14957203266258387"/>
          <c:w val="0.80620606251545768"/>
          <c:h val="0.57094488188976378"/>
        </c:manualLayout>
      </c:layout>
      <c:bar3DChart>
        <c:barDir val="col"/>
        <c:grouping val="clustered"/>
        <c:varyColors val="0"/>
        <c:ser>
          <c:idx val="0"/>
          <c:order val="0"/>
          <c:tx>
            <c:strRef>
              <c:f>'graf.č.5.priemer na pracov'!$K$39</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FC9C-4B82-ACCA-D6BB64458DC9}"/>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FC9C-4B82-ACCA-D6BB64458DC9}"/>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FC9C-4B82-ACCA-D6BB64458DC9}"/>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FC9C-4B82-ACCA-D6BB64458DC9}"/>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FC9C-4B82-ACCA-D6BB64458DC9}"/>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FC9C-4B82-ACCA-D6BB64458DC9}"/>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FC9C-4B82-ACCA-D6BB64458DC9}"/>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FC9C-4B82-ACCA-D6BB64458DC9}"/>
              </c:ext>
            </c:extLst>
          </c:dPt>
          <c:cat>
            <c:strRef>
              <c:f>'graf.č.5.priemer na pracov'!$L$38:$U$38</c:f>
              <c:strCache>
                <c:ptCount val="10"/>
                <c:pt idx="0">
                  <c:v>SvF</c:v>
                </c:pt>
                <c:pt idx="1">
                  <c:v>SjF</c:v>
                </c:pt>
                <c:pt idx="2">
                  <c:v>FEI</c:v>
                </c:pt>
                <c:pt idx="3">
                  <c:v>FCHPT</c:v>
                </c:pt>
                <c:pt idx="4">
                  <c:v>FA</c:v>
                </c:pt>
                <c:pt idx="5">
                  <c:v>MTF</c:v>
                </c:pt>
                <c:pt idx="6">
                  <c:v>FIIT</c:v>
                </c:pt>
                <c:pt idx="7">
                  <c:v>ÚM</c:v>
                </c:pt>
                <c:pt idx="8">
                  <c:v>R STU</c:v>
                </c:pt>
                <c:pt idx="9">
                  <c:v>priemer STU</c:v>
                </c:pt>
              </c:strCache>
            </c:strRef>
          </c:cat>
          <c:val>
            <c:numRef>
              <c:f>'graf.č.5.priemer na pracov'!$L$39:$U$39</c:f>
              <c:numCache>
                <c:formatCode>#,##0</c:formatCode>
                <c:ptCount val="10"/>
                <c:pt idx="0">
                  <c:v>3563.7063778580023</c:v>
                </c:pt>
                <c:pt idx="1">
                  <c:v>5836.370494551551</c:v>
                </c:pt>
                <c:pt idx="2">
                  <c:v>8195.834766162312</c:v>
                </c:pt>
                <c:pt idx="3">
                  <c:v>7832.3434030103281</c:v>
                </c:pt>
                <c:pt idx="4">
                  <c:v>1149.1135980984452</c:v>
                </c:pt>
                <c:pt idx="5">
                  <c:v>3088.1729920564867</c:v>
                </c:pt>
                <c:pt idx="6">
                  <c:v>4335.3401969561319</c:v>
                </c:pt>
                <c:pt idx="7">
                  <c:v>803.49075975359335</c:v>
                </c:pt>
                <c:pt idx="8">
                  <c:v>3245.3791469194316</c:v>
                </c:pt>
                <c:pt idx="9">
                  <c:v>5321.3080928702866</c:v>
                </c:pt>
              </c:numCache>
            </c:numRef>
          </c:val>
          <c:extLst xmlns:c16r2="http://schemas.microsoft.com/office/drawing/2015/06/chart">
            <c:ext xmlns:c16="http://schemas.microsoft.com/office/drawing/2014/chart" uri="{C3380CC4-5D6E-409C-BE32-E72D297353CC}">
              <c16:uniqueId val="{00000010-FC9C-4B82-ACCA-D6BB64458DC9}"/>
            </c:ext>
          </c:extLst>
        </c:ser>
        <c:dLbls>
          <c:showLegendKey val="0"/>
          <c:showVal val="0"/>
          <c:showCatName val="0"/>
          <c:showSerName val="0"/>
          <c:showPercent val="0"/>
          <c:showBubbleSize val="0"/>
        </c:dLbls>
        <c:gapWidth val="150"/>
        <c:shape val="cylinder"/>
        <c:axId val="324666112"/>
        <c:axId val="324667648"/>
        <c:axId val="0"/>
      </c:bar3DChart>
      <c:catAx>
        <c:axId val="324666112"/>
        <c:scaling>
          <c:orientation val="minMax"/>
        </c:scaling>
        <c:delete val="0"/>
        <c:axPos val="b"/>
        <c:numFmt formatCode="General" sourceLinked="0"/>
        <c:majorTickMark val="none"/>
        <c:minorTickMark val="none"/>
        <c:tickLblPos val="nextTo"/>
        <c:crossAx val="324667648"/>
        <c:crosses val="autoZero"/>
        <c:auto val="1"/>
        <c:lblAlgn val="ctr"/>
        <c:lblOffset val="100"/>
        <c:noMultiLvlLbl val="0"/>
      </c:catAx>
      <c:valAx>
        <c:axId val="324667648"/>
        <c:scaling>
          <c:orientation val="minMax"/>
        </c:scaling>
        <c:delete val="0"/>
        <c:axPos val="l"/>
        <c:majorGridlines/>
        <c:title>
          <c:tx>
            <c:rich>
              <a:bodyPr/>
              <a:lstStyle/>
              <a:p>
                <a:pPr>
                  <a:defRPr>
                    <a:latin typeface="+mj-lt"/>
                  </a:defRPr>
                </a:pPr>
                <a:r>
                  <a:rPr lang="sk-SK">
                    <a:latin typeface="+mj-lt"/>
                  </a:rPr>
                  <a:t>EUR</a:t>
                </a:r>
              </a:p>
            </c:rich>
          </c:tx>
          <c:overlay val="0"/>
        </c:title>
        <c:numFmt formatCode="#,##0" sourceLinked="1"/>
        <c:majorTickMark val="none"/>
        <c:minorTickMark val="none"/>
        <c:tickLblPos val="nextTo"/>
        <c:txPr>
          <a:bodyPr/>
          <a:lstStyle/>
          <a:p>
            <a:pPr>
              <a:defRPr>
                <a:latin typeface="+mj-lt"/>
              </a:defRPr>
            </a:pPr>
            <a:endParaRPr lang="sk-SK"/>
          </a:p>
        </c:txPr>
        <c:crossAx val="324666112"/>
        <c:crosses val="autoZero"/>
        <c:crossBetween val="between"/>
      </c:valAx>
      <c:dTable>
        <c:showHorzBorder val="1"/>
        <c:showVertBorder val="1"/>
        <c:showOutline val="1"/>
        <c:showKeys val="1"/>
        <c:spPr>
          <a:ln>
            <a:solidFill>
              <a:sysClr val="windowText" lastClr="000000"/>
            </a:solidFill>
          </a:ln>
        </c:spPr>
        <c:txPr>
          <a:bodyPr/>
          <a:lstStyle/>
          <a:p>
            <a:pPr rtl="0">
              <a:defRPr sz="750" baseline="0">
                <a:latin typeface="Calibri" panose="020F0502020204030204" pitchFamily="34" charset="0"/>
              </a:defRPr>
            </a:pPr>
            <a:endParaRPr lang="sk-SK"/>
          </a:p>
        </c:txPr>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pPr>
        <a:noFill/>
        <a:ln>
          <a:noFill/>
        </a:ln>
      </c:spPr>
    </c:sideWall>
    <c:backWall>
      <c:thickness val="0"/>
      <c:spPr>
        <a:noFill/>
        <a:ln>
          <a:noFill/>
        </a:ln>
      </c:spPr>
    </c:backWall>
    <c:plotArea>
      <c:layout>
        <c:manualLayout>
          <c:layoutTarget val="inner"/>
          <c:xMode val="edge"/>
          <c:yMode val="edge"/>
          <c:x val="0.10936887985406775"/>
          <c:y val="2.4686568305175446E-2"/>
          <c:w val="0.88889494246231437"/>
          <c:h val="0.67725772749280122"/>
        </c:manualLayout>
      </c:layout>
      <c:bar3DChart>
        <c:barDir val="col"/>
        <c:grouping val="stacked"/>
        <c:varyColors val="0"/>
        <c:ser>
          <c:idx val="1"/>
          <c:order val="0"/>
          <c:tx>
            <c:strRef>
              <c:f>Graf4_vývoj_DF!$A$4</c:f>
              <c:strCache>
                <c:ptCount val="1"/>
                <c:pt idx="0">
                  <c:v>I. stupeň</c:v>
                </c:pt>
              </c:strCache>
            </c:strRef>
          </c:tx>
          <c:spPr>
            <a:gradFill flip="none" rotWithShape="1">
              <a:gsLst>
                <a:gs pos="0">
                  <a:schemeClr val="accent1">
                    <a:lumMod val="40000"/>
                    <a:lumOff val="60000"/>
                  </a:schemeClr>
                </a:gs>
                <a:gs pos="29000">
                  <a:schemeClr val="accent1">
                    <a:lumMod val="0"/>
                    <a:lumOff val="100000"/>
                  </a:schemeClr>
                </a:gs>
                <a:gs pos="100000">
                  <a:schemeClr val="accent1">
                    <a:lumMod val="100000"/>
                  </a:schemeClr>
                </a:gs>
              </a:gsLst>
              <a:path path="circle">
                <a:fillToRect l="50000" t="-80000" r="50000" b="180000"/>
              </a:path>
              <a:tileRect/>
            </a:gradFill>
            <a:ln>
              <a:noFill/>
            </a:ln>
          </c:spPr>
          <c:invertIfNegative val="0"/>
          <c:dLbls>
            <c:spPr>
              <a:noFill/>
              <a:ln>
                <a:noFill/>
              </a:ln>
              <a:effectLst/>
            </c:spPr>
            <c:txPr>
              <a:bodyPr rot="-5400000" vert="horz"/>
              <a:lstStyle/>
              <a:p>
                <a:pPr>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Graf4_vývoj_DF!$B$3:$K$3</c:f>
              <c:strCache>
                <c:ptCount val="7"/>
                <c:pt idx="0">
                  <c:v>2011/2012</c:v>
                </c:pt>
                <c:pt idx="1">
                  <c:v>2012/2013</c:v>
                </c:pt>
                <c:pt idx="2">
                  <c:v>2013/2014</c:v>
                </c:pt>
                <c:pt idx="3">
                  <c:v>2014/2015</c:v>
                </c:pt>
                <c:pt idx="4">
                  <c:v>2015/2016</c:v>
                </c:pt>
                <c:pt idx="5">
                  <c:v>2016/2017</c:v>
                </c:pt>
                <c:pt idx="6">
                  <c:v>2017/2018</c:v>
                </c:pt>
              </c:strCache>
            </c:strRef>
          </c:cat>
          <c:val>
            <c:numRef>
              <c:f>Graf4_vývoj_DF!$B$4:$K$4</c:f>
              <c:numCache>
                <c:formatCode>#,##0</c:formatCode>
                <c:ptCount val="7"/>
                <c:pt idx="0">
                  <c:v>10573</c:v>
                </c:pt>
                <c:pt idx="1">
                  <c:v>10780</c:v>
                </c:pt>
                <c:pt idx="2">
                  <c:v>10582</c:v>
                </c:pt>
                <c:pt idx="3">
                  <c:v>9929</c:v>
                </c:pt>
                <c:pt idx="4">
                  <c:v>8977</c:v>
                </c:pt>
                <c:pt idx="5">
                  <c:v>8020</c:v>
                </c:pt>
                <c:pt idx="6">
                  <c:v>7136</c:v>
                </c:pt>
              </c:numCache>
            </c:numRef>
          </c:val>
          <c:extLst xmlns:c16r2="http://schemas.microsoft.com/office/drawing/2015/06/chart">
            <c:ext xmlns:c16="http://schemas.microsoft.com/office/drawing/2014/chart" uri="{C3380CC4-5D6E-409C-BE32-E72D297353CC}">
              <c16:uniqueId val="{00000000-465C-4233-B8F3-E6274A34085D}"/>
            </c:ext>
          </c:extLst>
        </c:ser>
        <c:ser>
          <c:idx val="2"/>
          <c:order val="1"/>
          <c:tx>
            <c:strRef>
              <c:f>Graf4_vývoj_DF!$A$5</c:f>
              <c:strCache>
                <c:ptCount val="1"/>
                <c:pt idx="0">
                  <c:v>II. stupeň</c:v>
                </c:pt>
              </c:strCache>
            </c:strRef>
          </c:tx>
          <c:spPr>
            <a:gradFill flip="none" rotWithShape="1">
              <a:gsLst>
                <a:gs pos="0">
                  <a:schemeClr val="accent2">
                    <a:lumMod val="0"/>
                    <a:lumOff val="100000"/>
                  </a:schemeClr>
                </a:gs>
                <a:gs pos="23000">
                  <a:schemeClr val="accent2">
                    <a:lumMod val="0"/>
                    <a:lumOff val="100000"/>
                  </a:schemeClr>
                </a:gs>
                <a:gs pos="100000">
                  <a:schemeClr val="accent2">
                    <a:lumMod val="100000"/>
                  </a:schemeClr>
                </a:gs>
              </a:gsLst>
              <a:path path="circle">
                <a:fillToRect l="50000" t="-80000" r="50000" b="180000"/>
              </a:path>
              <a:tileRect/>
            </a:gradFill>
            <a:ln>
              <a:noFill/>
            </a:ln>
          </c:spPr>
          <c:invertIfNegative val="0"/>
          <c:dLbls>
            <c:dLbl>
              <c:idx val="0"/>
              <c:layout>
                <c:manualLayout>
                  <c:x val="-4.4213158602290194E-3"/>
                  <c:y val="-3.4999595434787083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5C-4233-B8F3-E6274A34085D}"/>
                </c:ext>
              </c:extLst>
            </c:dLbl>
            <c:spPr>
              <a:noFill/>
              <a:ln>
                <a:noFill/>
              </a:ln>
              <a:effectLst/>
            </c:spPr>
            <c:txPr>
              <a:bodyPr rot="-5400000" vert="horz"/>
              <a:lstStyle/>
              <a:p>
                <a:pPr>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Graf4_vývoj_DF!$B$3:$K$3</c:f>
              <c:strCache>
                <c:ptCount val="7"/>
                <c:pt idx="0">
                  <c:v>2011/2012</c:v>
                </c:pt>
                <c:pt idx="1">
                  <c:v>2012/2013</c:v>
                </c:pt>
                <c:pt idx="2">
                  <c:v>2013/2014</c:v>
                </c:pt>
                <c:pt idx="3">
                  <c:v>2014/2015</c:v>
                </c:pt>
                <c:pt idx="4">
                  <c:v>2015/2016</c:v>
                </c:pt>
                <c:pt idx="5">
                  <c:v>2016/2017</c:v>
                </c:pt>
                <c:pt idx="6">
                  <c:v>2017/2018</c:v>
                </c:pt>
              </c:strCache>
            </c:strRef>
          </c:cat>
          <c:val>
            <c:numRef>
              <c:f>Graf4_vývoj_DF!$B$5:$K$5</c:f>
              <c:numCache>
                <c:formatCode>#,##0</c:formatCode>
                <c:ptCount val="7"/>
                <c:pt idx="0">
                  <c:v>5197</c:v>
                </c:pt>
                <c:pt idx="1">
                  <c:v>4640</c:v>
                </c:pt>
                <c:pt idx="2">
                  <c:v>4419</c:v>
                </c:pt>
                <c:pt idx="3">
                  <c:v>4239</c:v>
                </c:pt>
                <c:pt idx="4">
                  <c:v>4289</c:v>
                </c:pt>
                <c:pt idx="5">
                  <c:v>4205</c:v>
                </c:pt>
                <c:pt idx="6">
                  <c:v>3815</c:v>
                </c:pt>
              </c:numCache>
            </c:numRef>
          </c:val>
          <c:extLst xmlns:c16r2="http://schemas.microsoft.com/office/drawing/2015/06/chart">
            <c:ext xmlns:c16="http://schemas.microsoft.com/office/drawing/2014/chart" uri="{C3380CC4-5D6E-409C-BE32-E72D297353CC}">
              <c16:uniqueId val="{00000003-465C-4233-B8F3-E6274A34085D}"/>
            </c:ext>
          </c:extLst>
        </c:ser>
        <c:ser>
          <c:idx val="3"/>
          <c:order val="2"/>
          <c:tx>
            <c:strRef>
              <c:f>Graf4_vývoj_DF!$A$6</c:f>
              <c:strCache>
                <c:ptCount val="1"/>
                <c:pt idx="0">
                  <c:v>III. stupeň</c:v>
                </c:pt>
              </c:strCache>
            </c:strRef>
          </c:tx>
          <c:spPr>
            <a:gradFill flip="none" rotWithShape="1">
              <a:gsLst>
                <a:gs pos="30000">
                  <a:schemeClr val="accent3"/>
                </a:gs>
                <a:gs pos="0">
                  <a:schemeClr val="accent3">
                    <a:lumMod val="0"/>
                    <a:lumOff val="100000"/>
                  </a:schemeClr>
                </a:gs>
                <a:gs pos="100000">
                  <a:schemeClr val="accent3">
                    <a:lumMod val="100000"/>
                  </a:schemeClr>
                </a:gs>
              </a:gsLst>
              <a:path path="circle">
                <a:fillToRect l="50000" t="-80000" r="50000" b="180000"/>
              </a:path>
              <a:tileRect/>
            </a:gradFill>
            <a:ln>
              <a:noFill/>
            </a:ln>
          </c:spPr>
          <c:invertIfNegative val="0"/>
          <c:dLbls>
            <c:dLbl>
              <c:idx val="0"/>
              <c:layout>
                <c:manualLayout>
                  <c:x val="9.0335222755136071E-3"/>
                  <c:y val="-7.1026998445582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9.0335838313370456E-2"/>
                      <c:h val="5.9244005300308336E-2"/>
                    </c:manualLayout>
                  </c15:layout>
                </c:ext>
                <c:ext xmlns:c16="http://schemas.microsoft.com/office/drawing/2014/chart" uri="{C3380CC4-5D6E-409C-BE32-E72D297353CC}">
                  <c16:uniqueId val="{00000005-465C-4233-B8F3-E6274A34085D}"/>
                </c:ext>
              </c:extLst>
            </c:dLbl>
            <c:dLbl>
              <c:idx val="1"/>
              <c:layout>
                <c:manualLayout>
                  <c:x val="1.8106029905870888E-2"/>
                  <c:y val="-7.14378997528221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65C-4233-B8F3-E6274A34085D}"/>
                </c:ext>
              </c:extLst>
            </c:dLbl>
            <c:dLbl>
              <c:idx val="2"/>
              <c:layout>
                <c:manualLayout>
                  <c:x val="1.3110159275693143E-2"/>
                  <c:y val="-6.69816910022169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5C-4233-B8F3-E6274A34085D}"/>
                </c:ext>
              </c:extLst>
            </c:dLbl>
            <c:dLbl>
              <c:idx val="3"/>
              <c:layout>
                <c:manualLayout>
                  <c:x val="7.9255174536406753E-3"/>
                  <c:y val="-6.73903626124404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65C-4233-B8F3-E6274A34085D}"/>
                </c:ext>
              </c:extLst>
            </c:dLbl>
            <c:dLbl>
              <c:idx val="4"/>
              <c:layout>
                <c:manualLayout>
                  <c:x val="1.5419323398907385E-2"/>
                  <c:y val="-6.95413831766175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5C-4233-B8F3-E6274A34085D}"/>
                </c:ext>
              </c:extLst>
            </c:dLbl>
            <c:dLbl>
              <c:idx val="5"/>
              <c:layout>
                <c:manualLayout>
                  <c:x val="7.9255174536406753E-3"/>
                  <c:y val="-6.4607700736437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65C-4233-B8F3-E6274A34085D}"/>
                </c:ext>
              </c:extLst>
            </c:dLbl>
            <c:dLbl>
              <c:idx val="6"/>
              <c:layout>
                <c:manualLayout>
                  <c:x val="7.7096616994536925E-3"/>
                  <c:y val="-5.71484086333868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5C-4233-B8F3-E6274A34085D}"/>
                </c:ext>
              </c:extLst>
            </c:dLbl>
            <c:spPr>
              <a:noFill/>
              <a:ln>
                <a:noFill/>
              </a:ln>
              <a:effectLst/>
            </c:spPr>
            <c:txPr>
              <a:bodyPr/>
              <a:lstStyle/>
              <a:p>
                <a:pPr>
                  <a:defRPr sz="1000"/>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Graf4_vývoj_DF!$B$3:$K$3</c:f>
              <c:strCache>
                <c:ptCount val="7"/>
                <c:pt idx="0">
                  <c:v>2011/2012</c:v>
                </c:pt>
                <c:pt idx="1">
                  <c:v>2012/2013</c:v>
                </c:pt>
                <c:pt idx="2">
                  <c:v>2013/2014</c:v>
                </c:pt>
                <c:pt idx="3">
                  <c:v>2014/2015</c:v>
                </c:pt>
                <c:pt idx="4">
                  <c:v>2015/2016</c:v>
                </c:pt>
                <c:pt idx="5">
                  <c:v>2016/2017</c:v>
                </c:pt>
                <c:pt idx="6">
                  <c:v>2017/2018</c:v>
                </c:pt>
              </c:strCache>
            </c:strRef>
          </c:cat>
          <c:val>
            <c:numRef>
              <c:f>Graf4_vývoj_DF!$B$6:$K$6</c:f>
              <c:numCache>
                <c:formatCode>#,##0</c:formatCode>
                <c:ptCount val="7"/>
                <c:pt idx="0">
                  <c:v>1198</c:v>
                </c:pt>
                <c:pt idx="1">
                  <c:v>1093</c:v>
                </c:pt>
                <c:pt idx="2">
                  <c:v>957</c:v>
                </c:pt>
                <c:pt idx="3">
                  <c:v>851</c:v>
                </c:pt>
                <c:pt idx="4">
                  <c:v>717</c:v>
                </c:pt>
                <c:pt idx="5">
                  <c:v>635</c:v>
                </c:pt>
                <c:pt idx="6">
                  <c:v>576</c:v>
                </c:pt>
              </c:numCache>
            </c:numRef>
          </c:val>
          <c:extLst xmlns:c16r2="http://schemas.microsoft.com/office/drawing/2015/06/chart">
            <c:ext xmlns:c16="http://schemas.microsoft.com/office/drawing/2014/chart" uri="{C3380CC4-5D6E-409C-BE32-E72D297353CC}">
              <c16:uniqueId val="{0000000D-465C-4233-B8F3-E6274A34085D}"/>
            </c:ext>
          </c:extLst>
        </c:ser>
        <c:dLbls>
          <c:showLegendKey val="0"/>
          <c:showVal val="1"/>
          <c:showCatName val="0"/>
          <c:showSerName val="0"/>
          <c:showPercent val="0"/>
          <c:showBubbleSize val="0"/>
        </c:dLbls>
        <c:gapWidth val="150"/>
        <c:shape val="box"/>
        <c:axId val="308533504"/>
        <c:axId val="308609024"/>
        <c:axId val="0"/>
      </c:bar3DChart>
      <c:catAx>
        <c:axId val="308533504"/>
        <c:scaling>
          <c:orientation val="minMax"/>
        </c:scaling>
        <c:delete val="0"/>
        <c:axPos val="b"/>
        <c:numFmt formatCode="General" sourceLinked="0"/>
        <c:majorTickMark val="out"/>
        <c:minorTickMark val="none"/>
        <c:tickLblPos val="nextTo"/>
        <c:txPr>
          <a:bodyPr rot="-2220000" vert="horz"/>
          <a:lstStyle/>
          <a:p>
            <a:pPr>
              <a:defRPr/>
            </a:pPr>
            <a:endParaRPr lang="sk-SK"/>
          </a:p>
        </c:txPr>
        <c:crossAx val="308609024"/>
        <c:crosses val="autoZero"/>
        <c:auto val="1"/>
        <c:lblAlgn val="ctr"/>
        <c:lblOffset val="100"/>
        <c:noMultiLvlLbl val="0"/>
      </c:catAx>
      <c:valAx>
        <c:axId val="308609024"/>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308533504"/>
        <c:crosses val="autoZero"/>
        <c:crossBetween val="between"/>
        <c:majorUnit val="3000"/>
      </c:valAx>
    </c:plotArea>
    <c:legend>
      <c:legendPos val="b"/>
      <c:overlay val="0"/>
    </c:legend>
    <c:plotVisOnly val="1"/>
    <c:dispBlanksAs val="gap"/>
    <c:showDLblsOverMax val="0"/>
  </c:chart>
  <c:spPr>
    <a:noFill/>
    <a:ln>
      <a:noFill/>
    </a:ln>
    <a:effectLst/>
  </c:spPr>
  <c:txPr>
    <a:bodyPr/>
    <a:lstStyle/>
    <a:p>
      <a:pPr>
        <a:defRPr>
          <a:latin typeface="+mj-lt"/>
        </a:defRPr>
      </a:pPr>
      <a:endParaRPr lang="sk-SK"/>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j-lt"/>
              </a:defRPr>
            </a:pPr>
            <a:r>
              <a:rPr lang="sk-SK" sz="1200" b="1" i="0" baseline="0">
                <a:effectLst/>
                <a:latin typeface="+mj-lt"/>
              </a:rPr>
              <a:t>b) Zahraničné výskumné granty</a:t>
            </a:r>
            <a:endParaRPr lang="sk-SK" sz="1200">
              <a:effectLst/>
              <a:latin typeface="+mj-l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'graf.č.5.priemer na pracov'!$K$42</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2562-48DB-A83C-462861DC74C5}"/>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2562-48DB-A83C-462861DC74C5}"/>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2562-48DB-A83C-462861DC74C5}"/>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2562-48DB-A83C-462861DC74C5}"/>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2562-48DB-A83C-462861DC74C5}"/>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2562-48DB-A83C-462861DC74C5}"/>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2562-48DB-A83C-462861DC74C5}"/>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2562-48DB-A83C-462861DC74C5}"/>
              </c:ext>
            </c:extLst>
          </c:dPt>
          <c:cat>
            <c:strRef>
              <c:f>'graf.č.5.priemer na pracov'!$L$41:$T$41</c:f>
              <c:strCache>
                <c:ptCount val="9"/>
                <c:pt idx="0">
                  <c:v>SvF</c:v>
                </c:pt>
                <c:pt idx="1">
                  <c:v>SjF</c:v>
                </c:pt>
                <c:pt idx="2">
                  <c:v>FEI</c:v>
                </c:pt>
                <c:pt idx="3">
                  <c:v>FCHPT</c:v>
                </c:pt>
                <c:pt idx="4">
                  <c:v>FA</c:v>
                </c:pt>
                <c:pt idx="5">
                  <c:v>MTF</c:v>
                </c:pt>
                <c:pt idx="6">
                  <c:v>FIIT</c:v>
                </c:pt>
                <c:pt idx="7">
                  <c:v>ÚM</c:v>
                </c:pt>
                <c:pt idx="8">
                  <c:v>priemer STU</c:v>
                </c:pt>
              </c:strCache>
            </c:strRef>
          </c:cat>
          <c:val>
            <c:numRef>
              <c:f>'graf.č.5.priemer na pracov'!$L$42:$T$42</c:f>
              <c:numCache>
                <c:formatCode>#,##0</c:formatCode>
                <c:ptCount val="9"/>
                <c:pt idx="0">
                  <c:v>262.63537906137185</c:v>
                </c:pt>
                <c:pt idx="1">
                  <c:v>0</c:v>
                </c:pt>
                <c:pt idx="2">
                  <c:v>3885.8879384456668</c:v>
                </c:pt>
                <c:pt idx="3">
                  <c:v>1315.0076491945433</c:v>
                </c:pt>
                <c:pt idx="4">
                  <c:v>1432.2814697434883</c:v>
                </c:pt>
                <c:pt idx="5">
                  <c:v>107.40114739629301</c:v>
                </c:pt>
                <c:pt idx="6">
                  <c:v>550.01387645478951</c:v>
                </c:pt>
                <c:pt idx="7">
                  <c:v>4839.0266940451738</c:v>
                </c:pt>
                <c:pt idx="8">
                  <c:v>1330.097004815786</c:v>
                </c:pt>
              </c:numCache>
            </c:numRef>
          </c:val>
          <c:extLst xmlns:c16r2="http://schemas.microsoft.com/office/drawing/2015/06/chart">
            <c:ext xmlns:c16="http://schemas.microsoft.com/office/drawing/2014/chart" uri="{C3380CC4-5D6E-409C-BE32-E72D297353CC}">
              <c16:uniqueId val="{00000010-2562-48DB-A83C-462861DC74C5}"/>
            </c:ext>
          </c:extLst>
        </c:ser>
        <c:dLbls>
          <c:showLegendKey val="0"/>
          <c:showVal val="0"/>
          <c:showCatName val="0"/>
          <c:showSerName val="0"/>
          <c:showPercent val="0"/>
          <c:showBubbleSize val="0"/>
        </c:dLbls>
        <c:gapWidth val="150"/>
        <c:shape val="cylinder"/>
        <c:axId val="324717184"/>
        <c:axId val="324727168"/>
        <c:axId val="0"/>
      </c:bar3DChart>
      <c:catAx>
        <c:axId val="324717184"/>
        <c:scaling>
          <c:orientation val="minMax"/>
        </c:scaling>
        <c:delete val="0"/>
        <c:axPos val="b"/>
        <c:numFmt formatCode="General" sourceLinked="0"/>
        <c:majorTickMark val="none"/>
        <c:minorTickMark val="none"/>
        <c:tickLblPos val="nextTo"/>
        <c:crossAx val="324727168"/>
        <c:crosses val="autoZero"/>
        <c:auto val="1"/>
        <c:lblAlgn val="ctr"/>
        <c:lblOffset val="100"/>
        <c:noMultiLvlLbl val="0"/>
      </c:catAx>
      <c:valAx>
        <c:axId val="324727168"/>
        <c:scaling>
          <c:orientation val="minMax"/>
        </c:scaling>
        <c:delete val="0"/>
        <c:axPos val="l"/>
        <c:majorGridlines/>
        <c:title>
          <c:tx>
            <c:rich>
              <a:bodyPr/>
              <a:lstStyle/>
              <a:p>
                <a:pPr>
                  <a:defRPr/>
                </a:pPr>
                <a:r>
                  <a:rPr lang="sk-SK">
                    <a:latin typeface="+mj-lt"/>
                  </a:rPr>
                  <a:t>EUR</a:t>
                </a:r>
              </a:p>
            </c:rich>
          </c:tx>
          <c:overlay val="0"/>
        </c:title>
        <c:numFmt formatCode="#,##0" sourceLinked="1"/>
        <c:majorTickMark val="none"/>
        <c:minorTickMark val="none"/>
        <c:tickLblPos val="nextTo"/>
        <c:txPr>
          <a:bodyPr/>
          <a:lstStyle/>
          <a:p>
            <a:pPr>
              <a:defRPr>
                <a:latin typeface="+mj-lt"/>
              </a:defRPr>
            </a:pPr>
            <a:endParaRPr lang="sk-SK"/>
          </a:p>
        </c:txPr>
        <c:crossAx val="324717184"/>
        <c:crosses val="autoZero"/>
        <c:crossBetween val="between"/>
      </c:valAx>
      <c:dTable>
        <c:showHorzBorder val="1"/>
        <c:showVertBorder val="1"/>
        <c:showOutline val="1"/>
        <c:showKeys val="1"/>
        <c:txPr>
          <a:bodyPr/>
          <a:lstStyle/>
          <a:p>
            <a:pPr rtl="0">
              <a:defRPr sz="800" baseline="0">
                <a:latin typeface="Calibri" panose="020F0502020204030204" pitchFamily="34" charset="0"/>
              </a:defRPr>
            </a:pPr>
            <a:endParaRPr lang="sk-SK"/>
          </a:p>
        </c:txPr>
      </c:dTable>
      <c:spPr>
        <a:noFill/>
        <a:ln w="25400">
          <a:noFill/>
        </a:ln>
      </c:spPr>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7729617994641861"/>
          <c:y val="5.1850656048587421E-2"/>
          <c:w val="0.79737278954120372"/>
          <c:h val="0.78021811533260987"/>
        </c:manualLayout>
      </c:layout>
      <c:bar3DChart>
        <c:barDir val="col"/>
        <c:grouping val="clustered"/>
        <c:varyColors val="0"/>
        <c:ser>
          <c:idx val="0"/>
          <c:order val="0"/>
          <c:tx>
            <c:strRef>
              <c:f>graf.c.12.ZoD!$B$48</c:f>
              <c:strCache>
                <c:ptCount val="1"/>
                <c:pt idx="0">
                  <c:v>STU</c:v>
                </c:pt>
              </c:strCache>
            </c:strRef>
          </c:tx>
          <c:spPr>
            <a:solidFill>
              <a:srgbClr val="C00000"/>
            </a:solidFill>
          </c:spPr>
          <c:invertIfNegative val="0"/>
          <c:cat>
            <c:numRef>
              <c:f>graf.c.12.ZoD!$A$49:$A$56</c:f>
              <c:numCache>
                <c:formatCode>General</c:formatCode>
                <c:ptCount val="8"/>
                <c:pt idx="0">
                  <c:v>2011</c:v>
                </c:pt>
                <c:pt idx="1">
                  <c:v>2012</c:v>
                </c:pt>
                <c:pt idx="2">
                  <c:v>2013</c:v>
                </c:pt>
                <c:pt idx="3">
                  <c:v>2014</c:v>
                </c:pt>
                <c:pt idx="4">
                  <c:v>2015</c:v>
                </c:pt>
                <c:pt idx="5">
                  <c:v>2016</c:v>
                </c:pt>
                <c:pt idx="6">
                  <c:v>2017</c:v>
                </c:pt>
                <c:pt idx="7">
                  <c:v>2018</c:v>
                </c:pt>
              </c:numCache>
            </c:numRef>
          </c:cat>
          <c:val>
            <c:numRef>
              <c:f>graf.c.12.ZoD!$B$49:$B$56</c:f>
              <c:numCache>
                <c:formatCode>#,##0</c:formatCode>
                <c:ptCount val="8"/>
                <c:pt idx="0">
                  <c:v>1546954</c:v>
                </c:pt>
                <c:pt idx="1">
                  <c:v>1801381</c:v>
                </c:pt>
                <c:pt idx="2">
                  <c:v>1702005</c:v>
                </c:pt>
                <c:pt idx="3">
                  <c:v>2475172</c:v>
                </c:pt>
                <c:pt idx="4">
                  <c:v>2241209</c:v>
                </c:pt>
                <c:pt idx="5">
                  <c:v>2315814.56</c:v>
                </c:pt>
                <c:pt idx="6">
                  <c:v>2481743.38</c:v>
                </c:pt>
                <c:pt idx="7">
                  <c:v>2690872.89</c:v>
                </c:pt>
              </c:numCache>
            </c:numRef>
          </c:val>
          <c:extLst xmlns:c16r2="http://schemas.microsoft.com/office/drawing/2015/06/chart">
            <c:ext xmlns:c16="http://schemas.microsoft.com/office/drawing/2014/chart" uri="{C3380CC4-5D6E-409C-BE32-E72D297353CC}">
              <c16:uniqueId val="{00000000-9C56-4905-9FA5-353CAF22866F}"/>
            </c:ext>
          </c:extLst>
        </c:ser>
        <c:dLbls>
          <c:showLegendKey val="0"/>
          <c:showVal val="0"/>
          <c:showCatName val="0"/>
          <c:showSerName val="0"/>
          <c:showPercent val="0"/>
          <c:showBubbleSize val="0"/>
        </c:dLbls>
        <c:gapWidth val="150"/>
        <c:shape val="cylinder"/>
        <c:axId val="324807296"/>
        <c:axId val="324817280"/>
        <c:axId val="0"/>
      </c:bar3DChart>
      <c:catAx>
        <c:axId val="324807296"/>
        <c:scaling>
          <c:orientation val="minMax"/>
        </c:scaling>
        <c:delete val="0"/>
        <c:axPos val="b"/>
        <c:numFmt formatCode="General" sourceLinked="1"/>
        <c:majorTickMark val="none"/>
        <c:minorTickMark val="none"/>
        <c:tickLblPos val="nextTo"/>
        <c:crossAx val="324817280"/>
        <c:crosses val="autoZero"/>
        <c:auto val="1"/>
        <c:lblAlgn val="ctr"/>
        <c:lblOffset val="100"/>
        <c:noMultiLvlLbl val="0"/>
      </c:catAx>
      <c:valAx>
        <c:axId val="324817280"/>
        <c:scaling>
          <c:orientation val="minMax"/>
        </c:scaling>
        <c:delete val="0"/>
        <c:axPos val="l"/>
        <c:majorGridlines/>
        <c:title>
          <c:tx>
            <c:rich>
              <a:bodyPr/>
              <a:lstStyle/>
              <a:p>
                <a:pPr>
                  <a:defRPr/>
                </a:pPr>
                <a:r>
                  <a:rPr lang="sk-SK"/>
                  <a:t>eur</a:t>
                </a:r>
                <a:endParaRPr lang="en-US"/>
              </a:p>
            </c:rich>
          </c:tx>
          <c:overlay val="0"/>
        </c:title>
        <c:numFmt formatCode="#,##0" sourceLinked="1"/>
        <c:majorTickMark val="none"/>
        <c:minorTickMark val="none"/>
        <c:tickLblPos val="nextTo"/>
        <c:crossAx val="324807296"/>
        <c:crosses val="autoZero"/>
        <c:crossBetween val="between"/>
      </c:valAx>
      <c:dTable>
        <c:showHorzBorder val="1"/>
        <c:showVertBorder val="1"/>
        <c:showOutline val="1"/>
        <c:showKeys val="1"/>
        <c:txPr>
          <a:bodyPr/>
          <a:lstStyle/>
          <a:p>
            <a:pPr rtl="0">
              <a:defRPr sz="800"/>
            </a:pPr>
            <a:endParaRPr lang="sk-SK"/>
          </a:p>
        </c:txPr>
      </c:dTable>
      <c:spPr>
        <a:noFill/>
        <a:ln w="25400">
          <a:noFill/>
        </a:ln>
      </c:spPr>
    </c:plotArea>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9343816228757216"/>
          <c:y val="0.21353284713949497"/>
          <c:w val="0.80620606251545768"/>
          <c:h val="0.57094488188976378"/>
        </c:manualLayout>
      </c:layout>
      <c:bar3DChart>
        <c:barDir val="col"/>
        <c:grouping val="clustered"/>
        <c:varyColors val="0"/>
        <c:ser>
          <c:idx val="0"/>
          <c:order val="0"/>
          <c:tx>
            <c:strRef>
              <c:f>'graf.č.5.priemer na pracov'!$K$51</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B031-4AC6-9A42-94BAF4AA1C4B}"/>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B031-4AC6-9A42-94BAF4AA1C4B}"/>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B031-4AC6-9A42-94BAF4AA1C4B}"/>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B031-4AC6-9A42-94BAF4AA1C4B}"/>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B031-4AC6-9A42-94BAF4AA1C4B}"/>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B031-4AC6-9A42-94BAF4AA1C4B}"/>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B031-4AC6-9A42-94BAF4AA1C4B}"/>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B031-4AC6-9A42-94BAF4AA1C4B}"/>
              </c:ext>
            </c:extLst>
          </c:dPt>
          <c:cat>
            <c:strRef>
              <c:f>'graf.č.5.priemer na pracov'!$L$50:$S$50</c:f>
              <c:strCache>
                <c:ptCount val="8"/>
                <c:pt idx="0">
                  <c:v>SvF</c:v>
                </c:pt>
                <c:pt idx="1">
                  <c:v>SjF</c:v>
                </c:pt>
                <c:pt idx="2">
                  <c:v>FEI</c:v>
                </c:pt>
                <c:pt idx="3">
                  <c:v>FCHPT</c:v>
                </c:pt>
                <c:pt idx="4">
                  <c:v>FA</c:v>
                </c:pt>
                <c:pt idx="5">
                  <c:v>MTF</c:v>
                </c:pt>
                <c:pt idx="6">
                  <c:v>FIIT</c:v>
                </c:pt>
                <c:pt idx="7">
                  <c:v>ÚM</c:v>
                </c:pt>
              </c:strCache>
            </c:strRef>
          </c:cat>
          <c:val>
            <c:numRef>
              <c:f>'graf.č.5.priemer na pracov'!$L$51:$S$51</c:f>
              <c:numCache>
                <c:formatCode>#,##0</c:formatCode>
                <c:ptCount val="8"/>
                <c:pt idx="0">
                  <c:v>788501</c:v>
                </c:pt>
                <c:pt idx="1">
                  <c:v>384722.38</c:v>
                </c:pt>
                <c:pt idx="2">
                  <c:v>704441.88</c:v>
                </c:pt>
                <c:pt idx="3">
                  <c:v>230429.23</c:v>
                </c:pt>
                <c:pt idx="4">
                  <c:v>80534</c:v>
                </c:pt>
                <c:pt idx="5">
                  <c:v>409439.4</c:v>
                </c:pt>
                <c:pt idx="6">
                  <c:v>89305</c:v>
                </c:pt>
                <c:pt idx="7">
                  <c:v>3500</c:v>
                </c:pt>
              </c:numCache>
            </c:numRef>
          </c:val>
          <c:extLst xmlns:c16r2="http://schemas.microsoft.com/office/drawing/2015/06/chart">
            <c:ext xmlns:c16="http://schemas.microsoft.com/office/drawing/2014/chart" uri="{C3380CC4-5D6E-409C-BE32-E72D297353CC}">
              <c16:uniqueId val="{00000010-B031-4AC6-9A42-94BAF4AA1C4B}"/>
            </c:ext>
          </c:extLst>
        </c:ser>
        <c:dLbls>
          <c:showLegendKey val="0"/>
          <c:showVal val="0"/>
          <c:showCatName val="0"/>
          <c:showSerName val="0"/>
          <c:showPercent val="0"/>
          <c:showBubbleSize val="0"/>
        </c:dLbls>
        <c:gapWidth val="150"/>
        <c:shape val="cylinder"/>
        <c:axId val="320623360"/>
        <c:axId val="320624896"/>
        <c:axId val="0"/>
      </c:bar3DChart>
      <c:catAx>
        <c:axId val="320623360"/>
        <c:scaling>
          <c:orientation val="minMax"/>
        </c:scaling>
        <c:delete val="0"/>
        <c:axPos val="b"/>
        <c:numFmt formatCode="General" sourceLinked="0"/>
        <c:majorTickMark val="none"/>
        <c:minorTickMark val="none"/>
        <c:tickLblPos val="nextTo"/>
        <c:crossAx val="320624896"/>
        <c:crosses val="autoZero"/>
        <c:auto val="1"/>
        <c:lblAlgn val="ctr"/>
        <c:lblOffset val="100"/>
        <c:noMultiLvlLbl val="0"/>
      </c:catAx>
      <c:valAx>
        <c:axId val="320624896"/>
        <c:scaling>
          <c:orientation val="minMax"/>
        </c:scaling>
        <c:delete val="0"/>
        <c:axPos val="l"/>
        <c:majorGridlines/>
        <c:title>
          <c:tx>
            <c:rich>
              <a:bodyPr/>
              <a:lstStyle/>
              <a:p>
                <a:pPr>
                  <a:defRPr/>
                </a:pPr>
                <a:r>
                  <a:rPr lang="sk-SK"/>
                  <a:t>EUR</a:t>
                </a:r>
              </a:p>
            </c:rich>
          </c:tx>
          <c:overlay val="0"/>
        </c:title>
        <c:numFmt formatCode="#,##0" sourceLinked="1"/>
        <c:majorTickMark val="none"/>
        <c:minorTickMark val="none"/>
        <c:tickLblPos val="nextTo"/>
        <c:crossAx val="320623360"/>
        <c:crosses val="autoZero"/>
        <c:crossBetween val="between"/>
      </c:valAx>
      <c:dTable>
        <c:showHorzBorder val="1"/>
        <c:showVertBorder val="1"/>
        <c:showOutline val="1"/>
        <c:showKeys val="1"/>
        <c:spPr>
          <a:ln>
            <a:solidFill>
              <a:sysClr val="windowText" lastClr="000000"/>
            </a:solidFill>
          </a:ln>
        </c:spPr>
        <c:txPr>
          <a:bodyPr/>
          <a:lstStyle/>
          <a:p>
            <a:pPr rtl="0">
              <a:defRPr sz="800" baseline="0">
                <a:latin typeface="Calibri" panose="020F0502020204030204" pitchFamily="34" charset="0"/>
              </a:defRPr>
            </a:pPr>
            <a:endParaRPr lang="sk-SK"/>
          </a:p>
        </c:txPr>
      </c:dTable>
      <c:spPr>
        <a:noFill/>
        <a:ln w="25400">
          <a:noFill/>
        </a:ln>
      </c:spPr>
    </c:plotArea>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9343816228757216"/>
          <c:y val="0.21353284713949497"/>
          <c:w val="0.80620606251545768"/>
          <c:h val="0.57094488188976378"/>
        </c:manualLayout>
      </c:layout>
      <c:bar3DChart>
        <c:barDir val="col"/>
        <c:grouping val="clustered"/>
        <c:varyColors val="0"/>
        <c:ser>
          <c:idx val="0"/>
          <c:order val="0"/>
          <c:tx>
            <c:strRef>
              <c:f>'graf.č.5.priemer na pracov'!$I$52</c:f>
              <c:strCache>
                <c:ptCount val="1"/>
                <c:pt idx="0">
                  <c:v>STU</c:v>
                </c:pt>
              </c:strCache>
            </c:strRef>
          </c:tx>
          <c:spPr>
            <a:solidFill>
              <a:srgbClr val="C00000"/>
            </a:solidFill>
          </c:spPr>
          <c:invertIfNegative val="0"/>
          <c:dPt>
            <c:idx val="0"/>
            <c:invertIfNegative val="0"/>
            <c:bubble3D val="0"/>
            <c:spPr>
              <a:solidFill>
                <a:srgbClr val="FF9900"/>
              </a:solidFill>
            </c:spPr>
            <c:extLst xmlns:c16r2="http://schemas.microsoft.com/office/drawing/2015/06/chart">
              <c:ext xmlns:c16="http://schemas.microsoft.com/office/drawing/2014/chart" uri="{C3380CC4-5D6E-409C-BE32-E72D297353CC}">
                <c16:uniqueId val="{00000001-322F-4EFC-B877-83C6E1530BF0}"/>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322F-4EFC-B877-83C6E1530BF0}"/>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322F-4EFC-B877-83C6E1530BF0}"/>
              </c:ext>
            </c:extLst>
          </c:dPt>
          <c:dPt>
            <c:idx val="3"/>
            <c:invertIfNegative val="0"/>
            <c:bubble3D val="0"/>
            <c:spPr>
              <a:solidFill>
                <a:srgbClr val="FFCC00"/>
              </a:solidFill>
            </c:spPr>
            <c:extLst xmlns:c16r2="http://schemas.microsoft.com/office/drawing/2015/06/chart">
              <c:ext xmlns:c16="http://schemas.microsoft.com/office/drawing/2014/chart" uri="{C3380CC4-5D6E-409C-BE32-E72D297353CC}">
                <c16:uniqueId val="{00000007-322F-4EFC-B877-83C6E1530BF0}"/>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322F-4EFC-B877-83C6E1530BF0}"/>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322F-4EFC-B877-83C6E1530BF0}"/>
              </c:ext>
            </c:extLst>
          </c:dPt>
          <c:dPt>
            <c:idx val="6"/>
            <c:invertIfNegative val="0"/>
            <c:bubble3D val="0"/>
            <c:spPr>
              <a:solidFill>
                <a:srgbClr val="00B0F0"/>
              </a:solidFill>
            </c:spPr>
            <c:extLst xmlns:c16r2="http://schemas.microsoft.com/office/drawing/2015/06/chart">
              <c:ext xmlns:c16="http://schemas.microsoft.com/office/drawing/2014/chart" uri="{C3380CC4-5D6E-409C-BE32-E72D297353CC}">
                <c16:uniqueId val="{0000000D-322F-4EFC-B877-83C6E1530BF0}"/>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F-322F-4EFC-B877-83C6E1530BF0}"/>
              </c:ext>
            </c:extLst>
          </c:dPt>
          <c:cat>
            <c:strRef>
              <c:f>'graf.č.5.priemer na pracov'!$H$53:$H$61</c:f>
              <c:strCache>
                <c:ptCount val="9"/>
                <c:pt idx="0">
                  <c:v>SvF</c:v>
                </c:pt>
                <c:pt idx="1">
                  <c:v>SjF</c:v>
                </c:pt>
                <c:pt idx="2">
                  <c:v>FEI</c:v>
                </c:pt>
                <c:pt idx="3">
                  <c:v>FCHPT</c:v>
                </c:pt>
                <c:pt idx="4">
                  <c:v>FA</c:v>
                </c:pt>
                <c:pt idx="5">
                  <c:v>MTF</c:v>
                </c:pt>
                <c:pt idx="6">
                  <c:v>FIIT</c:v>
                </c:pt>
                <c:pt idx="7">
                  <c:v>ÚM</c:v>
                </c:pt>
                <c:pt idx="8">
                  <c:v>Priemer STU</c:v>
                </c:pt>
              </c:strCache>
            </c:strRef>
          </c:cat>
          <c:val>
            <c:numRef>
              <c:f>'graf.č.5.priemer na pracov'!$I$53:$I$61</c:f>
              <c:numCache>
                <c:formatCode>#,##0</c:formatCode>
                <c:ptCount val="9"/>
                <c:pt idx="0">
                  <c:v>3162.8600080224628</c:v>
                </c:pt>
                <c:pt idx="1">
                  <c:v>3224.8313495389775</c:v>
                </c:pt>
                <c:pt idx="2">
                  <c:v>3028.0342159559837</c:v>
                </c:pt>
                <c:pt idx="3">
                  <c:v>812.25714688568507</c:v>
                </c:pt>
                <c:pt idx="4">
                  <c:v>797.60324848965035</c:v>
                </c:pt>
                <c:pt idx="5">
                  <c:v>2007.6463665784054</c:v>
                </c:pt>
                <c:pt idx="6">
                  <c:v>1998.7690241718888</c:v>
                </c:pt>
                <c:pt idx="7">
                  <c:v>102.66940451745378</c:v>
                </c:pt>
                <c:pt idx="8">
                  <c:v>2107.1006538506708</c:v>
                </c:pt>
              </c:numCache>
            </c:numRef>
          </c:val>
          <c:extLst xmlns:c16r2="http://schemas.microsoft.com/office/drawing/2015/06/chart">
            <c:ext xmlns:c16="http://schemas.microsoft.com/office/drawing/2014/chart" uri="{C3380CC4-5D6E-409C-BE32-E72D297353CC}">
              <c16:uniqueId val="{00000010-322F-4EFC-B877-83C6E1530BF0}"/>
            </c:ext>
          </c:extLst>
        </c:ser>
        <c:dLbls>
          <c:showLegendKey val="0"/>
          <c:showVal val="0"/>
          <c:showCatName val="0"/>
          <c:showSerName val="0"/>
          <c:showPercent val="0"/>
          <c:showBubbleSize val="0"/>
        </c:dLbls>
        <c:gapWidth val="150"/>
        <c:shape val="cylinder"/>
        <c:axId val="324848256"/>
        <c:axId val="324862336"/>
        <c:axId val="0"/>
      </c:bar3DChart>
      <c:catAx>
        <c:axId val="324848256"/>
        <c:scaling>
          <c:orientation val="minMax"/>
        </c:scaling>
        <c:delete val="0"/>
        <c:axPos val="b"/>
        <c:numFmt formatCode="General" sourceLinked="0"/>
        <c:majorTickMark val="none"/>
        <c:minorTickMark val="none"/>
        <c:tickLblPos val="nextTo"/>
        <c:crossAx val="324862336"/>
        <c:crosses val="autoZero"/>
        <c:auto val="1"/>
        <c:lblAlgn val="ctr"/>
        <c:lblOffset val="100"/>
        <c:noMultiLvlLbl val="0"/>
      </c:catAx>
      <c:valAx>
        <c:axId val="324862336"/>
        <c:scaling>
          <c:orientation val="minMax"/>
        </c:scaling>
        <c:delete val="0"/>
        <c:axPos val="l"/>
        <c:majorGridlines/>
        <c:title>
          <c:tx>
            <c:rich>
              <a:bodyPr/>
              <a:lstStyle/>
              <a:p>
                <a:pPr>
                  <a:defRPr/>
                </a:pPr>
                <a:r>
                  <a:rPr lang="sk-SK"/>
                  <a:t>EUR</a:t>
                </a:r>
              </a:p>
            </c:rich>
          </c:tx>
          <c:overlay val="0"/>
        </c:title>
        <c:numFmt formatCode="#,##0" sourceLinked="1"/>
        <c:majorTickMark val="none"/>
        <c:minorTickMark val="none"/>
        <c:tickLblPos val="nextTo"/>
        <c:crossAx val="324848256"/>
        <c:crosses val="autoZero"/>
        <c:crossBetween val="between"/>
      </c:valAx>
      <c:dTable>
        <c:showHorzBorder val="1"/>
        <c:showVertBorder val="1"/>
        <c:showOutline val="1"/>
        <c:showKeys val="1"/>
        <c:spPr>
          <a:ln>
            <a:solidFill>
              <a:sysClr val="windowText" lastClr="000000"/>
            </a:solidFill>
          </a:ln>
        </c:spPr>
        <c:txPr>
          <a:bodyPr/>
          <a:lstStyle/>
          <a:p>
            <a:pPr rtl="0">
              <a:defRPr sz="800" baseline="0">
                <a:latin typeface="Calibri" panose="020F0502020204030204" pitchFamily="34" charset="0"/>
              </a:defRPr>
            </a:pPr>
            <a:endParaRPr lang="sk-SK"/>
          </a:p>
        </c:txPr>
      </c:dTable>
      <c:spPr>
        <a:noFill/>
        <a:ln w="25400">
          <a:noFill/>
        </a:ln>
      </c:spPr>
    </c:plotArea>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40"/>
      <c:rAngAx val="0"/>
      <c:perspective val="30"/>
    </c:view3D>
    <c:floor>
      <c:thickness val="0"/>
    </c:floor>
    <c:sideWall>
      <c:thickness val="0"/>
    </c:sideWall>
    <c:backWall>
      <c:thickness val="0"/>
    </c:backWall>
    <c:plotArea>
      <c:layout>
        <c:manualLayout>
          <c:layoutTarget val="inner"/>
          <c:xMode val="edge"/>
          <c:yMode val="edge"/>
          <c:x val="0"/>
          <c:y val="6.4814814814814811E-2"/>
          <c:w val="0.82200109361329832"/>
          <c:h val="0.89814814814814814"/>
        </c:manualLayout>
      </c:layout>
      <c:pie3DChart>
        <c:varyColors val="1"/>
        <c:ser>
          <c:idx val="0"/>
          <c:order val="0"/>
          <c:spPr>
            <a:effectLst/>
          </c:spPr>
          <c:explosion val="23"/>
          <c:dPt>
            <c:idx val="0"/>
            <c:bubble3D val="0"/>
            <c:spPr>
              <a:solidFill>
                <a:schemeClr val="bg1">
                  <a:lumMod val="65000"/>
                </a:schemeClr>
              </a:solidFill>
              <a:effectLst/>
            </c:spPr>
            <c:extLst xmlns:c16r2="http://schemas.microsoft.com/office/drawing/2015/06/chart">
              <c:ext xmlns:c16="http://schemas.microsoft.com/office/drawing/2014/chart" uri="{C3380CC4-5D6E-409C-BE32-E72D297353CC}">
                <c16:uniqueId val="{00000001-6D0D-485A-B715-83308E740F6F}"/>
              </c:ext>
            </c:extLst>
          </c:dPt>
          <c:dPt>
            <c:idx val="1"/>
            <c:bubble3D val="0"/>
            <c:extLst xmlns:c16r2="http://schemas.microsoft.com/office/drawing/2015/06/chart">
              <c:ext xmlns:c16="http://schemas.microsoft.com/office/drawing/2014/chart" uri="{C3380CC4-5D6E-409C-BE32-E72D297353CC}">
                <c16:uniqueId val="{00000002-6D0D-485A-B715-83308E740F6F}"/>
              </c:ext>
            </c:extLst>
          </c:dPt>
          <c:dLbls>
            <c:numFmt formatCode="General" sourceLinked="0"/>
            <c:spPr>
              <a:noFill/>
              <a:ln>
                <a:noFill/>
              </a:ln>
              <a:effectLst/>
            </c:spPr>
            <c:txPr>
              <a:bodyPr wrap="square" lIns="38100" tIns="19050" rIns="38100" bIns="19050" anchor="ctr">
                <a:spAutoFit/>
              </a:bodyPr>
              <a:lstStyle/>
              <a:p>
                <a:pPr>
                  <a:defRPr sz="1100"/>
                </a:pPr>
                <a:endParaRPr lang="sk-SK"/>
              </a:p>
            </c:txPr>
            <c:dLblPos val="outEnd"/>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'Tab17-20_Graf_7_8_mobility'!$A$20:$A$23</c:f>
              <c:strCache>
                <c:ptCount val="4"/>
                <c:pt idx="0">
                  <c:v>Bc. </c:v>
                </c:pt>
                <c:pt idx="1">
                  <c:v>Ing.</c:v>
                </c:pt>
                <c:pt idx="2">
                  <c:v>PhD. </c:v>
                </c:pt>
                <c:pt idx="3">
                  <c:v>absolventi</c:v>
                </c:pt>
              </c:strCache>
            </c:strRef>
          </c:cat>
          <c:val>
            <c:numRef>
              <c:f>'Tab17-20_Graf_7_8_mobility'!$B$20:$B$23</c:f>
              <c:numCache>
                <c:formatCode>General</c:formatCode>
                <c:ptCount val="4"/>
                <c:pt idx="0">
                  <c:v>54</c:v>
                </c:pt>
                <c:pt idx="1">
                  <c:v>175</c:v>
                </c:pt>
                <c:pt idx="2">
                  <c:v>28</c:v>
                </c:pt>
                <c:pt idx="3">
                  <c:v>19</c:v>
                </c:pt>
              </c:numCache>
            </c:numRef>
          </c:val>
          <c:extLst xmlns:c16r2="http://schemas.microsoft.com/office/drawing/2015/06/chart">
            <c:ext xmlns:c16="http://schemas.microsoft.com/office/drawing/2014/chart" uri="{C3380CC4-5D6E-409C-BE32-E72D297353CC}">
              <c16:uniqueId val="{00000003-6D0D-485A-B715-83308E740F6F}"/>
            </c:ext>
          </c:extLst>
        </c:ser>
        <c:ser>
          <c:idx val="1"/>
          <c:order val="1"/>
          <c:explosion val="25"/>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'Tab17-20_Graf_7_8_mobility'!$A$20:$A$23</c:f>
              <c:strCache>
                <c:ptCount val="4"/>
                <c:pt idx="0">
                  <c:v>Bc. </c:v>
                </c:pt>
                <c:pt idx="1">
                  <c:v>Ing.</c:v>
                </c:pt>
                <c:pt idx="2">
                  <c:v>PhD. </c:v>
                </c:pt>
                <c:pt idx="3">
                  <c:v>absolventi</c:v>
                </c:pt>
              </c:strCache>
            </c:strRef>
          </c:cat>
          <c:val>
            <c:numRef>
              <c:f>'Tab17-20_Graf_7_8_mobility'!$C$20:$C$23</c:f>
              <c:numCache>
                <c:formatCode>0.00%</c:formatCode>
                <c:ptCount val="4"/>
                <c:pt idx="0">
                  <c:v>0.19565217391304349</c:v>
                </c:pt>
                <c:pt idx="1">
                  <c:v>0.63405797101449279</c:v>
                </c:pt>
                <c:pt idx="2">
                  <c:v>0.10144927536231885</c:v>
                </c:pt>
                <c:pt idx="3">
                  <c:v>6.8840579710144928E-2</c:v>
                </c:pt>
              </c:numCache>
            </c:numRef>
          </c:val>
          <c:extLst xmlns:c16r2="http://schemas.microsoft.com/office/drawing/2015/06/chart">
            <c:ext xmlns:c16="http://schemas.microsoft.com/office/drawing/2014/chart" uri="{C3380CC4-5D6E-409C-BE32-E72D297353CC}">
              <c16:uniqueId val="{00000004-6D0D-485A-B715-83308E740F6F}"/>
            </c:ext>
          </c:extLst>
        </c:ser>
        <c:dLbls>
          <c:dLblPos val="outEnd"/>
          <c:showLegendKey val="0"/>
          <c:showVal val="1"/>
          <c:showCatName val="0"/>
          <c:showSerName val="0"/>
          <c:showPercent val="0"/>
          <c:showBubbleSize val="0"/>
          <c:showLeaderLines val="1"/>
        </c:dLbls>
      </c:pie3DChart>
    </c:plotArea>
    <c:legend>
      <c:legendPos val="r"/>
      <c:layout>
        <c:manualLayout>
          <c:xMode val="edge"/>
          <c:yMode val="edge"/>
          <c:x val="0.69387693743824752"/>
          <c:y val="0.668089276610208"/>
          <c:w val="0.29380589551017439"/>
          <c:h val="0.26799540682414696"/>
        </c:manualLayout>
      </c:layout>
      <c:overlay val="1"/>
      <c:spPr>
        <a:effectLst>
          <a:outerShdw blurRad="50800" dist="38100" dir="5400000" algn="t" rotWithShape="0">
            <a:schemeClr val="bg1">
              <a:lumMod val="50000"/>
              <a:alpha val="40000"/>
            </a:schemeClr>
          </a:outerShdw>
        </a:effectLst>
      </c:spPr>
      <c:txPr>
        <a:bodyPr/>
        <a:lstStyle/>
        <a:p>
          <a:pPr>
            <a:defRPr sz="1100" b="1"/>
          </a:pPr>
          <a:endParaRPr lang="sk-SK"/>
        </a:p>
      </c:txPr>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a:noFill/>
        </a:ln>
      </c:spPr>
    </c:sideWall>
    <c:backWall>
      <c:thickness val="0"/>
      <c:spPr>
        <a:noFill/>
        <a:ln>
          <a:noFill/>
        </a:ln>
      </c:spPr>
    </c:backWall>
    <c:plotArea>
      <c:layout/>
      <c:bar3DChart>
        <c:barDir val="col"/>
        <c:grouping val="clustered"/>
        <c:varyColors val="0"/>
        <c:ser>
          <c:idx val="0"/>
          <c:order val="0"/>
          <c:tx>
            <c:strRef>
              <c:f>'Tab17-20_Graf_7_8_mobility'!$B$40:$B$41</c:f>
              <c:strCache>
                <c:ptCount val="1"/>
                <c:pt idx="0">
                  <c:v>Erasmus+ vyslania</c:v>
                </c:pt>
              </c:strCache>
            </c:strRef>
          </c:tx>
          <c:spPr>
            <a:scene3d>
              <a:camera prst="orthographicFront"/>
              <a:lightRig rig="threePt" dir="t"/>
            </a:scene3d>
            <a:sp3d>
              <a:bevelT/>
            </a:sp3d>
          </c:spPr>
          <c:invertIfNegative val="0"/>
          <c:cat>
            <c:strRef>
              <c:f>'Tab17-20_Graf_7_8_mobility'!$A$42:$A$74</c:f>
              <c:strCache>
                <c:ptCount val="33"/>
                <c:pt idx="0">
                  <c:v>AT</c:v>
                </c:pt>
                <c:pt idx="1">
                  <c:v>BE</c:v>
                </c:pt>
                <c:pt idx="2">
                  <c:v>BG</c:v>
                </c:pt>
                <c:pt idx="3">
                  <c:v>CA</c:v>
                </c:pt>
                <c:pt idx="4">
                  <c:v>CN</c:v>
                </c:pt>
                <c:pt idx="5">
                  <c:v>CU</c:v>
                </c:pt>
                <c:pt idx="6">
                  <c:v>CZ</c:v>
                </c:pt>
                <c:pt idx="7">
                  <c:v>DE</c:v>
                </c:pt>
                <c:pt idx="8">
                  <c:v>DK</c:v>
                </c:pt>
                <c:pt idx="9">
                  <c:v>EE</c:v>
                </c:pt>
                <c:pt idx="10">
                  <c:v>ES</c:v>
                </c:pt>
                <c:pt idx="11">
                  <c:v>FI</c:v>
                </c:pt>
                <c:pt idx="12">
                  <c:v>FR</c:v>
                </c:pt>
                <c:pt idx="13">
                  <c:v>GB</c:v>
                </c:pt>
                <c:pt idx="14">
                  <c:v>GR</c:v>
                </c:pt>
                <c:pt idx="15">
                  <c:v>HR</c:v>
                </c:pt>
                <c:pt idx="16">
                  <c:v>HU</c:v>
                </c:pt>
                <c:pt idx="17">
                  <c:v>IE</c:v>
                </c:pt>
                <c:pt idx="18">
                  <c:v>IT</c:v>
                </c:pt>
                <c:pt idx="19">
                  <c:v>KZ</c:v>
                </c:pt>
                <c:pt idx="20">
                  <c:v>LK</c:v>
                </c:pt>
                <c:pt idx="21">
                  <c:v>LT </c:v>
                </c:pt>
                <c:pt idx="22">
                  <c:v>ME</c:v>
                </c:pt>
                <c:pt idx="23">
                  <c:v>NL</c:v>
                </c:pt>
                <c:pt idx="24">
                  <c:v>NO</c:v>
                </c:pt>
                <c:pt idx="25">
                  <c:v>PL</c:v>
                </c:pt>
                <c:pt idx="26">
                  <c:v>PT</c:v>
                </c:pt>
                <c:pt idx="27">
                  <c:v>RO</c:v>
                </c:pt>
                <c:pt idx="28">
                  <c:v>RU</c:v>
                </c:pt>
                <c:pt idx="29">
                  <c:v>SE</c:v>
                </c:pt>
                <c:pt idx="30">
                  <c:v>SI</c:v>
                </c:pt>
                <c:pt idx="31">
                  <c:v>TR</c:v>
                </c:pt>
                <c:pt idx="32">
                  <c:v>UK</c:v>
                </c:pt>
              </c:strCache>
            </c:strRef>
          </c:cat>
          <c:val>
            <c:numRef>
              <c:f>'Tab17-20_Graf_7_8_mobility'!$B$42:$B$74</c:f>
              <c:numCache>
                <c:formatCode>General</c:formatCode>
                <c:ptCount val="33"/>
                <c:pt idx="0">
                  <c:v>10</c:v>
                </c:pt>
                <c:pt idx="1">
                  <c:v>17</c:v>
                </c:pt>
                <c:pt idx="2">
                  <c:v>2</c:v>
                </c:pt>
                <c:pt idx="3">
                  <c:v>0</c:v>
                </c:pt>
                <c:pt idx="4">
                  <c:v>2</c:v>
                </c:pt>
                <c:pt idx="5">
                  <c:v>0</c:v>
                </c:pt>
                <c:pt idx="6">
                  <c:v>48</c:v>
                </c:pt>
                <c:pt idx="7">
                  <c:v>33</c:v>
                </c:pt>
                <c:pt idx="8">
                  <c:v>12</c:v>
                </c:pt>
                <c:pt idx="9">
                  <c:v>18</c:v>
                </c:pt>
                <c:pt idx="10">
                  <c:v>22</c:v>
                </c:pt>
                <c:pt idx="11">
                  <c:v>8</c:v>
                </c:pt>
                <c:pt idx="12">
                  <c:v>5</c:v>
                </c:pt>
                <c:pt idx="13">
                  <c:v>2</c:v>
                </c:pt>
                <c:pt idx="14">
                  <c:v>3</c:v>
                </c:pt>
                <c:pt idx="15">
                  <c:v>4</c:v>
                </c:pt>
                <c:pt idx="16">
                  <c:v>11</c:v>
                </c:pt>
                <c:pt idx="17">
                  <c:v>4</c:v>
                </c:pt>
                <c:pt idx="18">
                  <c:v>7</c:v>
                </c:pt>
                <c:pt idx="19">
                  <c:v>0</c:v>
                </c:pt>
                <c:pt idx="20">
                  <c:v>0</c:v>
                </c:pt>
                <c:pt idx="21">
                  <c:v>8</c:v>
                </c:pt>
                <c:pt idx="22">
                  <c:v>0</c:v>
                </c:pt>
                <c:pt idx="23">
                  <c:v>7</c:v>
                </c:pt>
                <c:pt idx="24">
                  <c:v>10</c:v>
                </c:pt>
                <c:pt idx="25">
                  <c:v>11</c:v>
                </c:pt>
                <c:pt idx="26">
                  <c:v>16</c:v>
                </c:pt>
                <c:pt idx="27">
                  <c:v>0</c:v>
                </c:pt>
                <c:pt idx="28">
                  <c:v>2</c:v>
                </c:pt>
                <c:pt idx="29">
                  <c:v>4</c:v>
                </c:pt>
                <c:pt idx="30">
                  <c:v>7</c:v>
                </c:pt>
                <c:pt idx="31">
                  <c:v>0</c:v>
                </c:pt>
                <c:pt idx="32">
                  <c:v>3</c:v>
                </c:pt>
              </c:numCache>
            </c:numRef>
          </c:val>
          <c:extLst xmlns:c16r2="http://schemas.microsoft.com/office/drawing/2015/06/chart">
            <c:ext xmlns:c16="http://schemas.microsoft.com/office/drawing/2014/chart" uri="{C3380CC4-5D6E-409C-BE32-E72D297353CC}">
              <c16:uniqueId val="{00000000-FB53-47FE-B344-A42D53B8A5E6}"/>
            </c:ext>
          </c:extLst>
        </c:ser>
        <c:ser>
          <c:idx val="1"/>
          <c:order val="1"/>
          <c:tx>
            <c:strRef>
              <c:f>'Tab17-20_Graf_7_8_mobility'!$C$40:$C$41</c:f>
              <c:strCache>
                <c:ptCount val="1"/>
                <c:pt idx="0">
                  <c:v>Erasmus+ prijatia</c:v>
                </c:pt>
              </c:strCache>
            </c:strRef>
          </c:tx>
          <c:spPr>
            <a:scene3d>
              <a:camera prst="orthographicFront"/>
              <a:lightRig rig="threePt" dir="t"/>
            </a:scene3d>
            <a:sp3d>
              <a:bevelT/>
            </a:sp3d>
          </c:spPr>
          <c:invertIfNegative val="0"/>
          <c:cat>
            <c:strRef>
              <c:f>'Tab17-20_Graf_7_8_mobility'!$A$42:$A$74</c:f>
              <c:strCache>
                <c:ptCount val="33"/>
                <c:pt idx="0">
                  <c:v>AT</c:v>
                </c:pt>
                <c:pt idx="1">
                  <c:v>BE</c:v>
                </c:pt>
                <c:pt idx="2">
                  <c:v>BG</c:v>
                </c:pt>
                <c:pt idx="3">
                  <c:v>CA</c:v>
                </c:pt>
                <c:pt idx="4">
                  <c:v>CN</c:v>
                </c:pt>
                <c:pt idx="5">
                  <c:v>CU</c:v>
                </c:pt>
                <c:pt idx="6">
                  <c:v>CZ</c:v>
                </c:pt>
                <c:pt idx="7">
                  <c:v>DE</c:v>
                </c:pt>
                <c:pt idx="8">
                  <c:v>DK</c:v>
                </c:pt>
                <c:pt idx="9">
                  <c:v>EE</c:v>
                </c:pt>
                <c:pt idx="10">
                  <c:v>ES</c:v>
                </c:pt>
                <c:pt idx="11">
                  <c:v>FI</c:v>
                </c:pt>
                <c:pt idx="12">
                  <c:v>FR</c:v>
                </c:pt>
                <c:pt idx="13">
                  <c:v>GB</c:v>
                </c:pt>
                <c:pt idx="14">
                  <c:v>GR</c:v>
                </c:pt>
                <c:pt idx="15">
                  <c:v>HR</c:v>
                </c:pt>
                <c:pt idx="16">
                  <c:v>HU</c:v>
                </c:pt>
                <c:pt idx="17">
                  <c:v>IE</c:v>
                </c:pt>
                <c:pt idx="18">
                  <c:v>IT</c:v>
                </c:pt>
                <c:pt idx="19">
                  <c:v>KZ</c:v>
                </c:pt>
                <c:pt idx="20">
                  <c:v>LK</c:v>
                </c:pt>
                <c:pt idx="21">
                  <c:v>LT </c:v>
                </c:pt>
                <c:pt idx="22">
                  <c:v>ME</c:v>
                </c:pt>
                <c:pt idx="23">
                  <c:v>NL</c:v>
                </c:pt>
                <c:pt idx="24">
                  <c:v>NO</c:v>
                </c:pt>
                <c:pt idx="25">
                  <c:v>PL</c:v>
                </c:pt>
                <c:pt idx="26">
                  <c:v>PT</c:v>
                </c:pt>
                <c:pt idx="27">
                  <c:v>RO</c:v>
                </c:pt>
                <c:pt idx="28">
                  <c:v>RU</c:v>
                </c:pt>
                <c:pt idx="29">
                  <c:v>SE</c:v>
                </c:pt>
                <c:pt idx="30">
                  <c:v>SI</c:v>
                </c:pt>
                <c:pt idx="31">
                  <c:v>TR</c:v>
                </c:pt>
                <c:pt idx="32">
                  <c:v>UK</c:v>
                </c:pt>
              </c:strCache>
            </c:strRef>
          </c:cat>
          <c:val>
            <c:numRef>
              <c:f>'Tab17-20_Graf_7_8_mobility'!$C$42:$C$74</c:f>
              <c:numCache>
                <c:formatCode>General</c:formatCode>
                <c:ptCount val="33"/>
                <c:pt idx="0">
                  <c:v>1</c:v>
                </c:pt>
                <c:pt idx="1">
                  <c:v>2</c:v>
                </c:pt>
                <c:pt idx="2">
                  <c:v>0</c:v>
                </c:pt>
                <c:pt idx="3">
                  <c:v>2</c:v>
                </c:pt>
                <c:pt idx="4">
                  <c:v>3</c:v>
                </c:pt>
                <c:pt idx="5">
                  <c:v>1</c:v>
                </c:pt>
                <c:pt idx="6">
                  <c:v>2</c:v>
                </c:pt>
                <c:pt idx="7">
                  <c:v>9</c:v>
                </c:pt>
                <c:pt idx="8">
                  <c:v>0</c:v>
                </c:pt>
                <c:pt idx="9">
                  <c:v>0</c:v>
                </c:pt>
                <c:pt idx="10">
                  <c:v>49</c:v>
                </c:pt>
                <c:pt idx="11">
                  <c:v>0</c:v>
                </c:pt>
                <c:pt idx="12">
                  <c:v>30</c:v>
                </c:pt>
                <c:pt idx="13">
                  <c:v>2</c:v>
                </c:pt>
                <c:pt idx="14">
                  <c:v>3</c:v>
                </c:pt>
                <c:pt idx="15">
                  <c:v>0</c:v>
                </c:pt>
                <c:pt idx="16">
                  <c:v>1</c:v>
                </c:pt>
                <c:pt idx="17">
                  <c:v>0</c:v>
                </c:pt>
                <c:pt idx="18">
                  <c:v>12</c:v>
                </c:pt>
                <c:pt idx="19">
                  <c:v>2</c:v>
                </c:pt>
                <c:pt idx="20">
                  <c:v>1</c:v>
                </c:pt>
                <c:pt idx="21">
                  <c:v>3</c:v>
                </c:pt>
                <c:pt idx="22">
                  <c:v>10</c:v>
                </c:pt>
                <c:pt idx="23">
                  <c:v>0</c:v>
                </c:pt>
                <c:pt idx="24">
                  <c:v>0</c:v>
                </c:pt>
                <c:pt idx="25">
                  <c:v>8</c:v>
                </c:pt>
                <c:pt idx="26">
                  <c:v>8</c:v>
                </c:pt>
                <c:pt idx="27">
                  <c:v>3</c:v>
                </c:pt>
                <c:pt idx="28">
                  <c:v>4</c:v>
                </c:pt>
                <c:pt idx="29">
                  <c:v>0</c:v>
                </c:pt>
                <c:pt idx="30">
                  <c:v>2</c:v>
                </c:pt>
                <c:pt idx="31">
                  <c:v>19</c:v>
                </c:pt>
                <c:pt idx="32">
                  <c:v>3</c:v>
                </c:pt>
              </c:numCache>
            </c:numRef>
          </c:val>
          <c:extLst xmlns:c16r2="http://schemas.microsoft.com/office/drawing/2015/06/chart">
            <c:ext xmlns:c16="http://schemas.microsoft.com/office/drawing/2014/chart" uri="{C3380CC4-5D6E-409C-BE32-E72D297353CC}">
              <c16:uniqueId val="{00000001-FB53-47FE-B344-A42D53B8A5E6}"/>
            </c:ext>
          </c:extLst>
        </c:ser>
        <c:dLbls>
          <c:showLegendKey val="0"/>
          <c:showVal val="0"/>
          <c:showCatName val="0"/>
          <c:showSerName val="0"/>
          <c:showPercent val="0"/>
          <c:showBubbleSize val="0"/>
        </c:dLbls>
        <c:gapWidth val="150"/>
        <c:shape val="box"/>
        <c:axId val="324916352"/>
        <c:axId val="324917888"/>
        <c:axId val="0"/>
      </c:bar3DChart>
      <c:catAx>
        <c:axId val="324916352"/>
        <c:scaling>
          <c:orientation val="minMax"/>
        </c:scaling>
        <c:delete val="0"/>
        <c:axPos val="b"/>
        <c:numFmt formatCode="General" sourceLinked="1"/>
        <c:majorTickMark val="out"/>
        <c:minorTickMark val="none"/>
        <c:tickLblPos val="nextTo"/>
        <c:txPr>
          <a:bodyPr/>
          <a:lstStyle/>
          <a:p>
            <a:pPr>
              <a:defRPr sz="900"/>
            </a:pPr>
            <a:endParaRPr lang="sk-SK"/>
          </a:p>
        </c:txPr>
        <c:crossAx val="324917888"/>
        <c:crosses val="autoZero"/>
        <c:auto val="1"/>
        <c:lblAlgn val="ctr"/>
        <c:lblOffset val="100"/>
        <c:noMultiLvlLbl val="0"/>
      </c:catAx>
      <c:valAx>
        <c:axId val="324917888"/>
        <c:scaling>
          <c:orientation val="minMax"/>
        </c:scaling>
        <c:delete val="0"/>
        <c:axPos val="l"/>
        <c:majorGridlines/>
        <c:numFmt formatCode="General" sourceLinked="1"/>
        <c:majorTickMark val="out"/>
        <c:minorTickMark val="none"/>
        <c:tickLblPos val="nextTo"/>
        <c:crossAx val="324916352"/>
        <c:crosses val="autoZero"/>
        <c:crossBetween val="between"/>
      </c:valAx>
    </c:plotArea>
    <c:legend>
      <c:legendPos val="t"/>
      <c:layout>
        <c:manualLayout>
          <c:xMode val="edge"/>
          <c:yMode val="edge"/>
          <c:x val="0.42630121134657767"/>
          <c:y val="6.1443922502602902E-2"/>
          <c:w val="0.50010277773394562"/>
          <c:h val="6.5879818912987664E-2"/>
        </c:manualLayout>
      </c:layout>
      <c:overlay val="1"/>
      <c:txPr>
        <a:bodyPr/>
        <a:lstStyle/>
        <a:p>
          <a:pPr>
            <a:defRPr b="0"/>
          </a:pPr>
          <a:endParaRPr lang="sk-SK"/>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tint val="75000"/>
              <a:shade val="95000"/>
              <a:satMod val="105000"/>
            </a:schemeClr>
          </a:solidFill>
        </a:ln>
        <a:effectLst/>
        <a:sp3d>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720154514996256E-2"/>
          <c:y val="4.2231997215181859E-2"/>
          <c:w val="0.88660375968287808"/>
          <c:h val="0.67457991342827828"/>
        </c:manualLayout>
      </c:layout>
      <c:bar3DChart>
        <c:barDir val="col"/>
        <c:grouping val="stacked"/>
        <c:varyColors val="0"/>
        <c:ser>
          <c:idx val="1"/>
          <c:order val="0"/>
          <c:tx>
            <c:strRef>
              <c:f>Graf5_vývoj_EF!$A$3</c:f>
              <c:strCache>
                <c:ptCount val="1"/>
                <c:pt idx="0">
                  <c:v>I. stupeň</c:v>
                </c:pt>
              </c:strCache>
            </c:strRef>
          </c:tx>
          <c:spPr>
            <a:gradFill flip="none" rotWithShape="1">
              <a:gsLst>
                <a:gs pos="0">
                  <a:schemeClr val="accent1">
                    <a:lumMod val="0"/>
                    <a:lumOff val="100000"/>
                  </a:schemeClr>
                </a:gs>
                <a:gs pos="16000">
                  <a:schemeClr val="accent1">
                    <a:lumMod val="0"/>
                    <a:lumOff val="100000"/>
                  </a:schemeClr>
                </a:gs>
                <a:gs pos="100000">
                  <a:schemeClr val="accent1">
                    <a:lumMod val="100000"/>
                  </a:schemeClr>
                </a:gs>
              </a:gsLst>
              <a:path path="circle">
                <a:fillToRect l="50000" t="-80000" r="50000" b="180000"/>
              </a:path>
              <a:tileRect/>
            </a:gradFill>
            <a:ln>
              <a:noFill/>
            </a:ln>
            <a:effectLst/>
            <a:sp3d>
              <a:contourClr>
                <a:schemeClr val="accent5">
                  <a:shade val="76000"/>
                  <a:shade val="95000"/>
                  <a:satMod val="105000"/>
                </a:schemeClr>
              </a:contourClr>
            </a:sp3d>
          </c:spPr>
          <c:invertIfNegative val="0"/>
          <c:dLbls>
            <c:dLbl>
              <c:idx val="0"/>
              <c:layout>
                <c:manualLayout>
                  <c:x val="6.571265663699026E-2"/>
                  <c:y val="-3.65363536719035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F3-46F4-B120-8598A8F4CC53}"/>
                </c:ext>
              </c:extLst>
            </c:dLbl>
            <c:dLbl>
              <c:idx val="1"/>
              <c:layout>
                <c:manualLayout>
                  <c:x val="6.8240342066429108E-2"/>
                  <c:y val="-6.73390890077372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1F3-46F4-B120-8598A8F4CC53}"/>
                </c:ext>
              </c:extLst>
            </c:dLbl>
            <c:dLbl>
              <c:idx val="2"/>
              <c:layout>
                <c:manualLayout>
                  <c:x val="6.0657882822147548E-2"/>
                  <c:y val="-6.7339089007735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F3-46F4-B120-8598A8F4CC53}"/>
                </c:ext>
              </c:extLst>
            </c:dLbl>
            <c:dLbl>
              <c:idx val="3"/>
              <c:layout>
                <c:manualLayout>
                  <c:x val="6.065768380746922E-2"/>
                  <c:y val="-1.31811368847436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2.6689119873177323E-2"/>
                      <c:h val="3.3619661178716294E-2"/>
                    </c:manualLayout>
                  </c15:layout>
                </c:ext>
                <c:ext xmlns:c16="http://schemas.microsoft.com/office/drawing/2014/chart" uri="{C3380CC4-5D6E-409C-BE32-E72D297353CC}">
                  <c16:uniqueId val="{00000004-71F3-46F4-B120-8598A8F4CC5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1F3-46F4-B120-8598A8F4CC5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1F3-46F4-B120-8598A8F4CC5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1F3-46F4-B120-8598A8F4CC5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Graf5_vývoj_EF!$B$2:$K$2</c:f>
              <c:strCache>
                <c:ptCount val="7"/>
                <c:pt idx="0">
                  <c:v>2011/2012</c:v>
                </c:pt>
                <c:pt idx="1">
                  <c:v>2012/2013</c:v>
                </c:pt>
                <c:pt idx="2">
                  <c:v>2013/2014</c:v>
                </c:pt>
                <c:pt idx="3">
                  <c:v>2014/2015</c:v>
                </c:pt>
                <c:pt idx="4">
                  <c:v>2015/2016</c:v>
                </c:pt>
                <c:pt idx="5">
                  <c:v>2016/2017</c:v>
                </c:pt>
                <c:pt idx="6">
                  <c:v>2017/2018</c:v>
                </c:pt>
              </c:strCache>
            </c:strRef>
          </c:cat>
          <c:val>
            <c:numRef>
              <c:f>Graf5_vývoj_EF!$B$3:$K$3</c:f>
              <c:numCache>
                <c:formatCode>#,##0</c:formatCode>
                <c:ptCount val="7"/>
                <c:pt idx="0">
                  <c:v>252</c:v>
                </c:pt>
                <c:pt idx="1">
                  <c:v>103</c:v>
                </c:pt>
                <c:pt idx="2">
                  <c:v>37</c:v>
                </c:pt>
                <c:pt idx="3">
                  <c:v>7</c:v>
                </c:pt>
                <c:pt idx="4">
                  <c:v>0</c:v>
                </c:pt>
                <c:pt idx="5">
                  <c:v>0</c:v>
                </c:pt>
                <c:pt idx="6">
                  <c:v>0</c:v>
                </c:pt>
              </c:numCache>
            </c:numRef>
          </c:val>
          <c:extLst xmlns:c16r2="http://schemas.microsoft.com/office/drawing/2015/06/chart">
            <c:ext xmlns:c16="http://schemas.microsoft.com/office/drawing/2014/chart" uri="{C3380CC4-5D6E-409C-BE32-E72D297353CC}">
              <c16:uniqueId val="{00000009-71F3-46F4-B120-8598A8F4CC53}"/>
            </c:ext>
          </c:extLst>
        </c:ser>
        <c:ser>
          <c:idx val="2"/>
          <c:order val="1"/>
          <c:tx>
            <c:strRef>
              <c:f>Graf5_vývoj_EF!$A$4</c:f>
              <c:strCache>
                <c:ptCount val="1"/>
                <c:pt idx="0">
                  <c:v>II. stupeň</c:v>
                </c:pt>
              </c:strCache>
            </c:strRef>
          </c:tx>
          <c:spP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ln>
              <a:noFill/>
            </a:ln>
            <a:effectLst/>
            <a:sp3d>
              <a:contourClr>
                <a:schemeClr val="accent5">
                  <a:shade val="76000"/>
                  <a:shade val="95000"/>
                  <a:satMod val="105000"/>
                </a:schemeClr>
              </a:contourClr>
            </a:sp3d>
          </c:spPr>
          <c:invertIfNegative val="0"/>
          <c:dLbls>
            <c:dLbl>
              <c:idx val="0"/>
              <c:layout>
                <c:manualLayout>
                  <c:x val="6.3185170222229747E-2"/>
                  <c:y val="1.19681011740540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1F3-46F4-B120-8598A8F4CC5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1F3-46F4-B120-8598A8F4CC5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1F3-46F4-B120-8598A8F4CC5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1F3-46F4-B120-8598A8F4CC5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1F3-46F4-B120-8598A8F4CC5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1F3-46F4-B120-8598A8F4CC5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1F3-46F4-B120-8598A8F4CC5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Graf5_vývoj_EF!$B$2:$K$2</c:f>
              <c:strCache>
                <c:ptCount val="7"/>
                <c:pt idx="0">
                  <c:v>2011/2012</c:v>
                </c:pt>
                <c:pt idx="1">
                  <c:v>2012/2013</c:v>
                </c:pt>
                <c:pt idx="2">
                  <c:v>2013/2014</c:v>
                </c:pt>
                <c:pt idx="3">
                  <c:v>2014/2015</c:v>
                </c:pt>
                <c:pt idx="4">
                  <c:v>2015/2016</c:v>
                </c:pt>
                <c:pt idx="5">
                  <c:v>2016/2017</c:v>
                </c:pt>
                <c:pt idx="6">
                  <c:v>2017/2018</c:v>
                </c:pt>
              </c:strCache>
            </c:strRef>
          </c:cat>
          <c:val>
            <c:numRef>
              <c:f>Graf5_vývoj_EF!$B$4:$K$4</c:f>
              <c:numCache>
                <c:formatCode>#,##0</c:formatCode>
                <c:ptCount val="7"/>
                <c:pt idx="0">
                  <c:v>23</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13-71F3-46F4-B120-8598A8F4CC53}"/>
            </c:ext>
          </c:extLst>
        </c:ser>
        <c:ser>
          <c:idx val="3"/>
          <c:order val="2"/>
          <c:tx>
            <c:strRef>
              <c:f>Graf5_vývoj_EF!$A$5</c:f>
              <c:strCache>
                <c:ptCount val="1"/>
                <c:pt idx="0">
                  <c:v>III. stupeň</c:v>
                </c:pt>
              </c:strCache>
            </c:strRef>
          </c:tx>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a:effectLst/>
            <a:sp3d>
              <a:contourClr>
                <a:schemeClr val="accent5">
                  <a:shade val="76000"/>
                  <a:shade val="95000"/>
                  <a:satMod val="105000"/>
                </a:schemeClr>
              </a:contourClr>
            </a:sp3d>
          </c:spPr>
          <c:invertIfNegative val="0"/>
          <c:dLbls>
            <c:dLbl>
              <c:idx val="0"/>
              <c:layout>
                <c:manualLayout>
                  <c:x val="6.571265663699026E-2"/>
                  <c:y val="1.067436902867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1F3-46F4-B120-8598A8F4CC53}"/>
                </c:ext>
              </c:extLst>
            </c:dLbl>
            <c:dLbl>
              <c:idx val="1"/>
              <c:layout>
                <c:manualLayout>
                  <c:x val="6.5712656636990219E-2"/>
                  <c:y val="3.36709829429882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71F3-46F4-B120-8598A8F4CC53}"/>
                </c:ext>
              </c:extLst>
            </c:dLbl>
            <c:dLbl>
              <c:idx val="2"/>
              <c:layout>
                <c:manualLayout>
                  <c:x val="6.8240143051750787E-2"/>
                  <c:y val="6.73390890077352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71F3-46F4-B120-8598A8F4CC53}"/>
                </c:ext>
              </c:extLst>
            </c:dLbl>
            <c:dLbl>
              <c:idx val="3"/>
              <c:layout>
                <c:manualLayout>
                  <c:x val="6.3185170222229747E-2"/>
                  <c:y val="1.438439120941084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360798685707064E-2"/>
                      <c:h val="5.1195418754473872E-2"/>
                    </c:manualLayout>
                  </c15:layout>
                </c:ext>
                <c:ext xmlns:c16="http://schemas.microsoft.com/office/drawing/2014/chart" uri="{C3380CC4-5D6E-409C-BE32-E72D297353CC}">
                  <c16:uniqueId val="{00000018-71F3-46F4-B120-8598A8F4CC53}"/>
                </c:ext>
              </c:extLst>
            </c:dLbl>
            <c:dLbl>
              <c:idx val="4"/>
              <c:layout>
                <c:manualLayout>
                  <c:x val="6.571265663699026E-2"/>
                  <c:y val="3.36709829429882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71F3-46F4-B120-8598A8F4CC53}"/>
                </c:ext>
              </c:extLst>
            </c:dLbl>
            <c:dLbl>
              <c:idx val="5"/>
              <c:layout>
                <c:manualLayout>
                  <c:x val="6.3185170222229831E-2"/>
                  <c:y val="3.36709829429875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71F3-46F4-B120-8598A8F4CC53}"/>
                </c:ext>
              </c:extLst>
            </c:dLbl>
            <c:dLbl>
              <c:idx val="6"/>
              <c:layout>
                <c:manualLayout>
                  <c:x val="6.8240143051750593E-2"/>
                  <c:y val="-6.698254127712381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71F3-46F4-B120-8598A8F4CC5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Graf5_vývoj_EF!$B$2:$K$2</c:f>
              <c:strCache>
                <c:ptCount val="7"/>
                <c:pt idx="0">
                  <c:v>2011/2012</c:v>
                </c:pt>
                <c:pt idx="1">
                  <c:v>2012/2013</c:v>
                </c:pt>
                <c:pt idx="2">
                  <c:v>2013/2014</c:v>
                </c:pt>
                <c:pt idx="3">
                  <c:v>2014/2015</c:v>
                </c:pt>
                <c:pt idx="4">
                  <c:v>2015/2016</c:v>
                </c:pt>
                <c:pt idx="5">
                  <c:v>2016/2017</c:v>
                </c:pt>
                <c:pt idx="6">
                  <c:v>2017/2018</c:v>
                </c:pt>
              </c:strCache>
            </c:strRef>
          </c:cat>
          <c:val>
            <c:numRef>
              <c:f>Graf5_vývoj_EF!$B$5:$K$5</c:f>
              <c:numCache>
                <c:formatCode>#,##0</c:formatCode>
                <c:ptCount val="7"/>
                <c:pt idx="0">
                  <c:v>493</c:v>
                </c:pt>
                <c:pt idx="1">
                  <c:v>443</c:v>
                </c:pt>
                <c:pt idx="2">
                  <c:v>407</c:v>
                </c:pt>
                <c:pt idx="3">
                  <c:v>377</c:v>
                </c:pt>
                <c:pt idx="4">
                  <c:v>303</c:v>
                </c:pt>
                <c:pt idx="5">
                  <c:v>248</c:v>
                </c:pt>
                <c:pt idx="6">
                  <c:v>221</c:v>
                </c:pt>
              </c:numCache>
            </c:numRef>
          </c:val>
          <c:extLst xmlns:c16r2="http://schemas.microsoft.com/office/drawing/2015/06/chart">
            <c:ext xmlns:c16="http://schemas.microsoft.com/office/drawing/2014/chart" uri="{C3380CC4-5D6E-409C-BE32-E72D297353CC}">
              <c16:uniqueId val="{0000001D-71F3-46F4-B120-8598A8F4CC53}"/>
            </c:ext>
          </c:extLst>
        </c:ser>
        <c:dLbls>
          <c:showLegendKey val="0"/>
          <c:showVal val="1"/>
          <c:showCatName val="0"/>
          <c:showSerName val="0"/>
          <c:showPercent val="0"/>
          <c:showBubbleSize val="0"/>
        </c:dLbls>
        <c:gapWidth val="150"/>
        <c:shape val="box"/>
        <c:axId val="308916608"/>
        <c:axId val="308918144"/>
        <c:axId val="0"/>
      </c:bar3DChart>
      <c:catAx>
        <c:axId val="308916608"/>
        <c:scaling>
          <c:orientation val="minMax"/>
        </c:scaling>
        <c:delete val="0"/>
        <c:axPos val="b"/>
        <c:numFmt formatCode="General" sourceLinked="0"/>
        <c:majorTickMark val="out"/>
        <c:minorTickMark val="none"/>
        <c:tickLblPos val="nextTo"/>
        <c:spPr>
          <a:noFill/>
          <a:ln w="9525" cap="flat" cmpd="sng" algn="ctr">
            <a:noFill/>
            <a:round/>
          </a:ln>
          <a:effectLst/>
        </c:spPr>
        <c:txPr>
          <a:bodyPr rot="-2220000" spcFirstLastPara="1" vertOverflow="ellipsis"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k-SK"/>
          </a:p>
        </c:txPr>
        <c:crossAx val="308918144"/>
        <c:crosses val="autoZero"/>
        <c:auto val="1"/>
        <c:lblAlgn val="ctr"/>
        <c:lblOffset val="100"/>
        <c:noMultiLvlLbl val="0"/>
      </c:catAx>
      <c:valAx>
        <c:axId val="308918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accent3">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k-SK"/>
          </a:p>
        </c:txPr>
        <c:crossAx val="308916608"/>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latin typeface="+mj-lt"/>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pPr>
        <a:ln>
          <a:noFill/>
        </a:ln>
      </c:spPr>
    </c:sideWall>
    <c:backWall>
      <c:thickness val="0"/>
      <c:spPr>
        <a:ln>
          <a:noFill/>
        </a:ln>
      </c:spPr>
    </c:backWall>
    <c:plotArea>
      <c:layout/>
      <c:bar3DChart>
        <c:barDir val="col"/>
        <c:grouping val="stacked"/>
        <c:varyColors val="0"/>
        <c:ser>
          <c:idx val="1"/>
          <c:order val="0"/>
          <c:tx>
            <c:strRef>
              <c:f>'Tab15_16_graf6_zahr '!$A$31</c:f>
              <c:strCache>
                <c:ptCount val="1"/>
                <c:pt idx="0">
                  <c:v>Bc.</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38100"/>
          </c:spPr>
          <c:invertIfNegative val="0"/>
          <c:dLbls>
            <c:spPr>
              <a:noFill/>
              <a:ln>
                <a:noFill/>
              </a:ln>
              <a:effectLst/>
            </c:spPr>
            <c:txPr>
              <a:bodyPr anchor="ctr" anchorCtr="1"/>
              <a:lstStyle/>
              <a:p>
                <a:pPr>
                  <a:defRPr b="1">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'Tab15_16_graf6_zahr '!$B$30:$R$30</c:f>
              <c:strCache>
                <c:ptCount val="7"/>
                <c:pt idx="0">
                  <c:v>2011/2012</c:v>
                </c:pt>
                <c:pt idx="1">
                  <c:v>2012/2013</c:v>
                </c:pt>
                <c:pt idx="2">
                  <c:v>2013/2014</c:v>
                </c:pt>
                <c:pt idx="3">
                  <c:v>2014/2015</c:v>
                </c:pt>
                <c:pt idx="4">
                  <c:v>2015/2016</c:v>
                </c:pt>
                <c:pt idx="5">
                  <c:v>2016/2017</c:v>
                </c:pt>
                <c:pt idx="6">
                  <c:v>2017/2018</c:v>
                </c:pt>
              </c:strCache>
            </c:strRef>
          </c:cat>
          <c:val>
            <c:numRef>
              <c:f>'Tab15_16_graf6_zahr '!$B$31:$R$31</c:f>
              <c:numCache>
                <c:formatCode>General</c:formatCode>
                <c:ptCount val="7"/>
                <c:pt idx="0">
                  <c:v>246</c:v>
                </c:pt>
                <c:pt idx="1">
                  <c:v>205</c:v>
                </c:pt>
                <c:pt idx="2">
                  <c:v>163</c:v>
                </c:pt>
                <c:pt idx="3">
                  <c:v>154</c:v>
                </c:pt>
                <c:pt idx="4">
                  <c:v>186</c:v>
                </c:pt>
                <c:pt idx="5">
                  <c:v>240</c:v>
                </c:pt>
                <c:pt idx="6">
                  <c:v>262</c:v>
                </c:pt>
              </c:numCache>
            </c:numRef>
          </c:val>
          <c:extLst xmlns:c16r2="http://schemas.microsoft.com/office/drawing/2015/06/chart">
            <c:ext xmlns:c16="http://schemas.microsoft.com/office/drawing/2014/chart" uri="{C3380CC4-5D6E-409C-BE32-E72D297353CC}">
              <c16:uniqueId val="{00000000-1AF9-4F4E-B6E2-28A49A352219}"/>
            </c:ext>
          </c:extLst>
        </c:ser>
        <c:ser>
          <c:idx val="2"/>
          <c:order val="1"/>
          <c:tx>
            <c:strRef>
              <c:f>'Tab15_16_graf6_zahr '!$A$32</c:f>
              <c:strCache>
                <c:ptCount val="1"/>
                <c:pt idx="0">
                  <c:v>Ing.</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w="38100"/>
          </c:spPr>
          <c:invertIfNegative val="0"/>
          <c:dLbls>
            <c:spPr>
              <a:noFill/>
              <a:ln>
                <a:noFill/>
              </a:ln>
              <a:effectLst/>
            </c:spPr>
            <c:txPr>
              <a:bodyPr/>
              <a:lstStyle/>
              <a:p>
                <a:pPr>
                  <a:defRPr b="1">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'Tab15_16_graf6_zahr '!$B$30:$R$30</c:f>
              <c:strCache>
                <c:ptCount val="7"/>
                <c:pt idx="0">
                  <c:v>2011/2012</c:v>
                </c:pt>
                <c:pt idx="1">
                  <c:v>2012/2013</c:v>
                </c:pt>
                <c:pt idx="2">
                  <c:v>2013/2014</c:v>
                </c:pt>
                <c:pt idx="3">
                  <c:v>2014/2015</c:v>
                </c:pt>
                <c:pt idx="4">
                  <c:v>2015/2016</c:v>
                </c:pt>
                <c:pt idx="5">
                  <c:v>2016/2017</c:v>
                </c:pt>
                <c:pt idx="6">
                  <c:v>2017/2018</c:v>
                </c:pt>
              </c:strCache>
            </c:strRef>
          </c:cat>
          <c:val>
            <c:numRef>
              <c:f>'Tab15_16_graf6_zahr '!$B$32:$R$32</c:f>
              <c:numCache>
                <c:formatCode>General</c:formatCode>
                <c:ptCount val="7"/>
                <c:pt idx="0">
                  <c:v>34</c:v>
                </c:pt>
                <c:pt idx="1">
                  <c:v>49</c:v>
                </c:pt>
                <c:pt idx="2">
                  <c:v>54</c:v>
                </c:pt>
                <c:pt idx="3">
                  <c:v>69</c:v>
                </c:pt>
                <c:pt idx="4">
                  <c:v>76</c:v>
                </c:pt>
                <c:pt idx="5">
                  <c:v>80</c:v>
                </c:pt>
                <c:pt idx="6">
                  <c:v>76</c:v>
                </c:pt>
              </c:numCache>
            </c:numRef>
          </c:val>
          <c:extLst xmlns:c16r2="http://schemas.microsoft.com/office/drawing/2015/06/chart">
            <c:ext xmlns:c16="http://schemas.microsoft.com/office/drawing/2014/chart" uri="{C3380CC4-5D6E-409C-BE32-E72D297353CC}">
              <c16:uniqueId val="{00000001-1AF9-4F4E-B6E2-28A49A352219}"/>
            </c:ext>
          </c:extLst>
        </c:ser>
        <c:ser>
          <c:idx val="3"/>
          <c:order val="2"/>
          <c:tx>
            <c:strRef>
              <c:f>'Tab15_16_graf6_zahr '!$A$33</c:f>
              <c:strCache>
                <c:ptCount val="1"/>
                <c:pt idx="0">
                  <c:v>PhD.</c:v>
                </c:pt>
              </c:strCache>
            </c:strRef>
          </c:tx>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c:spPr>
          <c:invertIfNegative val="0"/>
          <c:dLbls>
            <c:spPr>
              <a:noFill/>
              <a:ln>
                <a:noFill/>
              </a:ln>
              <a:effectLst/>
            </c:spPr>
            <c:txPr>
              <a:bodyPr/>
              <a:lstStyle/>
              <a:p>
                <a:pPr>
                  <a:defRPr b="1"/>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'Tab15_16_graf6_zahr '!$B$30:$R$30</c:f>
              <c:strCache>
                <c:ptCount val="7"/>
                <c:pt idx="0">
                  <c:v>2011/2012</c:v>
                </c:pt>
                <c:pt idx="1">
                  <c:v>2012/2013</c:v>
                </c:pt>
                <c:pt idx="2">
                  <c:v>2013/2014</c:v>
                </c:pt>
                <c:pt idx="3">
                  <c:v>2014/2015</c:v>
                </c:pt>
                <c:pt idx="4">
                  <c:v>2015/2016</c:v>
                </c:pt>
                <c:pt idx="5">
                  <c:v>2016/2017</c:v>
                </c:pt>
                <c:pt idx="6">
                  <c:v>2017/2018</c:v>
                </c:pt>
              </c:strCache>
            </c:strRef>
          </c:cat>
          <c:val>
            <c:numRef>
              <c:f>'Tab15_16_graf6_zahr '!$B$33:$R$33</c:f>
              <c:numCache>
                <c:formatCode>General</c:formatCode>
                <c:ptCount val="7"/>
                <c:pt idx="0">
                  <c:v>101</c:v>
                </c:pt>
                <c:pt idx="1">
                  <c:v>87</c:v>
                </c:pt>
                <c:pt idx="2">
                  <c:v>81</c:v>
                </c:pt>
                <c:pt idx="3">
                  <c:v>73</c:v>
                </c:pt>
                <c:pt idx="4">
                  <c:v>60</c:v>
                </c:pt>
                <c:pt idx="5">
                  <c:v>55</c:v>
                </c:pt>
                <c:pt idx="6">
                  <c:v>51</c:v>
                </c:pt>
              </c:numCache>
            </c:numRef>
          </c:val>
          <c:extLst xmlns:c16r2="http://schemas.microsoft.com/office/drawing/2015/06/chart">
            <c:ext xmlns:c16="http://schemas.microsoft.com/office/drawing/2014/chart" uri="{C3380CC4-5D6E-409C-BE32-E72D297353CC}">
              <c16:uniqueId val="{00000002-1AF9-4F4E-B6E2-28A49A352219}"/>
            </c:ext>
          </c:extLst>
        </c:ser>
        <c:dLbls>
          <c:showLegendKey val="0"/>
          <c:showVal val="1"/>
          <c:showCatName val="0"/>
          <c:showSerName val="0"/>
          <c:showPercent val="0"/>
          <c:showBubbleSize val="0"/>
        </c:dLbls>
        <c:gapWidth val="150"/>
        <c:shape val="box"/>
        <c:axId val="308955008"/>
        <c:axId val="308956544"/>
        <c:axId val="0"/>
      </c:bar3DChart>
      <c:catAx>
        <c:axId val="308955008"/>
        <c:scaling>
          <c:orientation val="minMax"/>
        </c:scaling>
        <c:delete val="0"/>
        <c:axPos val="b"/>
        <c:numFmt formatCode="General" sourceLinked="0"/>
        <c:majorTickMark val="out"/>
        <c:minorTickMark val="none"/>
        <c:tickLblPos val="nextTo"/>
        <c:txPr>
          <a:bodyPr rot="-1560000"/>
          <a:lstStyle/>
          <a:p>
            <a:pPr>
              <a:defRPr/>
            </a:pPr>
            <a:endParaRPr lang="sk-SK"/>
          </a:p>
        </c:txPr>
        <c:crossAx val="308956544"/>
        <c:crosses val="autoZero"/>
        <c:auto val="1"/>
        <c:lblAlgn val="ctr"/>
        <c:lblOffset val="100"/>
        <c:noMultiLvlLbl val="0"/>
      </c:catAx>
      <c:valAx>
        <c:axId val="308956544"/>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crossAx val="308955008"/>
        <c:crosses val="autoZero"/>
        <c:crossBetween val="between"/>
      </c:valAx>
    </c:plotArea>
    <c:legend>
      <c:legendPos val="b"/>
      <c:overlay val="0"/>
    </c:legend>
    <c:plotVisOnly val="1"/>
    <c:dispBlanksAs val="gap"/>
    <c:showDLblsOverMax val="0"/>
  </c:chart>
  <c:spPr>
    <a:ln>
      <a:noFill/>
    </a:ln>
    <a:effectLst/>
  </c:spPr>
  <c:txPr>
    <a:bodyPr/>
    <a:lstStyle/>
    <a:p>
      <a:pPr>
        <a:defRPr>
          <a:latin typeface="+mj-lt"/>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40"/>
      <c:rAngAx val="0"/>
      <c:perspective val="30"/>
    </c:view3D>
    <c:floor>
      <c:thickness val="0"/>
    </c:floor>
    <c:sideWall>
      <c:thickness val="0"/>
    </c:sideWall>
    <c:backWall>
      <c:thickness val="0"/>
    </c:backWall>
    <c:plotArea>
      <c:layout>
        <c:manualLayout>
          <c:layoutTarget val="inner"/>
          <c:xMode val="edge"/>
          <c:yMode val="edge"/>
          <c:x val="0"/>
          <c:y val="6.4814814814814811E-2"/>
          <c:w val="0.82200109361329832"/>
          <c:h val="0.89814814814814814"/>
        </c:manualLayout>
      </c:layout>
      <c:pie3DChart>
        <c:varyColors val="1"/>
        <c:ser>
          <c:idx val="0"/>
          <c:order val="0"/>
          <c:spPr>
            <a:effectLst/>
          </c:spPr>
          <c:explosion val="23"/>
          <c:dPt>
            <c:idx val="0"/>
            <c:bubble3D val="0"/>
            <c:spPr>
              <a:solidFill>
                <a:schemeClr val="accent1"/>
              </a:solidFill>
              <a:effectLst/>
            </c:spPr>
            <c:extLst xmlns:c16r2="http://schemas.microsoft.com/office/drawing/2015/06/chart">
              <c:ext xmlns:c16="http://schemas.microsoft.com/office/drawing/2014/chart" uri="{C3380CC4-5D6E-409C-BE32-E72D297353CC}">
                <c16:uniqueId val="{00000001-F0A2-4DC0-81A8-506303B60B60}"/>
              </c:ext>
            </c:extLst>
          </c:dPt>
          <c:dPt>
            <c:idx val="1"/>
            <c:bubble3D val="0"/>
            <c:extLst xmlns:c16r2="http://schemas.microsoft.com/office/drawing/2015/06/chart">
              <c:ext xmlns:c16="http://schemas.microsoft.com/office/drawing/2014/chart" uri="{C3380CC4-5D6E-409C-BE32-E72D297353CC}">
                <c16:uniqueId val="{00000002-F0A2-4DC0-81A8-506303B60B60}"/>
              </c:ext>
            </c:extLst>
          </c:dPt>
          <c:dLbls>
            <c:dLbl>
              <c:idx val="1"/>
              <c:layout>
                <c:manualLayout>
                  <c:x val="0"/>
                  <c:y val="6.7114093959731544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A2-4DC0-81A8-506303B60B60}"/>
                </c:ext>
              </c:extLst>
            </c:dLbl>
            <c:numFmt formatCode="General" sourceLinked="0"/>
            <c:spPr>
              <a:noFill/>
              <a:ln>
                <a:noFill/>
              </a:ln>
              <a:effectLst/>
            </c:spPr>
            <c:dLblPos val="outEnd"/>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'Tab17-20_Graf_7_8_mobility'!$A$20:$A$23</c:f>
              <c:strCache>
                <c:ptCount val="4"/>
                <c:pt idx="0">
                  <c:v>Bc. </c:v>
                </c:pt>
                <c:pt idx="1">
                  <c:v>Ing.</c:v>
                </c:pt>
                <c:pt idx="2">
                  <c:v>PhD. </c:v>
                </c:pt>
                <c:pt idx="3">
                  <c:v>absolventi</c:v>
                </c:pt>
              </c:strCache>
            </c:strRef>
          </c:cat>
          <c:val>
            <c:numRef>
              <c:f>'Tab17-20_Graf_7_8_mobility'!$B$20:$B$23</c:f>
              <c:numCache>
                <c:formatCode>General</c:formatCode>
                <c:ptCount val="4"/>
                <c:pt idx="0">
                  <c:v>54</c:v>
                </c:pt>
                <c:pt idx="1">
                  <c:v>175</c:v>
                </c:pt>
                <c:pt idx="2">
                  <c:v>28</c:v>
                </c:pt>
                <c:pt idx="3">
                  <c:v>19</c:v>
                </c:pt>
              </c:numCache>
            </c:numRef>
          </c:val>
          <c:extLst xmlns:c16r2="http://schemas.microsoft.com/office/drawing/2015/06/chart">
            <c:ext xmlns:c16="http://schemas.microsoft.com/office/drawing/2014/chart" uri="{C3380CC4-5D6E-409C-BE32-E72D297353CC}">
              <c16:uniqueId val="{00000003-F0A2-4DC0-81A8-506303B60B60}"/>
            </c:ext>
          </c:extLst>
        </c:ser>
        <c:ser>
          <c:idx val="1"/>
          <c:order val="1"/>
          <c:explosion val="25"/>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'Tab17-20_Graf_7_8_mobility'!$A$20:$A$23</c:f>
              <c:strCache>
                <c:ptCount val="4"/>
                <c:pt idx="0">
                  <c:v>Bc. </c:v>
                </c:pt>
                <c:pt idx="1">
                  <c:v>Ing.</c:v>
                </c:pt>
                <c:pt idx="2">
                  <c:v>PhD. </c:v>
                </c:pt>
                <c:pt idx="3">
                  <c:v>absolventi</c:v>
                </c:pt>
              </c:strCache>
            </c:strRef>
          </c:cat>
          <c:val>
            <c:numRef>
              <c:f>'Tab17-20_Graf_7_8_mobility'!$C$20:$C$23</c:f>
              <c:numCache>
                <c:formatCode>0.00%</c:formatCode>
                <c:ptCount val="4"/>
                <c:pt idx="0">
                  <c:v>0.19565217391304349</c:v>
                </c:pt>
                <c:pt idx="1">
                  <c:v>0.63405797101449279</c:v>
                </c:pt>
                <c:pt idx="2">
                  <c:v>0.10144927536231885</c:v>
                </c:pt>
                <c:pt idx="3">
                  <c:v>6.8840579710144928E-2</c:v>
                </c:pt>
              </c:numCache>
            </c:numRef>
          </c:val>
          <c:extLst xmlns:c16r2="http://schemas.microsoft.com/office/drawing/2015/06/chart">
            <c:ext xmlns:c16="http://schemas.microsoft.com/office/drawing/2014/chart" uri="{C3380CC4-5D6E-409C-BE32-E72D297353CC}">
              <c16:uniqueId val="{00000004-F0A2-4DC0-81A8-506303B60B60}"/>
            </c:ext>
          </c:extLst>
        </c:ser>
        <c:dLbls>
          <c:dLblPos val="outEnd"/>
          <c:showLegendKey val="0"/>
          <c:showVal val="1"/>
          <c:showCatName val="0"/>
          <c:showSerName val="0"/>
          <c:showPercent val="0"/>
          <c:showBubbleSize val="0"/>
          <c:showLeaderLines val="1"/>
        </c:dLbls>
      </c:pie3DChart>
    </c:plotArea>
    <c:legend>
      <c:legendPos val="r"/>
      <c:layout>
        <c:manualLayout>
          <c:xMode val="edge"/>
          <c:yMode val="edge"/>
          <c:x val="0.69387693743824752"/>
          <c:y val="0.668089276610208"/>
          <c:w val="0.29380589551017439"/>
          <c:h val="0.26799540682414696"/>
        </c:manualLayout>
      </c:layout>
      <c:overlay val="1"/>
      <c:spPr>
        <a:effectLst>
          <a:outerShdw blurRad="50800" dist="38100" dir="2700000" algn="tl" rotWithShape="0">
            <a:schemeClr val="bg1">
              <a:lumMod val="75000"/>
              <a:alpha val="52000"/>
            </a:schemeClr>
          </a:outerShdw>
        </a:effectLst>
      </c:spPr>
    </c:legend>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a:noFill/>
        </a:ln>
      </c:spPr>
    </c:sideWall>
    <c:backWall>
      <c:thickness val="0"/>
      <c:spPr>
        <a:noFill/>
        <a:ln>
          <a:noFill/>
        </a:ln>
      </c:spPr>
    </c:backWall>
    <c:plotArea>
      <c:layout>
        <c:manualLayout>
          <c:layoutTarget val="inner"/>
          <c:xMode val="edge"/>
          <c:yMode val="edge"/>
          <c:x val="4.4042591643827213E-2"/>
          <c:y val="5.0882308364066771E-2"/>
          <c:w val="0.94753458249809741"/>
          <c:h val="0.82377879580899804"/>
        </c:manualLayout>
      </c:layout>
      <c:bar3DChart>
        <c:barDir val="col"/>
        <c:grouping val="clustered"/>
        <c:varyColors val="0"/>
        <c:ser>
          <c:idx val="0"/>
          <c:order val="0"/>
          <c:tx>
            <c:strRef>
              <c:f>'Tab17-20_Graf_7_8_mobility'!$B$40:$B$41</c:f>
              <c:strCache>
                <c:ptCount val="2"/>
                <c:pt idx="0">
                  <c:v>Erasmus+</c:v>
                </c:pt>
                <c:pt idx="1">
                  <c:v>vyslania</c:v>
                </c:pt>
              </c:strCache>
            </c:strRef>
          </c:tx>
          <c:spPr>
            <a:scene3d>
              <a:camera prst="orthographicFront"/>
              <a:lightRig rig="threePt" dir="t"/>
            </a:scene3d>
            <a:sp3d>
              <a:bevelT/>
            </a:sp3d>
          </c:spPr>
          <c:invertIfNegative val="0"/>
          <c:cat>
            <c:strRef>
              <c:f>'Tab17-20_Graf_7_8_mobility'!$A$42:$A$74</c:f>
              <c:strCache>
                <c:ptCount val="33"/>
                <c:pt idx="0">
                  <c:v>AT</c:v>
                </c:pt>
                <c:pt idx="1">
                  <c:v>BE</c:v>
                </c:pt>
                <c:pt idx="2">
                  <c:v>BG</c:v>
                </c:pt>
                <c:pt idx="3">
                  <c:v>CA</c:v>
                </c:pt>
                <c:pt idx="4">
                  <c:v>CN</c:v>
                </c:pt>
                <c:pt idx="5">
                  <c:v>CU</c:v>
                </c:pt>
                <c:pt idx="6">
                  <c:v>CZ</c:v>
                </c:pt>
                <c:pt idx="7">
                  <c:v>DE</c:v>
                </c:pt>
                <c:pt idx="8">
                  <c:v>DK</c:v>
                </c:pt>
                <c:pt idx="9">
                  <c:v>EE</c:v>
                </c:pt>
                <c:pt idx="10">
                  <c:v>ES</c:v>
                </c:pt>
                <c:pt idx="11">
                  <c:v>FI</c:v>
                </c:pt>
                <c:pt idx="12">
                  <c:v>FR</c:v>
                </c:pt>
                <c:pt idx="13">
                  <c:v>GB</c:v>
                </c:pt>
                <c:pt idx="14">
                  <c:v>GR</c:v>
                </c:pt>
                <c:pt idx="15">
                  <c:v>HR</c:v>
                </c:pt>
                <c:pt idx="16">
                  <c:v>HU</c:v>
                </c:pt>
                <c:pt idx="17">
                  <c:v>IE</c:v>
                </c:pt>
                <c:pt idx="18">
                  <c:v>IT</c:v>
                </c:pt>
                <c:pt idx="19">
                  <c:v>KZ</c:v>
                </c:pt>
                <c:pt idx="20">
                  <c:v>LK</c:v>
                </c:pt>
                <c:pt idx="21">
                  <c:v>LT </c:v>
                </c:pt>
                <c:pt idx="22">
                  <c:v>ME</c:v>
                </c:pt>
                <c:pt idx="23">
                  <c:v>NL</c:v>
                </c:pt>
                <c:pt idx="24">
                  <c:v>NO</c:v>
                </c:pt>
                <c:pt idx="25">
                  <c:v>PL</c:v>
                </c:pt>
                <c:pt idx="26">
                  <c:v>PT</c:v>
                </c:pt>
                <c:pt idx="27">
                  <c:v>RO</c:v>
                </c:pt>
                <c:pt idx="28">
                  <c:v>RU</c:v>
                </c:pt>
                <c:pt idx="29">
                  <c:v>SE</c:v>
                </c:pt>
                <c:pt idx="30">
                  <c:v>SI</c:v>
                </c:pt>
                <c:pt idx="31">
                  <c:v>TR</c:v>
                </c:pt>
                <c:pt idx="32">
                  <c:v>UK</c:v>
                </c:pt>
              </c:strCache>
            </c:strRef>
          </c:cat>
          <c:val>
            <c:numRef>
              <c:f>'Tab17-20_Graf_7_8_mobility'!$B$42:$B$74</c:f>
              <c:numCache>
                <c:formatCode>General</c:formatCode>
                <c:ptCount val="33"/>
                <c:pt idx="0">
                  <c:v>10</c:v>
                </c:pt>
                <c:pt idx="1">
                  <c:v>17</c:v>
                </c:pt>
                <c:pt idx="2">
                  <c:v>2</c:v>
                </c:pt>
                <c:pt idx="3">
                  <c:v>0</c:v>
                </c:pt>
                <c:pt idx="4">
                  <c:v>2</c:v>
                </c:pt>
                <c:pt idx="5">
                  <c:v>0</c:v>
                </c:pt>
                <c:pt idx="6">
                  <c:v>48</c:v>
                </c:pt>
                <c:pt idx="7">
                  <c:v>33</c:v>
                </c:pt>
                <c:pt idx="8">
                  <c:v>12</c:v>
                </c:pt>
                <c:pt idx="9">
                  <c:v>18</c:v>
                </c:pt>
                <c:pt idx="10">
                  <c:v>22</c:v>
                </c:pt>
                <c:pt idx="11">
                  <c:v>8</c:v>
                </c:pt>
                <c:pt idx="12">
                  <c:v>5</c:v>
                </c:pt>
                <c:pt idx="13">
                  <c:v>2</c:v>
                </c:pt>
                <c:pt idx="14">
                  <c:v>3</c:v>
                </c:pt>
                <c:pt idx="15">
                  <c:v>4</c:v>
                </c:pt>
                <c:pt idx="16">
                  <c:v>11</c:v>
                </c:pt>
                <c:pt idx="17">
                  <c:v>4</c:v>
                </c:pt>
                <c:pt idx="18">
                  <c:v>7</c:v>
                </c:pt>
                <c:pt idx="19">
                  <c:v>0</c:v>
                </c:pt>
                <c:pt idx="20">
                  <c:v>0</c:v>
                </c:pt>
                <c:pt idx="21">
                  <c:v>8</c:v>
                </c:pt>
                <c:pt idx="22">
                  <c:v>0</c:v>
                </c:pt>
                <c:pt idx="23">
                  <c:v>7</c:v>
                </c:pt>
                <c:pt idx="24">
                  <c:v>10</c:v>
                </c:pt>
                <c:pt idx="25">
                  <c:v>11</c:v>
                </c:pt>
                <c:pt idx="26">
                  <c:v>16</c:v>
                </c:pt>
                <c:pt idx="27">
                  <c:v>0</c:v>
                </c:pt>
                <c:pt idx="28">
                  <c:v>2</c:v>
                </c:pt>
                <c:pt idx="29">
                  <c:v>4</c:v>
                </c:pt>
                <c:pt idx="30">
                  <c:v>7</c:v>
                </c:pt>
                <c:pt idx="31">
                  <c:v>0</c:v>
                </c:pt>
                <c:pt idx="32">
                  <c:v>3</c:v>
                </c:pt>
              </c:numCache>
            </c:numRef>
          </c:val>
          <c:extLst xmlns:c16r2="http://schemas.microsoft.com/office/drawing/2015/06/chart">
            <c:ext xmlns:c16="http://schemas.microsoft.com/office/drawing/2014/chart" uri="{C3380CC4-5D6E-409C-BE32-E72D297353CC}">
              <c16:uniqueId val="{00000000-FFC9-4918-81B7-1A1389DFE750}"/>
            </c:ext>
          </c:extLst>
        </c:ser>
        <c:ser>
          <c:idx val="1"/>
          <c:order val="1"/>
          <c:tx>
            <c:strRef>
              <c:f>'Tab17-20_Graf_7_8_mobility'!$C$40:$C$41</c:f>
              <c:strCache>
                <c:ptCount val="2"/>
                <c:pt idx="0">
                  <c:v>Erasmus+</c:v>
                </c:pt>
                <c:pt idx="1">
                  <c:v>prijatia</c:v>
                </c:pt>
              </c:strCache>
            </c:strRef>
          </c:tx>
          <c:spPr>
            <a:scene3d>
              <a:camera prst="orthographicFront"/>
              <a:lightRig rig="threePt" dir="t"/>
            </a:scene3d>
            <a:sp3d>
              <a:bevelT/>
            </a:sp3d>
          </c:spPr>
          <c:invertIfNegative val="0"/>
          <c:cat>
            <c:strRef>
              <c:f>'Tab17-20_Graf_7_8_mobility'!$A$42:$A$74</c:f>
              <c:strCache>
                <c:ptCount val="33"/>
                <c:pt idx="0">
                  <c:v>AT</c:v>
                </c:pt>
                <c:pt idx="1">
                  <c:v>BE</c:v>
                </c:pt>
                <c:pt idx="2">
                  <c:v>BG</c:v>
                </c:pt>
                <c:pt idx="3">
                  <c:v>CA</c:v>
                </c:pt>
                <c:pt idx="4">
                  <c:v>CN</c:v>
                </c:pt>
                <c:pt idx="5">
                  <c:v>CU</c:v>
                </c:pt>
                <c:pt idx="6">
                  <c:v>CZ</c:v>
                </c:pt>
                <c:pt idx="7">
                  <c:v>DE</c:v>
                </c:pt>
                <c:pt idx="8">
                  <c:v>DK</c:v>
                </c:pt>
                <c:pt idx="9">
                  <c:v>EE</c:v>
                </c:pt>
                <c:pt idx="10">
                  <c:v>ES</c:v>
                </c:pt>
                <c:pt idx="11">
                  <c:v>FI</c:v>
                </c:pt>
                <c:pt idx="12">
                  <c:v>FR</c:v>
                </c:pt>
                <c:pt idx="13">
                  <c:v>GB</c:v>
                </c:pt>
                <c:pt idx="14">
                  <c:v>GR</c:v>
                </c:pt>
                <c:pt idx="15">
                  <c:v>HR</c:v>
                </c:pt>
                <c:pt idx="16">
                  <c:v>HU</c:v>
                </c:pt>
                <c:pt idx="17">
                  <c:v>IE</c:v>
                </c:pt>
                <c:pt idx="18">
                  <c:v>IT</c:v>
                </c:pt>
                <c:pt idx="19">
                  <c:v>KZ</c:v>
                </c:pt>
                <c:pt idx="20">
                  <c:v>LK</c:v>
                </c:pt>
                <c:pt idx="21">
                  <c:v>LT </c:v>
                </c:pt>
                <c:pt idx="22">
                  <c:v>ME</c:v>
                </c:pt>
                <c:pt idx="23">
                  <c:v>NL</c:v>
                </c:pt>
                <c:pt idx="24">
                  <c:v>NO</c:v>
                </c:pt>
                <c:pt idx="25">
                  <c:v>PL</c:v>
                </c:pt>
                <c:pt idx="26">
                  <c:v>PT</c:v>
                </c:pt>
                <c:pt idx="27">
                  <c:v>RO</c:v>
                </c:pt>
                <c:pt idx="28">
                  <c:v>RU</c:v>
                </c:pt>
                <c:pt idx="29">
                  <c:v>SE</c:v>
                </c:pt>
                <c:pt idx="30">
                  <c:v>SI</c:v>
                </c:pt>
                <c:pt idx="31">
                  <c:v>TR</c:v>
                </c:pt>
                <c:pt idx="32">
                  <c:v>UK</c:v>
                </c:pt>
              </c:strCache>
            </c:strRef>
          </c:cat>
          <c:val>
            <c:numRef>
              <c:f>'Tab17-20_Graf_7_8_mobility'!$C$42:$C$74</c:f>
              <c:numCache>
                <c:formatCode>General</c:formatCode>
                <c:ptCount val="33"/>
                <c:pt idx="0">
                  <c:v>1</c:v>
                </c:pt>
                <c:pt idx="1">
                  <c:v>2</c:v>
                </c:pt>
                <c:pt idx="2">
                  <c:v>0</c:v>
                </c:pt>
                <c:pt idx="3">
                  <c:v>2</c:v>
                </c:pt>
                <c:pt idx="4">
                  <c:v>3</c:v>
                </c:pt>
                <c:pt idx="5">
                  <c:v>1</c:v>
                </c:pt>
                <c:pt idx="6">
                  <c:v>2</c:v>
                </c:pt>
                <c:pt idx="7">
                  <c:v>9</c:v>
                </c:pt>
                <c:pt idx="8">
                  <c:v>0</c:v>
                </c:pt>
                <c:pt idx="9">
                  <c:v>0</c:v>
                </c:pt>
                <c:pt idx="10">
                  <c:v>49</c:v>
                </c:pt>
                <c:pt idx="11">
                  <c:v>0</c:v>
                </c:pt>
                <c:pt idx="12">
                  <c:v>30</c:v>
                </c:pt>
                <c:pt idx="13">
                  <c:v>2</c:v>
                </c:pt>
                <c:pt idx="14">
                  <c:v>3</c:v>
                </c:pt>
                <c:pt idx="15">
                  <c:v>0</c:v>
                </c:pt>
                <c:pt idx="16">
                  <c:v>1</c:v>
                </c:pt>
                <c:pt idx="17">
                  <c:v>0</c:v>
                </c:pt>
                <c:pt idx="18">
                  <c:v>12</c:v>
                </c:pt>
                <c:pt idx="19">
                  <c:v>2</c:v>
                </c:pt>
                <c:pt idx="20">
                  <c:v>1</c:v>
                </c:pt>
                <c:pt idx="21">
                  <c:v>3</c:v>
                </c:pt>
                <c:pt idx="22">
                  <c:v>10</c:v>
                </c:pt>
                <c:pt idx="23">
                  <c:v>0</c:v>
                </c:pt>
                <c:pt idx="24">
                  <c:v>0</c:v>
                </c:pt>
                <c:pt idx="25">
                  <c:v>8</c:v>
                </c:pt>
                <c:pt idx="26">
                  <c:v>8</c:v>
                </c:pt>
                <c:pt idx="27">
                  <c:v>3</c:v>
                </c:pt>
                <c:pt idx="28">
                  <c:v>4</c:v>
                </c:pt>
                <c:pt idx="29">
                  <c:v>0</c:v>
                </c:pt>
                <c:pt idx="30">
                  <c:v>2</c:v>
                </c:pt>
                <c:pt idx="31">
                  <c:v>19</c:v>
                </c:pt>
                <c:pt idx="32">
                  <c:v>3</c:v>
                </c:pt>
              </c:numCache>
            </c:numRef>
          </c:val>
          <c:extLst xmlns:c16r2="http://schemas.microsoft.com/office/drawing/2015/06/chart">
            <c:ext xmlns:c16="http://schemas.microsoft.com/office/drawing/2014/chart" uri="{C3380CC4-5D6E-409C-BE32-E72D297353CC}">
              <c16:uniqueId val="{00000001-FFC9-4918-81B7-1A1389DFE750}"/>
            </c:ext>
          </c:extLst>
        </c:ser>
        <c:dLbls>
          <c:showLegendKey val="0"/>
          <c:showVal val="0"/>
          <c:showCatName val="0"/>
          <c:showSerName val="0"/>
          <c:showPercent val="0"/>
          <c:showBubbleSize val="0"/>
        </c:dLbls>
        <c:gapWidth val="150"/>
        <c:shape val="box"/>
        <c:axId val="310184960"/>
        <c:axId val="310190848"/>
        <c:axId val="0"/>
      </c:bar3DChart>
      <c:catAx>
        <c:axId val="310184960"/>
        <c:scaling>
          <c:orientation val="minMax"/>
        </c:scaling>
        <c:delete val="0"/>
        <c:axPos val="b"/>
        <c:numFmt formatCode="General" sourceLinked="1"/>
        <c:majorTickMark val="out"/>
        <c:minorTickMark val="none"/>
        <c:tickLblPos val="nextTo"/>
        <c:txPr>
          <a:bodyPr rot="-5400000" vert="horz"/>
          <a:lstStyle/>
          <a:p>
            <a:pPr>
              <a:defRPr sz="900"/>
            </a:pPr>
            <a:endParaRPr lang="sk-SK"/>
          </a:p>
        </c:txPr>
        <c:crossAx val="310190848"/>
        <c:crosses val="autoZero"/>
        <c:auto val="1"/>
        <c:lblAlgn val="ctr"/>
        <c:lblOffset val="100"/>
        <c:noMultiLvlLbl val="0"/>
      </c:catAx>
      <c:valAx>
        <c:axId val="310190848"/>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crossAx val="310184960"/>
        <c:crosses val="autoZero"/>
        <c:crossBetween val="between"/>
      </c:valAx>
    </c:plotArea>
    <c:legend>
      <c:legendPos val="t"/>
      <c:layout>
        <c:manualLayout>
          <c:xMode val="edge"/>
          <c:yMode val="edge"/>
          <c:x val="0.47490392680258831"/>
          <c:y val="6.1443896915673507E-2"/>
          <c:w val="0.50010277773394562"/>
          <c:h val="6.5879818912987664E-2"/>
        </c:manualLayout>
      </c:layout>
      <c:overlay val="1"/>
    </c:legend>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6084864391952"/>
          <c:y val="5.1400554097404488E-2"/>
          <c:w val="0.73574053243344573"/>
          <c:h val="0.8326195683872849"/>
        </c:manualLayout>
      </c:layout>
      <c:barChart>
        <c:barDir val="col"/>
        <c:grouping val="clustered"/>
        <c:varyColors val="0"/>
        <c:ser>
          <c:idx val="0"/>
          <c:order val="1"/>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solidFill>
                <a:schemeClr val="accent1"/>
              </a:solidFill>
            </a:ln>
          </c:spPr>
          <c:invertIfNegative val="0"/>
          <c:dLbls>
            <c:spPr>
              <a:noFill/>
              <a:ln>
                <a:noFill/>
              </a:ln>
              <a:effectLst/>
            </c:spPr>
            <c:txPr>
              <a:bodyPr rot="-5400000" vert="horz"/>
              <a:lstStyle/>
              <a:p>
                <a:pPr>
                  <a:defRPr b="1">
                    <a:solidFill>
                      <a:schemeClr val="bg1"/>
                    </a:solidFill>
                  </a:defRPr>
                </a:pPr>
                <a:endParaRPr lang="sk-SK"/>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Tab_Graf_9_10_PK_Bc!$I$32:$M$32</c:f>
              <c:strCache>
                <c:ptCount val="5"/>
                <c:pt idx="0">
                  <c:v>2014/2015</c:v>
                </c:pt>
                <c:pt idx="1">
                  <c:v>2015/2016</c:v>
                </c:pt>
                <c:pt idx="2">
                  <c:v>2016/2017</c:v>
                </c:pt>
                <c:pt idx="3">
                  <c:v>2017/2018</c:v>
                </c:pt>
                <c:pt idx="4">
                  <c:v>2018/2019</c:v>
                </c:pt>
              </c:strCache>
            </c:strRef>
          </c:cat>
          <c:val>
            <c:numRef>
              <c:f>Tab_Graf_9_10_PK_Bc!$I$42:$M$42</c:f>
              <c:numCache>
                <c:formatCode>#,##0</c:formatCode>
                <c:ptCount val="5"/>
                <c:pt idx="0">
                  <c:v>6660</c:v>
                </c:pt>
                <c:pt idx="1">
                  <c:v>6402</c:v>
                </c:pt>
                <c:pt idx="2">
                  <c:v>5358</c:v>
                </c:pt>
                <c:pt idx="3">
                  <c:v>4711</c:v>
                </c:pt>
                <c:pt idx="4">
                  <c:v>4956</c:v>
                </c:pt>
              </c:numCache>
            </c:numRef>
          </c:val>
          <c:extLst xmlns:c16r2="http://schemas.microsoft.com/office/drawing/2015/06/chart">
            <c:ext xmlns:c16="http://schemas.microsoft.com/office/drawing/2014/chart" uri="{C3380CC4-5D6E-409C-BE32-E72D297353CC}">
              <c16:uniqueId val="{00000000-C1E3-47AC-AB65-2C3F46C89840}"/>
            </c:ext>
          </c:extLst>
        </c:ser>
        <c:dLbls>
          <c:showLegendKey val="0"/>
          <c:showVal val="0"/>
          <c:showCatName val="0"/>
          <c:showSerName val="0"/>
          <c:showPercent val="0"/>
          <c:showBubbleSize val="0"/>
        </c:dLbls>
        <c:gapWidth val="150"/>
        <c:axId val="321650688"/>
        <c:axId val="310245248"/>
      </c:barChart>
      <c:lineChart>
        <c:grouping val="standard"/>
        <c:varyColors val="0"/>
        <c:ser>
          <c:idx val="1"/>
          <c:order val="0"/>
          <c:marker>
            <c:symbol val="none"/>
          </c:marker>
          <c:dLbls>
            <c:dLbl>
              <c:idx val="0"/>
              <c:layout>
                <c:manualLayout>
                  <c:x val="1.9444444444444393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E3-47AC-AB65-2C3F46C89840}"/>
                </c:ext>
              </c:extLst>
            </c:dLbl>
            <c:dLbl>
              <c:idx val="1"/>
              <c:layout>
                <c:manualLayout>
                  <c:x val="1.1111111111111112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1E3-47AC-AB65-2C3F46C89840}"/>
                </c:ext>
              </c:extLst>
            </c:dLbl>
            <c:dLbl>
              <c:idx val="2"/>
              <c:layout>
                <c:manualLayout>
                  <c:x val="1.9444444444444445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E3-47AC-AB65-2C3F46C89840}"/>
                </c:ext>
              </c:extLst>
            </c:dLbl>
            <c:dLbl>
              <c:idx val="3"/>
              <c:layout>
                <c:manualLayout>
                  <c:x val="-2.3166023166023165E-2"/>
                  <c:y val="-2.77296310030375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1E3-47AC-AB65-2C3F46C89840}"/>
                </c:ext>
              </c:extLst>
            </c:dLbl>
            <c:dLbl>
              <c:idx val="4"/>
              <c:layout>
                <c:manualLayout>
                  <c:x val="-5.5555555555556572E-3"/>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1E3-47AC-AB65-2C3F46C8984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Tab_Graf_9_10_PK_Bc!$I$32:$M$32</c:f>
              <c:strCache>
                <c:ptCount val="5"/>
                <c:pt idx="0">
                  <c:v>2014/2015</c:v>
                </c:pt>
                <c:pt idx="1">
                  <c:v>2015/2016</c:v>
                </c:pt>
                <c:pt idx="2">
                  <c:v>2016/2017</c:v>
                </c:pt>
                <c:pt idx="3">
                  <c:v>2017/2018</c:v>
                </c:pt>
                <c:pt idx="4">
                  <c:v>2018/2019</c:v>
                </c:pt>
              </c:strCache>
            </c:strRef>
          </c:cat>
          <c:val>
            <c:numRef>
              <c:f>Tab_Graf_9_10_PK_Bc!$I$41:$M$41</c:f>
              <c:numCache>
                <c:formatCode>0.00</c:formatCode>
                <c:ptCount val="5"/>
                <c:pt idx="0">
                  <c:v>0.67162162162162165</c:v>
                </c:pt>
                <c:pt idx="1">
                  <c:v>0.65151515151515149</c:v>
                </c:pt>
                <c:pt idx="2">
                  <c:v>0.59817095931317654</c:v>
                </c:pt>
                <c:pt idx="3">
                  <c:v>0.68138399490554025</c:v>
                </c:pt>
                <c:pt idx="4">
                  <c:v>0.67493946731234866</c:v>
                </c:pt>
              </c:numCache>
            </c:numRef>
          </c:val>
          <c:smooth val="0"/>
          <c:extLst xmlns:c16r2="http://schemas.microsoft.com/office/drawing/2015/06/chart">
            <c:ext xmlns:c16="http://schemas.microsoft.com/office/drawing/2014/chart" uri="{C3380CC4-5D6E-409C-BE32-E72D297353CC}">
              <c16:uniqueId val="{00000006-C1E3-47AC-AB65-2C3F46C89840}"/>
            </c:ext>
          </c:extLst>
        </c:ser>
        <c:dLbls>
          <c:showLegendKey val="0"/>
          <c:showVal val="0"/>
          <c:showCatName val="0"/>
          <c:showSerName val="0"/>
          <c:showPercent val="0"/>
          <c:showBubbleSize val="0"/>
        </c:dLbls>
        <c:marker val="1"/>
        <c:smooth val="0"/>
        <c:axId val="310225152"/>
        <c:axId val="310243328"/>
      </c:lineChart>
      <c:catAx>
        <c:axId val="310225152"/>
        <c:scaling>
          <c:orientation val="minMax"/>
        </c:scaling>
        <c:delete val="0"/>
        <c:axPos val="b"/>
        <c:numFmt formatCode="General" sourceLinked="0"/>
        <c:majorTickMark val="out"/>
        <c:minorTickMark val="none"/>
        <c:tickLblPos val="nextTo"/>
        <c:crossAx val="310243328"/>
        <c:crosses val="autoZero"/>
        <c:auto val="1"/>
        <c:lblAlgn val="ctr"/>
        <c:lblOffset val="100"/>
        <c:noMultiLvlLbl val="0"/>
      </c:catAx>
      <c:valAx>
        <c:axId val="310243328"/>
        <c:scaling>
          <c:orientation val="minMax"/>
          <c:max val="0.75000000000000011"/>
          <c:min val="0.4"/>
        </c:scaling>
        <c:delete val="0"/>
        <c:axPos val="l"/>
        <c:majorGridlines>
          <c:spPr>
            <a:ln>
              <a:solidFill>
                <a:schemeClr val="accent1">
                  <a:lumMod val="40000"/>
                  <a:lumOff val="60000"/>
                </a:schemeClr>
              </a:solidFill>
            </a:ln>
          </c:spPr>
        </c:majorGridlines>
        <c:title>
          <c:tx>
            <c:rich>
              <a:bodyPr/>
              <a:lstStyle/>
              <a:p>
                <a:pPr>
                  <a:defRPr/>
                </a:pPr>
                <a:r>
                  <a:rPr lang="sk-SK"/>
                  <a:t>zapísaní/prijatí</a:t>
                </a:r>
              </a:p>
            </c:rich>
          </c:tx>
          <c:overlay val="0"/>
        </c:title>
        <c:numFmt formatCode="0.00" sourceLinked="1"/>
        <c:majorTickMark val="out"/>
        <c:minorTickMark val="none"/>
        <c:tickLblPos val="nextTo"/>
        <c:crossAx val="310225152"/>
        <c:crosses val="autoZero"/>
        <c:crossBetween val="between"/>
      </c:valAx>
      <c:valAx>
        <c:axId val="310245248"/>
        <c:scaling>
          <c:orientation val="minMax"/>
        </c:scaling>
        <c:delete val="0"/>
        <c:axPos val="r"/>
        <c:title>
          <c:tx>
            <c:rich>
              <a:bodyPr/>
              <a:lstStyle/>
              <a:p>
                <a:pPr>
                  <a:defRPr/>
                </a:pPr>
                <a:r>
                  <a:rPr lang="sk-SK"/>
                  <a:t>počet prijatých</a:t>
                </a:r>
              </a:p>
            </c:rich>
          </c:tx>
          <c:overlay val="0"/>
        </c:title>
        <c:numFmt formatCode="#,##0" sourceLinked="1"/>
        <c:majorTickMark val="out"/>
        <c:minorTickMark val="none"/>
        <c:tickLblPos val="nextTo"/>
        <c:crossAx val="321650688"/>
        <c:crosses val="max"/>
        <c:crossBetween val="between"/>
      </c:valAx>
      <c:catAx>
        <c:axId val="321650688"/>
        <c:scaling>
          <c:orientation val="minMax"/>
        </c:scaling>
        <c:delete val="1"/>
        <c:axPos val="b"/>
        <c:numFmt formatCode="General" sourceLinked="1"/>
        <c:majorTickMark val="out"/>
        <c:minorTickMark val="none"/>
        <c:tickLblPos val="nextTo"/>
        <c:crossAx val="310245248"/>
        <c:crosses val="autoZero"/>
        <c:auto val="1"/>
        <c:lblAlgn val="ctr"/>
        <c:lblOffset val="100"/>
        <c:noMultiLvlLbl val="0"/>
      </c:catAx>
    </c:plotArea>
    <c:plotVisOnly val="1"/>
    <c:dispBlanksAs val="gap"/>
    <c:showDLblsOverMax val="0"/>
  </c:chart>
  <c:spPr>
    <a:ln>
      <a:noFill/>
    </a:ln>
  </c:spPr>
  <c:txPr>
    <a:bodyPr/>
    <a:lstStyle/>
    <a:p>
      <a:pPr>
        <a:defRPr>
          <a:latin typeface="+mj-lt"/>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0F34C-2FE1-4DB4-BC2E-0448449D4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49997</Words>
  <Characters>284983</Characters>
  <Application>Microsoft Office Word</Application>
  <DocSecurity>0</DocSecurity>
  <Lines>2374</Lines>
  <Paragraphs>668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334312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Sajbidorova</dc:creator>
  <cp:lastModifiedBy>Gogorova</cp:lastModifiedBy>
  <cp:revision>2</cp:revision>
  <cp:lastPrinted>2019-04-01T16:19:00Z</cp:lastPrinted>
  <dcterms:created xsi:type="dcterms:W3CDTF">2019-04-03T05:55:00Z</dcterms:created>
  <dcterms:modified xsi:type="dcterms:W3CDTF">2019-04-03T05:55:00Z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