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44" w:rsidRPr="0036635F" w:rsidRDefault="00810F2B" w:rsidP="002564FD">
      <w:pPr>
        <w:ind w:left="-993" w:right="-1198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Akademický senát STU</w:t>
      </w:r>
    </w:p>
    <w:p w:rsidR="00CB07FE" w:rsidRPr="0036635F" w:rsidRDefault="00810F2B" w:rsidP="002564FD">
      <w:pPr>
        <w:ind w:left="-993" w:right="-1198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25</w:t>
      </w:r>
      <w:r w:rsidR="00CD3072">
        <w:rPr>
          <w:rFonts w:asciiTheme="majorHAnsi" w:hAnsiTheme="majorHAnsi"/>
          <w:lang w:val="sk-SK"/>
        </w:rPr>
        <w:t>.06.</w:t>
      </w:r>
      <w:r w:rsidR="00E47223" w:rsidRPr="0036635F">
        <w:rPr>
          <w:rFonts w:asciiTheme="majorHAnsi" w:hAnsiTheme="majorHAnsi"/>
          <w:lang w:val="sk-SK"/>
        </w:rPr>
        <w:t>2018</w:t>
      </w:r>
    </w:p>
    <w:p w:rsidR="003A1C7C" w:rsidRPr="0036635F" w:rsidRDefault="003A1C7C" w:rsidP="00B72349">
      <w:pPr>
        <w:ind w:left="-993" w:firstLine="851"/>
        <w:rPr>
          <w:rFonts w:asciiTheme="majorHAnsi" w:hAnsiTheme="majorHAnsi"/>
          <w:lang w:val="sk-SK"/>
        </w:rPr>
      </w:pPr>
    </w:p>
    <w:p w:rsidR="00B72349" w:rsidRPr="0036635F" w:rsidRDefault="006E73FA" w:rsidP="00B72349">
      <w:pPr>
        <w:ind w:left="-993" w:firstLine="851"/>
        <w:rPr>
          <w:rFonts w:asciiTheme="majorHAnsi" w:hAnsiTheme="majorHAnsi"/>
          <w:color w:val="FF0000"/>
          <w:lang w:val="sk-SK"/>
        </w:rPr>
      </w:pPr>
      <w:r w:rsidRPr="0036635F">
        <w:rPr>
          <w:rFonts w:asciiTheme="majorHAnsi" w:hAnsiTheme="majorHAnsi"/>
          <w:lang w:val="sk-SK"/>
        </w:rPr>
        <w:t xml:space="preserve">BOD </w:t>
      </w:r>
      <w:r w:rsidR="00B72349" w:rsidRPr="0036635F">
        <w:rPr>
          <w:rFonts w:asciiTheme="majorHAnsi" w:hAnsiTheme="majorHAnsi"/>
          <w:lang w:val="sk-SK"/>
        </w:rPr>
        <w:t xml:space="preserve">       </w:t>
      </w:r>
    </w:p>
    <w:p w:rsidR="0098097F" w:rsidRPr="0036635F" w:rsidRDefault="0098097F" w:rsidP="00E361AE">
      <w:pPr>
        <w:ind w:left="-993" w:firstLine="851"/>
        <w:rPr>
          <w:rFonts w:asciiTheme="majorHAnsi" w:hAnsiTheme="majorHAnsi" w:cs="Times New Roman"/>
          <w:b/>
          <w:lang w:val="sk-SK"/>
        </w:rPr>
      </w:pPr>
      <w:r w:rsidRPr="0036635F">
        <w:rPr>
          <w:rFonts w:asciiTheme="majorHAnsi" w:hAnsiTheme="majorHAnsi" w:cs="Times New Roman"/>
          <w:b/>
          <w:lang w:val="sk-SK"/>
        </w:rPr>
        <w:t xml:space="preserve">Návrh </w:t>
      </w:r>
      <w:r w:rsidR="00E361AE" w:rsidRPr="0036635F">
        <w:rPr>
          <w:rFonts w:asciiTheme="majorHAnsi" w:hAnsiTheme="majorHAnsi" w:cs="Times New Roman"/>
          <w:b/>
          <w:lang w:val="sk-SK"/>
        </w:rPr>
        <w:t>rozpočtu STU na rok 201</w:t>
      </w:r>
      <w:r w:rsidR="00E47223" w:rsidRPr="0036635F">
        <w:rPr>
          <w:rFonts w:asciiTheme="majorHAnsi" w:hAnsiTheme="majorHAnsi" w:cs="Times New Roman"/>
          <w:b/>
          <w:lang w:val="sk-SK"/>
        </w:rPr>
        <w:t>8</w:t>
      </w:r>
    </w:p>
    <w:p w:rsidR="00B72349" w:rsidRPr="0036635F" w:rsidRDefault="00B72349" w:rsidP="00B72349">
      <w:pPr>
        <w:ind w:left="-142"/>
        <w:rPr>
          <w:rFonts w:asciiTheme="majorHAnsi" w:hAnsiTheme="majorHAnsi"/>
          <w:b/>
          <w:color w:val="FF0000"/>
          <w:lang w:val="sk-SK"/>
        </w:rPr>
      </w:pPr>
      <w:r w:rsidRPr="0036635F">
        <w:rPr>
          <w:rFonts w:asciiTheme="majorHAnsi" w:hAnsiTheme="majorHAnsi"/>
          <w:b/>
          <w:color w:val="FF0000"/>
          <w:lang w:val="sk-SK"/>
        </w:rPr>
        <w:t xml:space="preserve"> </w:t>
      </w:r>
    </w:p>
    <w:p w:rsidR="00B72349" w:rsidRPr="0036635F" w:rsidRDefault="00B72349" w:rsidP="0098097F">
      <w:pPr>
        <w:tabs>
          <w:tab w:val="left" w:pos="1985"/>
        </w:tabs>
        <w:ind w:left="1985" w:hanging="2115"/>
        <w:rPr>
          <w:rFonts w:asciiTheme="majorHAnsi" w:hAnsiTheme="majorHAnsi"/>
          <w:b/>
          <w:lang w:val="sk-SK"/>
        </w:rPr>
      </w:pPr>
      <w:r w:rsidRPr="0036635F">
        <w:rPr>
          <w:rFonts w:asciiTheme="majorHAnsi" w:hAnsiTheme="majorHAnsi"/>
          <w:lang w:val="sk-SK"/>
        </w:rPr>
        <w:t>Predkladá:</w:t>
      </w:r>
      <w:r w:rsidRPr="0036635F">
        <w:rPr>
          <w:rFonts w:asciiTheme="majorHAnsi" w:hAnsiTheme="majorHAnsi"/>
          <w:lang w:val="sk-SK"/>
        </w:rPr>
        <w:tab/>
      </w:r>
      <w:r w:rsidR="00FF0A96" w:rsidRPr="0036635F">
        <w:rPr>
          <w:rFonts w:asciiTheme="majorHAnsi" w:hAnsiTheme="majorHAnsi"/>
          <w:b/>
          <w:lang w:val="sk-SK"/>
        </w:rPr>
        <w:t>prof.</w:t>
      </w:r>
      <w:r w:rsidR="00FF0A96" w:rsidRPr="0036635F">
        <w:rPr>
          <w:rFonts w:asciiTheme="majorHAnsi" w:hAnsiTheme="majorHAnsi"/>
          <w:lang w:val="sk-SK"/>
        </w:rPr>
        <w:t xml:space="preserve"> </w:t>
      </w:r>
      <w:r w:rsidRPr="0036635F">
        <w:rPr>
          <w:rFonts w:asciiTheme="majorHAnsi" w:hAnsiTheme="majorHAnsi"/>
          <w:b/>
          <w:lang w:val="sk-SK"/>
        </w:rPr>
        <w:t xml:space="preserve">Ing. </w:t>
      </w:r>
      <w:r w:rsidR="00FF0A96" w:rsidRPr="0036635F">
        <w:rPr>
          <w:rFonts w:asciiTheme="majorHAnsi" w:hAnsiTheme="majorHAnsi"/>
          <w:b/>
          <w:lang w:val="sk-SK"/>
        </w:rPr>
        <w:t>Robert Redhammer</w:t>
      </w:r>
      <w:r w:rsidRPr="0036635F">
        <w:rPr>
          <w:rFonts w:asciiTheme="majorHAnsi" w:hAnsiTheme="majorHAnsi"/>
          <w:b/>
          <w:lang w:val="sk-SK"/>
        </w:rPr>
        <w:t xml:space="preserve">, PhD. </w:t>
      </w:r>
    </w:p>
    <w:p w:rsidR="0098097F" w:rsidRPr="0036635F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                                       </w:t>
      </w:r>
      <w:r w:rsidR="00FF0A96" w:rsidRPr="0036635F">
        <w:rPr>
          <w:rFonts w:asciiTheme="majorHAnsi" w:hAnsiTheme="majorHAnsi"/>
          <w:lang w:val="sk-SK"/>
        </w:rPr>
        <w:t>rektor</w:t>
      </w:r>
    </w:p>
    <w:p w:rsidR="0098097F" w:rsidRPr="0036635F" w:rsidRDefault="0098097F" w:rsidP="0098097F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  </w:t>
      </w: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 w:rsidRPr="0036635F">
        <w:rPr>
          <w:rFonts w:asciiTheme="majorHAnsi" w:hAnsiTheme="majorHAnsi"/>
          <w:lang w:val="sk-SK"/>
        </w:rPr>
        <w:t xml:space="preserve">Vypracoval:      </w:t>
      </w:r>
      <w:r w:rsidR="008C48EC" w:rsidRPr="0036635F">
        <w:rPr>
          <w:rFonts w:asciiTheme="majorHAnsi" w:hAnsiTheme="majorHAnsi"/>
          <w:lang w:val="sk-SK"/>
        </w:rPr>
        <w:tab/>
      </w:r>
      <w:r w:rsidRPr="0036635F">
        <w:rPr>
          <w:rFonts w:asciiTheme="majorHAnsi" w:hAnsiTheme="majorHAnsi"/>
          <w:b/>
          <w:lang w:val="sk-SK"/>
        </w:rPr>
        <w:t xml:space="preserve">Ing. </w:t>
      </w:r>
      <w:r w:rsidR="00FF0A96" w:rsidRPr="0036635F">
        <w:rPr>
          <w:rFonts w:asciiTheme="majorHAnsi" w:hAnsiTheme="majorHAnsi"/>
          <w:b/>
          <w:lang w:val="sk-SK"/>
        </w:rPr>
        <w:t>Dušan Faktor, PhD.</w:t>
      </w: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b/>
          <w:lang w:val="sk-SK"/>
        </w:rPr>
        <w:t xml:space="preserve">                            </w:t>
      </w:r>
      <w:r w:rsidR="008C48EC" w:rsidRPr="0036635F">
        <w:rPr>
          <w:rFonts w:asciiTheme="majorHAnsi" w:hAnsiTheme="majorHAnsi"/>
          <w:b/>
          <w:lang w:val="sk-SK"/>
        </w:rPr>
        <w:tab/>
      </w:r>
      <w:r w:rsidR="00FF0A96" w:rsidRPr="0036635F">
        <w:rPr>
          <w:rFonts w:asciiTheme="majorHAnsi" w:hAnsiTheme="majorHAnsi"/>
          <w:lang w:val="sk-SK"/>
        </w:rPr>
        <w:t>kvestor</w:t>
      </w: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36635F" w:rsidRDefault="00B72349" w:rsidP="0098097F">
      <w:pPr>
        <w:tabs>
          <w:tab w:val="left" w:pos="1985"/>
        </w:tabs>
        <w:ind w:left="1973" w:hanging="2115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Zdôvodnenie:</w:t>
      </w:r>
      <w:r w:rsidRPr="0036635F">
        <w:rPr>
          <w:rFonts w:asciiTheme="majorHAnsi" w:hAnsiTheme="majorHAnsi"/>
          <w:lang w:val="sk-SK"/>
        </w:rPr>
        <w:tab/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</w:p>
    <w:p w:rsidR="00B72349" w:rsidRPr="0036635F" w:rsidRDefault="00B72349" w:rsidP="0098097F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98097F" w:rsidRPr="0036635F" w:rsidRDefault="00B72349" w:rsidP="0098097F">
      <w:pPr>
        <w:pStyle w:val="Default"/>
        <w:tabs>
          <w:tab w:val="left" w:pos="1985"/>
        </w:tabs>
        <w:ind w:left="1985" w:hanging="2127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Návrh uznesenia:</w:t>
      </w:r>
      <w:r w:rsidRPr="0036635F">
        <w:rPr>
          <w:rFonts w:asciiTheme="majorHAnsi" w:hAnsiTheme="majorHAnsi"/>
          <w:lang w:val="sk-SK"/>
        </w:rPr>
        <w:tab/>
      </w:r>
      <w:r w:rsidR="00810F2B">
        <w:rPr>
          <w:rFonts w:asciiTheme="majorHAnsi" w:hAnsiTheme="majorHAnsi"/>
          <w:lang w:val="sk-SK"/>
        </w:rPr>
        <w:t>Akademický senát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FF0A96" w:rsidRPr="0036635F">
        <w:rPr>
          <w:rFonts w:asciiTheme="majorHAnsi" w:hAnsiTheme="majorHAnsi" w:cs="Times New Roman"/>
          <w:lang w:val="sk-SK"/>
        </w:rPr>
        <w:t xml:space="preserve">schvaľuje </w:t>
      </w:r>
      <w:r w:rsidR="0098097F" w:rsidRPr="0036635F">
        <w:rPr>
          <w:rFonts w:asciiTheme="majorHAnsi" w:hAnsiTheme="majorHAnsi" w:cs="Times New Roman"/>
          <w:lang w:val="sk-SK"/>
        </w:rPr>
        <w:t xml:space="preserve">návrh </w:t>
      </w:r>
      <w:r w:rsidR="00E361AE" w:rsidRPr="0036635F">
        <w:rPr>
          <w:rFonts w:asciiTheme="majorHAnsi" w:hAnsiTheme="majorHAnsi" w:cs="Times New Roman"/>
          <w:lang w:val="sk-SK"/>
        </w:rPr>
        <w:t>rozpočtu STU na rok 201</w:t>
      </w:r>
      <w:r w:rsidR="00E47223" w:rsidRPr="0036635F">
        <w:rPr>
          <w:rFonts w:asciiTheme="majorHAnsi" w:hAnsiTheme="majorHAnsi" w:cs="Times New Roman"/>
          <w:lang w:val="sk-SK"/>
        </w:rPr>
        <w:t xml:space="preserve">8 </w:t>
      </w: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B72349" w:rsidRPr="0036635F" w:rsidRDefault="00B72349" w:rsidP="00B72349">
      <w:pPr>
        <w:pStyle w:val="Default"/>
        <w:ind w:left="-142"/>
        <w:rPr>
          <w:rFonts w:asciiTheme="majorHAnsi" w:hAnsiTheme="majorHAnsi"/>
          <w:lang w:val="sk-SK"/>
        </w:rPr>
      </w:pPr>
    </w:p>
    <w:p w:rsidR="006F4AFD" w:rsidRPr="0036635F" w:rsidRDefault="006F4AFD" w:rsidP="00774D8A">
      <w:pPr>
        <w:pStyle w:val="Default"/>
        <w:rPr>
          <w:rFonts w:asciiTheme="majorHAnsi" w:hAnsiTheme="majorHAnsi" w:cs="Times New Roman"/>
          <w:lang w:val="sk-SK"/>
        </w:rPr>
        <w:sectPr w:rsidR="006F4AFD" w:rsidRPr="0036635F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387B80" w:rsidRPr="0036635F" w:rsidRDefault="00387B80" w:rsidP="00387B80">
      <w:pPr>
        <w:pStyle w:val="Nadpis1"/>
        <w:rPr>
          <w:rFonts w:asciiTheme="majorHAnsi" w:hAnsiTheme="majorHAnsi"/>
        </w:rPr>
      </w:pPr>
      <w:r w:rsidRPr="0036635F">
        <w:rPr>
          <w:rFonts w:asciiTheme="majorHAnsi" w:hAnsiTheme="majorHAnsi"/>
        </w:rPr>
        <w:lastRenderedPageBreak/>
        <w:t>Návrh rozpočtu STU na rok 201</w:t>
      </w:r>
      <w:r w:rsidR="00E47223" w:rsidRPr="0036635F">
        <w:rPr>
          <w:rFonts w:asciiTheme="majorHAnsi" w:hAnsiTheme="majorHAnsi"/>
        </w:rPr>
        <w:t>8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rPr>
          <w:rFonts w:asciiTheme="majorHAnsi" w:hAnsiTheme="majorHAnsi"/>
        </w:rPr>
      </w:pPr>
    </w:p>
    <w:p w:rsidR="00387B80" w:rsidRPr="0036635F" w:rsidRDefault="00387B80" w:rsidP="00387B80">
      <w:pPr>
        <w:pStyle w:val="Zkladntext2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V súlade s § 16 ods. (1) Zákona o VŠ návrh rozpočtu pozostáva z nákladov a výnosov, je spracovaný v štruktúre Výkazu ziskov a strát osobitne za okruh hlavnej </w:t>
      </w:r>
      <w:r w:rsidR="00F77EFE" w:rsidRPr="0036635F">
        <w:rPr>
          <w:rFonts w:asciiTheme="majorHAnsi" w:hAnsiTheme="majorHAnsi"/>
        </w:rPr>
        <w:t xml:space="preserve">nezdaňovanej </w:t>
      </w:r>
      <w:r w:rsidRPr="0036635F">
        <w:rPr>
          <w:rFonts w:asciiTheme="majorHAnsi" w:hAnsiTheme="majorHAnsi"/>
        </w:rPr>
        <w:t xml:space="preserve">činnosti, osobitne za okruh </w:t>
      </w:r>
      <w:r w:rsidR="00F77EFE" w:rsidRPr="0036635F">
        <w:rPr>
          <w:rFonts w:asciiTheme="majorHAnsi" w:hAnsiTheme="majorHAnsi"/>
        </w:rPr>
        <w:t>zdaňovanej</w:t>
      </w:r>
      <w:r w:rsidRPr="0036635F">
        <w:rPr>
          <w:rFonts w:asciiTheme="majorHAnsi" w:hAnsiTheme="majorHAnsi"/>
        </w:rPr>
        <w:t xml:space="preserve"> činnosti za STU a je vypracovaný podľa jednotlivých súčastí STU. </w:t>
      </w:r>
    </w:p>
    <w:p w:rsidR="00387B80" w:rsidRPr="0036635F" w:rsidRDefault="00387B80" w:rsidP="00387B80">
      <w:pPr>
        <w:pStyle w:val="Zkladntext2"/>
        <w:rPr>
          <w:rFonts w:asciiTheme="majorHAnsi" w:hAnsiTheme="majorHAnsi"/>
        </w:rPr>
      </w:pPr>
    </w:p>
    <w:p w:rsidR="00D736C6" w:rsidRPr="0036635F" w:rsidRDefault="00387B80" w:rsidP="00387B80">
      <w:pPr>
        <w:pStyle w:val="Zkladntext2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Návrh rozpočtu STU na rok 201</w:t>
      </w:r>
      <w:r w:rsidR="00E47223" w:rsidRPr="0036635F">
        <w:rPr>
          <w:rFonts w:asciiTheme="majorHAnsi" w:hAnsiTheme="majorHAnsi"/>
          <w:iCs/>
        </w:rPr>
        <w:t>8</w:t>
      </w:r>
      <w:r w:rsidRPr="0036635F">
        <w:rPr>
          <w:rFonts w:asciiTheme="majorHAnsi" w:hAnsiTheme="majorHAnsi"/>
          <w:iCs/>
        </w:rPr>
        <w:t xml:space="preserve"> vychádza z návrhov </w:t>
      </w:r>
      <w:r w:rsidR="00D73C48" w:rsidRPr="0036635F">
        <w:rPr>
          <w:rFonts w:asciiTheme="majorHAnsi" w:hAnsiTheme="majorHAnsi"/>
          <w:iCs/>
        </w:rPr>
        <w:t>rozpočtov  jednotlivých súčastí </w:t>
      </w:r>
      <w:r w:rsidRPr="0036635F">
        <w:rPr>
          <w:rFonts w:asciiTheme="majorHAnsi" w:hAnsiTheme="majorHAnsi"/>
          <w:iCs/>
        </w:rPr>
        <w:t>STU</w:t>
      </w:r>
      <w:r w:rsidR="00D73C48" w:rsidRPr="0036635F">
        <w:rPr>
          <w:rFonts w:asciiTheme="majorHAnsi" w:hAnsiTheme="majorHAnsi"/>
          <w:iCs/>
        </w:rPr>
        <w:t> </w:t>
      </w:r>
      <w:r w:rsidRPr="0036635F">
        <w:rPr>
          <w:rFonts w:asciiTheme="majorHAnsi" w:hAnsiTheme="majorHAnsi"/>
          <w:iCs/>
        </w:rPr>
        <w:t xml:space="preserve">–fakúlt, univerzitných pracovísk a účelových zariadení STU. Pri zostavovaní návrhu rozpočtu sa vychádzalo z potreby zabezpečiť nutné náklady jednotlivých súčastí a náklady, ktoré vzniknú realizovaním výdavkov, ktoré vyplývajú z účelovo určených finančných prostriedkov pridelených dotačnou zmluvou zo ŠR. Pri plánovaní nákladov bol zohľadnený predpokladaný objem mimodotačných prostriedkov. Okrem toho boli zohľadnené aj náklady na opravy </w:t>
      </w:r>
      <w:r w:rsidR="00152D29" w:rsidRPr="0036635F">
        <w:rPr>
          <w:rFonts w:asciiTheme="majorHAnsi" w:hAnsiTheme="majorHAnsi"/>
          <w:iCs/>
        </w:rPr>
        <w:t>majetku STU</w:t>
      </w:r>
      <w:r w:rsidRPr="0036635F">
        <w:rPr>
          <w:rFonts w:asciiTheme="majorHAnsi" w:hAnsiTheme="majorHAnsi"/>
          <w:iCs/>
        </w:rPr>
        <w:t xml:space="preserve">,  na  ktoré boli z úrovne STU vyčlenené finančné prostriedky pri rozpise dotácie na rok </w:t>
      </w:r>
      <w:r w:rsidR="00D736C6" w:rsidRPr="0036635F">
        <w:rPr>
          <w:rFonts w:asciiTheme="majorHAnsi" w:hAnsiTheme="majorHAnsi"/>
          <w:iCs/>
        </w:rPr>
        <w:t>201</w:t>
      </w:r>
      <w:r w:rsidR="00E47223" w:rsidRPr="0036635F">
        <w:rPr>
          <w:rFonts w:asciiTheme="majorHAnsi" w:hAnsiTheme="majorHAnsi"/>
          <w:iCs/>
        </w:rPr>
        <w:t>8</w:t>
      </w:r>
      <w:r w:rsidR="00152D29" w:rsidRPr="0036635F">
        <w:rPr>
          <w:rFonts w:asciiTheme="majorHAnsi" w:hAnsiTheme="majorHAnsi"/>
          <w:iCs/>
        </w:rPr>
        <w:t xml:space="preserve"> (úprava priestorov pre Archív STU, oprava telocvične a športovísk na MTF, oprava vodoinštalácie v novej budove FCHPT, výmena umelého trávnika na CAŠ</w:t>
      </w:r>
      <w:r w:rsidR="00D736C6" w:rsidRPr="0036635F">
        <w:rPr>
          <w:rFonts w:asciiTheme="majorHAnsi" w:hAnsiTheme="majorHAnsi"/>
          <w:iCs/>
        </w:rPr>
        <w:t>.</w:t>
      </w:r>
      <w:r w:rsidR="00152D29" w:rsidRPr="0036635F">
        <w:rPr>
          <w:rFonts w:asciiTheme="majorHAnsi" w:hAnsiTheme="majorHAnsi"/>
          <w:iCs/>
        </w:rPr>
        <w:t xml:space="preserve"> Akcie „obnova vozidlového parku“ a  „realizácia vnútorného zateplenia obvodového plášťa budovy SjF“ na</w:t>
      </w:r>
      <w:r w:rsidR="006B291D" w:rsidRPr="0036635F">
        <w:rPr>
          <w:rFonts w:asciiTheme="majorHAnsi" w:hAnsiTheme="majorHAnsi"/>
          <w:iCs/>
        </w:rPr>
        <w:t xml:space="preserve"> ktoré boli </w:t>
      </w:r>
      <w:r w:rsidR="00152D29" w:rsidRPr="0036635F">
        <w:rPr>
          <w:rFonts w:asciiTheme="majorHAnsi" w:hAnsiTheme="majorHAnsi"/>
          <w:iCs/>
        </w:rPr>
        <w:t xml:space="preserve"> </w:t>
      </w:r>
      <w:r w:rsidR="00381438" w:rsidRPr="0036635F">
        <w:rPr>
          <w:rFonts w:asciiTheme="majorHAnsi" w:hAnsiTheme="majorHAnsi"/>
          <w:iCs/>
        </w:rPr>
        <w:t xml:space="preserve"> </w:t>
      </w:r>
      <w:r w:rsidR="00152D29" w:rsidRPr="0036635F">
        <w:rPr>
          <w:rFonts w:asciiTheme="majorHAnsi" w:hAnsiTheme="majorHAnsi"/>
          <w:iCs/>
        </w:rPr>
        <w:t xml:space="preserve"> </w:t>
      </w:r>
      <w:r w:rsidR="006B291D" w:rsidRPr="0036635F">
        <w:rPr>
          <w:rFonts w:asciiTheme="majorHAnsi" w:hAnsiTheme="majorHAnsi"/>
          <w:iCs/>
        </w:rPr>
        <w:t>vyčlenené f</w:t>
      </w:r>
      <w:r w:rsidR="00152D29" w:rsidRPr="0036635F">
        <w:rPr>
          <w:rFonts w:asciiTheme="majorHAnsi" w:hAnsiTheme="majorHAnsi"/>
          <w:iCs/>
        </w:rPr>
        <w:t xml:space="preserve">inančné prostriedky z bežnej dotácie na rok 2018 </w:t>
      </w:r>
      <w:r w:rsidR="006B291D" w:rsidRPr="0036635F">
        <w:rPr>
          <w:rFonts w:asciiTheme="majorHAnsi" w:hAnsiTheme="majorHAnsi"/>
          <w:iCs/>
        </w:rPr>
        <w:t>majú charakter kapitálových výdavkov a do nákladov budú prenesené postupne počas doby odpisovania vo forme odpisov z technického zhodnotenia budovy a odpisov z dopravných prostriedkov.)</w:t>
      </w:r>
    </w:p>
    <w:p w:rsidR="00D736C6" w:rsidRPr="0036635F" w:rsidRDefault="00D736C6" w:rsidP="00387B80">
      <w:pPr>
        <w:pStyle w:val="Zkladntext2"/>
        <w:rPr>
          <w:rFonts w:asciiTheme="majorHAnsi" w:hAnsiTheme="majorHAnsi"/>
          <w:iCs/>
        </w:rPr>
      </w:pPr>
    </w:p>
    <w:p w:rsidR="003636DF" w:rsidRPr="0036635F" w:rsidRDefault="003636DF" w:rsidP="003636DF">
      <w:pPr>
        <w:jc w:val="both"/>
        <w:rPr>
          <w:rFonts w:asciiTheme="majorHAnsi" w:hAnsiTheme="majorHAnsi"/>
          <w:i/>
        </w:rPr>
      </w:pPr>
      <w:r w:rsidRPr="0036635F">
        <w:rPr>
          <w:rFonts w:asciiTheme="majorHAnsi" w:hAnsiTheme="majorHAnsi"/>
          <w:bCs/>
        </w:rPr>
        <w:t>STU na rok 201</w:t>
      </w:r>
      <w:r w:rsidR="00E47223" w:rsidRPr="0036635F">
        <w:rPr>
          <w:rFonts w:asciiTheme="majorHAnsi" w:hAnsiTheme="majorHAnsi"/>
          <w:bCs/>
        </w:rPr>
        <w:t>8</w:t>
      </w:r>
      <w:r w:rsidRPr="0036635F">
        <w:rPr>
          <w:rFonts w:asciiTheme="majorHAnsi" w:hAnsiTheme="majorHAnsi"/>
          <w:bCs/>
        </w:rPr>
        <w:t xml:space="preserve"> plánuje kladný hospodársky výsledok</w:t>
      </w:r>
      <w:r w:rsidRPr="0036635F">
        <w:rPr>
          <w:rFonts w:asciiTheme="majorHAnsi" w:hAnsiTheme="majorHAnsi"/>
        </w:rPr>
        <w:t xml:space="preserve"> pred zdanením vo výške</w:t>
      </w:r>
      <w:r w:rsidR="00D73C48" w:rsidRPr="0036635F">
        <w:rPr>
          <w:rFonts w:asciiTheme="majorHAnsi" w:hAnsiTheme="majorHAnsi"/>
        </w:rPr>
        <w:t> 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600 431 </w:t>
      </w:r>
      <w:r w:rsidRPr="0036635F">
        <w:rPr>
          <w:rFonts w:asciiTheme="majorHAnsi" w:hAnsiTheme="majorHAnsi"/>
        </w:rPr>
        <w:t>€.</w:t>
      </w:r>
      <w:r w:rsidR="00D73C48" w:rsidRPr="0036635F">
        <w:rPr>
          <w:rFonts w:asciiTheme="majorHAnsi" w:hAnsiTheme="majorHAnsi"/>
        </w:rPr>
        <w:t xml:space="preserve"> N</w:t>
      </w:r>
      <w:r w:rsidRPr="0036635F">
        <w:rPr>
          <w:rFonts w:asciiTheme="majorHAnsi" w:hAnsiTheme="majorHAnsi"/>
        </w:rPr>
        <w:t xml:space="preserve">a okruhu hlavnej </w:t>
      </w:r>
      <w:r w:rsidR="00F77EFE" w:rsidRPr="0036635F">
        <w:rPr>
          <w:rFonts w:asciiTheme="majorHAnsi" w:hAnsiTheme="majorHAnsi"/>
        </w:rPr>
        <w:t xml:space="preserve">nezdaňovanej </w:t>
      </w:r>
      <w:r w:rsidRPr="0036635F">
        <w:rPr>
          <w:rFonts w:asciiTheme="majorHAnsi" w:hAnsiTheme="majorHAnsi"/>
        </w:rPr>
        <w:t xml:space="preserve">činnosti </w:t>
      </w:r>
      <w:r w:rsidR="00E37B9D" w:rsidRPr="0036635F">
        <w:rPr>
          <w:rFonts w:asciiTheme="majorHAnsi" w:hAnsiTheme="majorHAnsi"/>
        </w:rPr>
        <w:t>sa plánuje záporný výsledok</w:t>
      </w:r>
      <w:r w:rsidRPr="0036635F">
        <w:rPr>
          <w:rFonts w:asciiTheme="majorHAnsi" w:hAnsiTheme="majorHAnsi"/>
        </w:rPr>
        <w:t xml:space="preserve"> vo výške</w:t>
      </w:r>
      <w:r w:rsidR="00D73C48" w:rsidRPr="0036635F">
        <w:rPr>
          <w:rFonts w:asciiTheme="majorHAnsi" w:hAnsiTheme="majorHAnsi"/>
        </w:rPr>
        <w:t> 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 1 088 790 </w:t>
      </w:r>
      <w:r w:rsidRPr="0036635F">
        <w:rPr>
          <w:rFonts w:asciiTheme="majorHAnsi" w:hAnsiTheme="majorHAnsi"/>
        </w:rPr>
        <w:t xml:space="preserve">€, na okruhu </w:t>
      </w:r>
      <w:r w:rsidR="00F77EFE" w:rsidRPr="0036635F">
        <w:rPr>
          <w:rFonts w:asciiTheme="majorHAnsi" w:hAnsiTheme="majorHAnsi"/>
        </w:rPr>
        <w:t xml:space="preserve">zdaňovanej </w:t>
      </w:r>
      <w:r w:rsidRPr="0036635F">
        <w:rPr>
          <w:rFonts w:asciiTheme="majorHAnsi" w:hAnsiTheme="majorHAnsi"/>
        </w:rPr>
        <w:t xml:space="preserve">činnosti </w:t>
      </w:r>
      <w:r w:rsidR="00E37B9D" w:rsidRPr="0036635F">
        <w:rPr>
          <w:rFonts w:asciiTheme="majorHAnsi" w:hAnsiTheme="majorHAnsi"/>
        </w:rPr>
        <w:t>kladný</w:t>
      </w:r>
      <w:r w:rsidRPr="0036635F">
        <w:rPr>
          <w:rFonts w:asciiTheme="majorHAnsi" w:hAnsiTheme="majorHAnsi"/>
        </w:rPr>
        <w:t xml:space="preserve"> vo výške</w:t>
      </w:r>
      <w:r w:rsidR="0062658B" w:rsidRPr="0036635F">
        <w:rPr>
          <w:rFonts w:asciiTheme="majorHAnsi" w:hAnsiTheme="majorHAnsi"/>
        </w:rPr>
        <w:t xml:space="preserve"> 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1 689 221 </w:t>
      </w:r>
      <w:r w:rsidR="00F77EFE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>€.</w:t>
      </w:r>
      <w:r w:rsidRPr="0036635F">
        <w:rPr>
          <w:rFonts w:asciiTheme="majorHAnsi" w:hAnsiTheme="majorHAnsi"/>
          <w:i/>
        </w:rPr>
        <w:t xml:space="preserve"> </w:t>
      </w:r>
    </w:p>
    <w:p w:rsidR="00D736C6" w:rsidRPr="0036635F" w:rsidRDefault="00D736C6" w:rsidP="0062658B">
      <w:pPr>
        <w:jc w:val="both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 xml:space="preserve">Všetky súčasti STU plánujú kladný hospodársky výsledok, okrem </w:t>
      </w:r>
      <w:r w:rsidR="00006591" w:rsidRPr="0036635F">
        <w:rPr>
          <w:rFonts w:asciiTheme="majorHAnsi" w:hAnsiTheme="majorHAnsi"/>
          <w:iCs/>
        </w:rPr>
        <w:t>R</w:t>
      </w:r>
      <w:r w:rsidRPr="0036635F">
        <w:rPr>
          <w:rFonts w:asciiTheme="majorHAnsi" w:hAnsiTheme="majorHAnsi"/>
          <w:iCs/>
        </w:rPr>
        <w:t>ektorátu, ktorého záporný výsledok ovplyvňujú odpisy, ktoré nie sú kryté výnosmi. Jedná sa o odpisy budov, ktoré STU boli zverené v roku 2002 a na ktoré nebol pridelený zdroj krytia a tiež odpisy majetku, ktorý bol obstaraný z vlastných zdrojov prostredníctvom fondu reprodukcie</w:t>
      </w:r>
      <w:r w:rsidR="00F91FB0" w:rsidRPr="0036635F">
        <w:rPr>
          <w:rFonts w:asciiTheme="majorHAnsi" w:hAnsiTheme="majorHAnsi"/>
          <w:iCs/>
        </w:rPr>
        <w:t xml:space="preserve">, hlavne </w:t>
      </w:r>
      <w:r w:rsidR="00F77EFE" w:rsidRPr="0036635F">
        <w:rPr>
          <w:rFonts w:asciiTheme="majorHAnsi" w:hAnsiTheme="majorHAnsi"/>
          <w:iCs/>
        </w:rPr>
        <w:t xml:space="preserve">5% spolufinancovanie </w:t>
      </w:r>
      <w:r w:rsidR="00F91FB0" w:rsidRPr="0036635F">
        <w:rPr>
          <w:rFonts w:asciiTheme="majorHAnsi" w:hAnsiTheme="majorHAnsi"/>
          <w:iCs/>
        </w:rPr>
        <w:t>prístroj</w:t>
      </w:r>
      <w:r w:rsidR="00F77EFE" w:rsidRPr="0036635F">
        <w:rPr>
          <w:rFonts w:asciiTheme="majorHAnsi" w:hAnsiTheme="majorHAnsi"/>
          <w:iCs/>
        </w:rPr>
        <w:t>ov</w:t>
      </w:r>
      <w:r w:rsidR="00F91FB0" w:rsidRPr="0036635F">
        <w:rPr>
          <w:rFonts w:asciiTheme="majorHAnsi" w:hAnsiTheme="majorHAnsi"/>
          <w:iCs/>
        </w:rPr>
        <w:t xml:space="preserve"> zakúpen</w:t>
      </w:r>
      <w:r w:rsidR="00F77EFE" w:rsidRPr="0036635F">
        <w:rPr>
          <w:rFonts w:asciiTheme="majorHAnsi" w:hAnsiTheme="majorHAnsi"/>
          <w:iCs/>
        </w:rPr>
        <w:t>ých</w:t>
      </w:r>
      <w:r w:rsidR="00F91FB0" w:rsidRPr="0036635F">
        <w:rPr>
          <w:rFonts w:asciiTheme="majorHAnsi" w:hAnsiTheme="majorHAnsi"/>
          <w:iCs/>
        </w:rPr>
        <w:t xml:space="preserve"> z projektov financovaných zo ŠF a evidovaných na</w:t>
      </w:r>
      <w:r w:rsidR="00F77EFE" w:rsidRPr="0036635F">
        <w:rPr>
          <w:rFonts w:asciiTheme="majorHAnsi" w:hAnsiTheme="majorHAnsi"/>
          <w:iCs/>
        </w:rPr>
        <w:t xml:space="preserve"> </w:t>
      </w:r>
      <w:r w:rsidR="00F91FB0" w:rsidRPr="0036635F">
        <w:rPr>
          <w:rFonts w:asciiTheme="majorHAnsi" w:hAnsiTheme="majorHAnsi"/>
          <w:iCs/>
        </w:rPr>
        <w:t>Rektoráte</w:t>
      </w:r>
      <w:r w:rsidR="0062658B" w:rsidRPr="0036635F">
        <w:rPr>
          <w:rFonts w:asciiTheme="majorHAnsi" w:hAnsiTheme="majorHAnsi"/>
          <w:iCs/>
        </w:rPr>
        <w:t xml:space="preserve"> (spolu cca 1 075 008€) a celouniverzitné náklady, ktoré nemajú zdroj krytia – predaj UZ Gabčíkovo a celouniverzitné propagačné aktivity</w:t>
      </w:r>
      <w:r w:rsidRPr="0036635F">
        <w:rPr>
          <w:rFonts w:asciiTheme="majorHAnsi" w:hAnsiTheme="majorHAnsi"/>
          <w:iCs/>
        </w:rPr>
        <w:t>.</w:t>
      </w:r>
      <w:r w:rsidR="003636DF" w:rsidRPr="0036635F">
        <w:rPr>
          <w:rFonts w:asciiTheme="majorHAnsi" w:hAnsiTheme="majorHAnsi"/>
          <w:iCs/>
        </w:rPr>
        <w:t xml:space="preserve"> Plánovaný záporný výsledok hospodárenia </w:t>
      </w:r>
      <w:r w:rsidR="00F91FB0" w:rsidRPr="0036635F">
        <w:rPr>
          <w:rFonts w:asciiTheme="majorHAnsi" w:hAnsiTheme="majorHAnsi"/>
          <w:iCs/>
        </w:rPr>
        <w:t xml:space="preserve">na Rektoráte </w:t>
      </w:r>
      <w:r w:rsidR="003636DF" w:rsidRPr="0036635F">
        <w:rPr>
          <w:rFonts w:asciiTheme="majorHAnsi" w:hAnsiTheme="majorHAnsi"/>
          <w:iCs/>
        </w:rPr>
        <w:t xml:space="preserve">je vo výške </w:t>
      </w:r>
      <w:r w:rsidR="0062658B" w:rsidRPr="0036635F">
        <w:rPr>
          <w:rFonts w:asciiTheme="majorHAnsi" w:hAnsiTheme="majorHAnsi"/>
          <w:iCs/>
        </w:rPr>
        <w:t xml:space="preserve">mínus 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>703 877</w:t>
      </w:r>
      <w:r w:rsidR="00D73C48" w:rsidRPr="0036635F">
        <w:rPr>
          <w:rFonts w:asciiTheme="majorHAnsi" w:hAnsiTheme="majorHAnsi"/>
          <w:iCs/>
        </w:rPr>
        <w:t> </w:t>
      </w:r>
      <w:r w:rsidR="003636DF" w:rsidRPr="0036635F">
        <w:rPr>
          <w:rFonts w:asciiTheme="majorHAnsi" w:hAnsiTheme="majorHAnsi"/>
          <w:iCs/>
        </w:rPr>
        <w:t>€, z toho na hlavnej činnosti</w:t>
      </w:r>
      <w:r w:rsidR="0062658B" w:rsidRPr="0036635F">
        <w:rPr>
          <w:rFonts w:asciiTheme="majorHAnsi" w:hAnsiTheme="majorHAnsi"/>
          <w:iCs/>
        </w:rPr>
        <w:t xml:space="preserve"> </w:t>
      </w:r>
      <w:r w:rsidR="003636DF" w:rsidRPr="0036635F">
        <w:rPr>
          <w:rFonts w:asciiTheme="majorHAnsi" w:hAnsiTheme="majorHAnsi"/>
          <w:iCs/>
        </w:rPr>
        <w:t xml:space="preserve"> </w:t>
      </w:r>
      <w:r w:rsidR="0062658B" w:rsidRPr="0036635F">
        <w:rPr>
          <w:rFonts w:asciiTheme="majorHAnsi" w:hAnsiTheme="majorHAnsi"/>
          <w:iCs/>
        </w:rPr>
        <w:t xml:space="preserve">                 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mínus 1 078 972 </w:t>
      </w:r>
      <w:r w:rsidR="003636DF" w:rsidRPr="0036635F">
        <w:rPr>
          <w:rFonts w:asciiTheme="majorHAnsi" w:hAnsiTheme="majorHAnsi"/>
          <w:iCs/>
        </w:rPr>
        <w:t xml:space="preserve">€, na ekonomickej zdaňovanej činnosti plus </w:t>
      </w:r>
      <w:r w:rsidR="00F77EFE" w:rsidRPr="0036635F">
        <w:rPr>
          <w:rFonts w:asciiTheme="majorHAnsi" w:hAnsiTheme="majorHAnsi"/>
          <w:iCs/>
        </w:rPr>
        <w:t xml:space="preserve"> </w:t>
      </w:r>
      <w:r w:rsidR="0062658B" w:rsidRPr="0036635F">
        <w:rPr>
          <w:rFonts w:asciiTheme="majorHAnsi" w:eastAsia="Times New Roman" w:hAnsiTheme="majorHAnsi" w:cs="Arial"/>
          <w:lang w:val="sk-SK" w:eastAsia="sk-SK"/>
        </w:rPr>
        <w:t xml:space="preserve">375 095 €. </w:t>
      </w:r>
      <w:r w:rsidR="006B291D" w:rsidRPr="0036635F">
        <w:rPr>
          <w:rFonts w:asciiTheme="majorHAnsi" w:hAnsiTheme="majorHAnsi"/>
          <w:iCs/>
        </w:rPr>
        <w:t xml:space="preserve"> Odpisy prístrojov zakúpené z vlastných zdrojov súčastí tiež majú negatívny dopad n</w:t>
      </w:r>
      <w:r w:rsidR="0062658B" w:rsidRPr="0036635F">
        <w:rPr>
          <w:rFonts w:asciiTheme="majorHAnsi" w:hAnsiTheme="majorHAnsi"/>
          <w:iCs/>
        </w:rPr>
        <w:t>a hospodárske výsledky súčastí a následne na hospodársky výsledok STU.</w:t>
      </w:r>
    </w:p>
    <w:p w:rsidR="00D736C6" w:rsidRPr="0036635F" w:rsidRDefault="00D736C6" w:rsidP="00387B80">
      <w:pPr>
        <w:pStyle w:val="Zkladntext2"/>
        <w:rPr>
          <w:rFonts w:asciiTheme="majorHAnsi" w:hAnsiTheme="majorHAnsi"/>
          <w:iCs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  <w:b/>
          <w:bCs/>
          <w:u w:val="single"/>
        </w:rPr>
        <w:t>Celkové náklady</w:t>
      </w:r>
      <w:r w:rsidRPr="0036635F">
        <w:rPr>
          <w:rFonts w:asciiTheme="majorHAnsi" w:hAnsiTheme="majorHAnsi"/>
        </w:rPr>
        <w:t xml:space="preserve"> </w:t>
      </w:r>
      <w:r w:rsidR="00006591" w:rsidRPr="0036635F">
        <w:rPr>
          <w:rFonts w:asciiTheme="majorHAnsi" w:hAnsiTheme="majorHAnsi"/>
        </w:rPr>
        <w:t xml:space="preserve">STU sú plánované vo výške </w:t>
      </w:r>
      <w:r w:rsidR="00C10CEB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100 759 303 </w:t>
      </w:r>
      <w:r w:rsidRPr="0036635F">
        <w:rPr>
          <w:rFonts w:asciiTheme="majorHAnsi" w:hAnsiTheme="majorHAnsi"/>
        </w:rPr>
        <w:t xml:space="preserve">€. V rámci hlavnej činnosti </w:t>
      </w:r>
      <w:r w:rsidR="0063738A" w:rsidRPr="0036635F">
        <w:rPr>
          <w:rFonts w:asciiTheme="majorHAnsi" w:hAnsiTheme="majorHAnsi"/>
        </w:rPr>
        <w:t xml:space="preserve"> </w:t>
      </w:r>
      <w:r w:rsidR="00C10CEB" w:rsidRPr="0036635F">
        <w:rPr>
          <w:rFonts w:asciiTheme="majorHAnsi" w:hAnsiTheme="majorHAnsi"/>
        </w:rPr>
        <w:t xml:space="preserve">                                </w:t>
      </w:r>
      <w:r w:rsidR="0063738A" w:rsidRPr="0036635F">
        <w:rPr>
          <w:rFonts w:asciiTheme="majorHAnsi" w:hAnsiTheme="majorHAnsi"/>
        </w:rPr>
        <w:t xml:space="preserve"> </w:t>
      </w:r>
      <w:r w:rsidR="0062658B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>94 502 334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€, v rámci činnosti zdaňovanej </w:t>
      </w:r>
      <w:r w:rsidR="00C10CEB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6 256 969 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>€.</w:t>
      </w:r>
    </w:p>
    <w:p w:rsidR="00D73C48" w:rsidRPr="0036635F" w:rsidRDefault="00D73C48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rPr>
          <w:rFonts w:asciiTheme="majorHAnsi" w:hAnsiTheme="majorHAnsi"/>
        </w:rPr>
      </w:pPr>
      <w:r w:rsidRPr="0036635F">
        <w:rPr>
          <w:rFonts w:asciiTheme="majorHAnsi" w:hAnsiTheme="majorHAnsi"/>
        </w:rPr>
        <w:t>Z hľadiska štruktúry nákladov najväčšie podiely na nákladoch  tvoria:</w:t>
      </w:r>
    </w:p>
    <w:p w:rsidR="00C678C7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r w:rsidRPr="0036635F">
        <w:rPr>
          <w:rFonts w:asciiTheme="majorHAnsi" w:hAnsiTheme="majorHAnsi"/>
        </w:rPr>
        <w:t>osobné náklady (mzdov</w:t>
      </w:r>
      <w:r w:rsidR="00D73C48" w:rsidRPr="0036635F">
        <w:rPr>
          <w:rFonts w:asciiTheme="majorHAnsi" w:hAnsiTheme="majorHAnsi"/>
        </w:rPr>
        <w:t>é a sociálne náklady)  vo výške</w:t>
      </w:r>
      <w:r w:rsidRPr="0036635F">
        <w:rPr>
          <w:rFonts w:asciiTheme="majorHAnsi" w:hAnsiTheme="majorHAnsi"/>
        </w:rPr>
        <w:t xml:space="preserve"> </w:t>
      </w:r>
      <w:r w:rsidR="00C10CEB" w:rsidRPr="0036635F">
        <w:rPr>
          <w:rFonts w:asciiTheme="majorHAnsi" w:hAnsiTheme="majorHAnsi"/>
        </w:rPr>
        <w:t xml:space="preserve">53 692 456 </w:t>
      </w:r>
      <w:r w:rsidRPr="0036635F">
        <w:rPr>
          <w:rFonts w:asciiTheme="majorHAnsi" w:hAnsiTheme="majorHAnsi"/>
        </w:rPr>
        <w:t xml:space="preserve">€ - podiel </w:t>
      </w:r>
      <w:r w:rsidR="00C10CEB" w:rsidRPr="0036635F">
        <w:rPr>
          <w:rFonts w:asciiTheme="majorHAnsi" w:hAnsiTheme="majorHAnsi"/>
        </w:rPr>
        <w:t>53,29</w:t>
      </w:r>
      <w:r w:rsidR="00E47223" w:rsidRPr="0036635F">
        <w:rPr>
          <w:rFonts w:asciiTheme="majorHAnsi" w:hAnsiTheme="majorHAnsi"/>
        </w:rPr>
        <w:t>%</w:t>
      </w:r>
      <w:r w:rsidR="000506EA" w:rsidRPr="0036635F">
        <w:rPr>
          <w:rFonts w:asciiTheme="majorHAnsi" w:hAnsiTheme="majorHAnsi"/>
        </w:rPr>
        <w:t xml:space="preserve"> </w:t>
      </w:r>
      <w:r w:rsidR="00C10CEB" w:rsidRPr="0036635F">
        <w:rPr>
          <w:rFonts w:asciiTheme="majorHAnsi" w:hAnsiTheme="majorHAnsi"/>
        </w:rPr>
        <w:t xml:space="preserve">. </w:t>
      </w:r>
      <w:r w:rsidR="007D1E56" w:rsidRPr="0036635F">
        <w:rPr>
          <w:rFonts w:asciiTheme="majorHAnsi" w:hAnsiTheme="majorHAnsi"/>
        </w:rPr>
        <w:t>Výška</w:t>
      </w:r>
      <w:r w:rsidR="000506EA" w:rsidRPr="0036635F">
        <w:rPr>
          <w:rFonts w:asciiTheme="majorHAnsi" w:hAnsiTheme="majorHAnsi"/>
        </w:rPr>
        <w:t xml:space="preserve"> nákladov je </w:t>
      </w:r>
      <w:r w:rsidR="007D1E56" w:rsidRPr="0036635F">
        <w:rPr>
          <w:rFonts w:asciiTheme="majorHAnsi" w:hAnsiTheme="majorHAnsi"/>
        </w:rPr>
        <w:t xml:space="preserve">ovpyvnená </w:t>
      </w:r>
      <w:r w:rsidR="000506EA" w:rsidRPr="0036635F">
        <w:rPr>
          <w:rFonts w:asciiTheme="majorHAnsi" w:hAnsiTheme="majorHAnsi"/>
        </w:rPr>
        <w:t xml:space="preserve"> valorizáci</w:t>
      </w:r>
      <w:r w:rsidR="007D1E56" w:rsidRPr="0036635F">
        <w:rPr>
          <w:rFonts w:asciiTheme="majorHAnsi" w:hAnsiTheme="majorHAnsi"/>
        </w:rPr>
        <w:t>ou</w:t>
      </w:r>
      <w:r w:rsidR="000506EA" w:rsidRPr="0036635F">
        <w:rPr>
          <w:rFonts w:asciiTheme="majorHAnsi" w:hAnsiTheme="majorHAnsi"/>
        </w:rPr>
        <w:t xml:space="preserve"> tarifných p</w:t>
      </w:r>
      <w:r w:rsidR="007D1E56" w:rsidRPr="0036635F">
        <w:rPr>
          <w:rFonts w:asciiTheme="majorHAnsi" w:hAnsiTheme="majorHAnsi"/>
        </w:rPr>
        <w:t xml:space="preserve">latov, realizáciou projektov na jednotlivých súčastiach. (napr. “Návraty výskumných zamestnancov zo zahraničia a </w:t>
      </w:r>
      <w:r w:rsidR="007D1E56" w:rsidRPr="0036635F">
        <w:rPr>
          <w:rFonts w:asciiTheme="majorHAnsi" w:hAnsiTheme="majorHAnsi"/>
        </w:rPr>
        <w:lastRenderedPageBreak/>
        <w:t>ďalšie), ako aj poklesom zamestnancom na niektorých súčastiach oproti predchádzajúcemu roku</w:t>
      </w:r>
    </w:p>
    <w:p w:rsidR="00387B80" w:rsidRPr="0036635F" w:rsidRDefault="00387B80" w:rsidP="002E2186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odpisy  vo výške </w:t>
      </w:r>
      <w:r w:rsidR="00444A5E" w:rsidRPr="0036635F">
        <w:rPr>
          <w:rFonts w:asciiTheme="majorHAnsi" w:hAnsiTheme="majorHAnsi"/>
        </w:rPr>
        <w:t>15583640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 – podiel </w:t>
      </w:r>
      <w:r w:rsidR="00444A5E" w:rsidRPr="0036635F">
        <w:rPr>
          <w:rFonts w:asciiTheme="majorHAnsi" w:hAnsiTheme="majorHAnsi"/>
        </w:rPr>
        <w:t>15,47</w:t>
      </w:r>
      <w:r w:rsidRPr="0036635F">
        <w:rPr>
          <w:rFonts w:asciiTheme="majorHAnsi" w:hAnsiTheme="majorHAnsi"/>
        </w:rPr>
        <w:t>% (nefinančný náklad)</w:t>
      </w:r>
      <w:r w:rsidR="00C55B37" w:rsidRPr="0036635F">
        <w:rPr>
          <w:rFonts w:asciiTheme="majorHAnsi" w:hAnsiTheme="majorHAnsi"/>
        </w:rPr>
        <w:t xml:space="preserve">. </w:t>
      </w:r>
      <w:r w:rsidR="007D1E56" w:rsidRPr="0036635F">
        <w:rPr>
          <w:rFonts w:asciiTheme="majorHAnsi" w:hAnsiTheme="majorHAnsi"/>
        </w:rPr>
        <w:t>Výška</w:t>
      </w:r>
      <w:r w:rsidR="000506EA" w:rsidRPr="0036635F">
        <w:rPr>
          <w:rFonts w:asciiTheme="majorHAnsi" w:hAnsiTheme="majorHAnsi"/>
        </w:rPr>
        <w:t xml:space="preserve"> </w:t>
      </w:r>
      <w:r w:rsidR="00C55B37" w:rsidRPr="0036635F">
        <w:rPr>
          <w:rFonts w:asciiTheme="majorHAnsi" w:hAnsiTheme="majorHAnsi"/>
        </w:rPr>
        <w:t xml:space="preserve"> odpisov</w:t>
      </w:r>
      <w:r w:rsidR="002E2186" w:rsidRPr="0036635F">
        <w:rPr>
          <w:rFonts w:asciiTheme="majorHAnsi" w:hAnsiTheme="majorHAnsi"/>
        </w:rPr>
        <w:t xml:space="preserve"> </w:t>
      </w:r>
      <w:r w:rsidR="00C55B37" w:rsidRPr="0036635F">
        <w:rPr>
          <w:rFonts w:asciiTheme="majorHAnsi" w:hAnsiTheme="majorHAnsi"/>
        </w:rPr>
        <w:t>s</w:t>
      </w:r>
      <w:r w:rsidR="00B97E10" w:rsidRPr="0036635F">
        <w:rPr>
          <w:rFonts w:asciiTheme="majorHAnsi" w:hAnsiTheme="majorHAnsi"/>
        </w:rPr>
        <w:t>ú</w:t>
      </w:r>
      <w:r w:rsidR="00C55B37" w:rsidRPr="0036635F">
        <w:rPr>
          <w:rFonts w:asciiTheme="majorHAnsi" w:hAnsiTheme="majorHAnsi"/>
        </w:rPr>
        <w:t xml:space="preserve">visí </w:t>
      </w:r>
      <w:r w:rsidR="000506EA" w:rsidRPr="0036635F">
        <w:rPr>
          <w:rFonts w:asciiTheme="majorHAnsi" w:hAnsiTheme="majorHAnsi"/>
        </w:rPr>
        <w:t xml:space="preserve"> so skončením odpisovania</w:t>
      </w:r>
      <w:r w:rsidR="00C55B37" w:rsidRPr="0036635F">
        <w:rPr>
          <w:rFonts w:asciiTheme="majorHAnsi" w:hAnsiTheme="majorHAnsi"/>
        </w:rPr>
        <w:t xml:space="preserve"> majetku nakúpeného </w:t>
      </w:r>
      <w:r w:rsidR="000506EA" w:rsidRPr="0036635F">
        <w:rPr>
          <w:rFonts w:asciiTheme="majorHAnsi" w:hAnsiTheme="majorHAnsi"/>
        </w:rPr>
        <w:t xml:space="preserve">v </w:t>
      </w:r>
      <w:r w:rsidR="00E47223" w:rsidRPr="0036635F">
        <w:rPr>
          <w:rFonts w:asciiTheme="majorHAnsi" w:hAnsiTheme="majorHAnsi"/>
        </w:rPr>
        <w:t>predchádzajúcich rokoch</w:t>
      </w:r>
      <w:r w:rsidR="002E2186" w:rsidRPr="0036635F">
        <w:rPr>
          <w:rFonts w:asciiTheme="majorHAnsi" w:hAnsiTheme="majorHAnsi"/>
        </w:rPr>
        <w:t xml:space="preserve">, ako aj odpismi novonadobudnutého majetku. Na tomto účte predpokladáme pokles oproti minulému roku o </w:t>
      </w:r>
      <w:r w:rsidR="00444A5E" w:rsidRPr="0036635F">
        <w:rPr>
          <w:rFonts w:asciiTheme="majorHAnsi" w:hAnsiTheme="majorHAnsi"/>
        </w:rPr>
        <w:t>465 454</w:t>
      </w:r>
      <w:r w:rsidR="002E2186" w:rsidRPr="0036635F">
        <w:rPr>
          <w:rFonts w:asciiTheme="majorHAnsi" w:hAnsiTheme="majorHAnsi"/>
        </w:rPr>
        <w:t xml:space="preserve"> €,</w:t>
      </w:r>
    </w:p>
    <w:p w:rsidR="00387B80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iné ostatné náklady vo výške  </w:t>
      </w:r>
      <w:r w:rsidR="00444A5E" w:rsidRPr="0036635F">
        <w:rPr>
          <w:rFonts w:asciiTheme="majorHAnsi" w:hAnsiTheme="majorHAnsi"/>
        </w:rPr>
        <w:t>5 710 359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 € - podiel </w:t>
      </w:r>
      <w:r w:rsidR="00444A5E" w:rsidRPr="0036635F">
        <w:rPr>
          <w:rFonts w:asciiTheme="majorHAnsi" w:hAnsiTheme="majorHAnsi"/>
        </w:rPr>
        <w:t>5,67</w:t>
      </w:r>
      <w:r w:rsidRPr="0036635F">
        <w:rPr>
          <w:rFonts w:asciiTheme="majorHAnsi" w:hAnsiTheme="majorHAnsi"/>
        </w:rPr>
        <w:t xml:space="preserve">%,  tvoria </w:t>
      </w:r>
      <w:r w:rsidR="002F725F" w:rsidRPr="0036635F">
        <w:rPr>
          <w:rFonts w:asciiTheme="majorHAnsi" w:hAnsiTheme="majorHAnsi"/>
        </w:rPr>
        <w:t xml:space="preserve">ich </w:t>
      </w:r>
      <w:r w:rsidRPr="0036635F">
        <w:rPr>
          <w:rFonts w:asciiTheme="majorHAnsi" w:hAnsiTheme="majorHAnsi"/>
        </w:rPr>
        <w:t>náklady na štipendiá doktorandov</w:t>
      </w:r>
      <w:r w:rsidR="002E2186" w:rsidRPr="0036635F">
        <w:rPr>
          <w:rFonts w:asciiTheme="majorHAnsi" w:hAnsiTheme="majorHAnsi"/>
        </w:rPr>
        <w:t xml:space="preserve"> a zahraničných študentov</w:t>
      </w:r>
      <w:r w:rsidR="00C55B37" w:rsidRPr="0036635F">
        <w:rPr>
          <w:rFonts w:asciiTheme="majorHAnsi" w:hAnsiTheme="majorHAnsi"/>
        </w:rPr>
        <w:t>,</w:t>
      </w:r>
      <w:r w:rsidR="00B97E10" w:rsidRPr="0036635F">
        <w:rPr>
          <w:rFonts w:asciiTheme="majorHAnsi" w:hAnsiTheme="majorHAnsi"/>
        </w:rPr>
        <w:t xml:space="preserve"> náklady na mobilitu študentov, poistné</w:t>
      </w:r>
      <w:r w:rsidR="002F725F" w:rsidRPr="0036635F">
        <w:rPr>
          <w:rFonts w:asciiTheme="majorHAnsi" w:hAnsiTheme="majorHAnsi"/>
        </w:rPr>
        <w:t xml:space="preserve">, patentové prihlášky  </w:t>
      </w:r>
      <w:r w:rsidR="00B97E10" w:rsidRPr="0036635F">
        <w:rPr>
          <w:rFonts w:asciiTheme="majorHAnsi" w:hAnsiTheme="majorHAnsi"/>
        </w:rPr>
        <w:t xml:space="preserve"> a pod.,</w:t>
      </w:r>
    </w:p>
    <w:p w:rsidR="00387B80" w:rsidRPr="0036635F" w:rsidRDefault="00387B80" w:rsidP="00387B80">
      <w:pPr>
        <w:numPr>
          <w:ilvl w:val="0"/>
          <w:numId w:val="48"/>
        </w:numPr>
        <w:tabs>
          <w:tab w:val="clear" w:pos="720"/>
          <w:tab w:val="num" w:pos="360"/>
        </w:tabs>
        <w:ind w:left="340" w:hanging="340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náklady na energie vo výške </w:t>
      </w:r>
      <w:r w:rsidR="00484B24" w:rsidRPr="0036635F">
        <w:rPr>
          <w:rFonts w:asciiTheme="majorHAnsi" w:hAnsiTheme="majorHAnsi"/>
        </w:rPr>
        <w:t>5 628 475</w:t>
      </w:r>
      <w:r w:rsidR="00D73C48" w:rsidRPr="0036635F">
        <w:rPr>
          <w:rFonts w:asciiTheme="majorHAnsi" w:hAnsiTheme="majorHAnsi"/>
        </w:rPr>
        <w:t> </w:t>
      </w:r>
      <w:r w:rsidRPr="0036635F">
        <w:rPr>
          <w:rFonts w:asciiTheme="majorHAnsi" w:hAnsiTheme="majorHAnsi"/>
        </w:rPr>
        <w:t xml:space="preserve">€   - podiel </w:t>
      </w:r>
      <w:r w:rsidR="00484B24" w:rsidRPr="0036635F">
        <w:rPr>
          <w:rFonts w:asciiTheme="majorHAnsi" w:hAnsiTheme="majorHAnsi"/>
        </w:rPr>
        <w:t>5,59</w:t>
      </w:r>
      <w:r w:rsidRPr="0036635F">
        <w:rPr>
          <w:rFonts w:asciiTheme="majorHAnsi" w:hAnsiTheme="majorHAnsi"/>
        </w:rPr>
        <w:t>%</w:t>
      </w:r>
      <w:r w:rsidR="00C55B37" w:rsidRPr="0036635F">
        <w:rPr>
          <w:rFonts w:asciiTheme="majorHAnsi" w:hAnsiTheme="majorHAnsi"/>
        </w:rPr>
        <w:t xml:space="preserve">. Nárast spotreby energie oproti minulému roku o </w:t>
      </w:r>
      <w:r w:rsidR="00484B24" w:rsidRPr="0036635F">
        <w:rPr>
          <w:rFonts w:asciiTheme="majorHAnsi" w:hAnsiTheme="majorHAnsi"/>
        </w:rPr>
        <w:t>135 383</w:t>
      </w:r>
      <w:r w:rsidR="00D73C48" w:rsidRPr="0036635F">
        <w:rPr>
          <w:rFonts w:asciiTheme="majorHAnsi" w:hAnsiTheme="majorHAnsi"/>
        </w:rPr>
        <w:t> </w:t>
      </w:r>
      <w:r w:rsidR="00C55B37" w:rsidRPr="0036635F">
        <w:rPr>
          <w:rFonts w:asciiTheme="majorHAnsi" w:hAnsiTheme="majorHAnsi"/>
        </w:rPr>
        <w:t xml:space="preserve">€ súvisí s využívaním </w:t>
      </w:r>
      <w:r w:rsidR="008C67F6" w:rsidRPr="0036635F">
        <w:rPr>
          <w:rFonts w:asciiTheme="majorHAnsi" w:hAnsiTheme="majorHAnsi"/>
        </w:rPr>
        <w:t>nových budov v rámci projektu CAMBO na MTF, vyu</w:t>
      </w:r>
      <w:r w:rsidR="000C19F3" w:rsidRPr="0036635F">
        <w:rPr>
          <w:rFonts w:asciiTheme="majorHAnsi" w:hAnsiTheme="majorHAnsi"/>
        </w:rPr>
        <w:t>ž</w:t>
      </w:r>
      <w:r w:rsidR="008C67F6" w:rsidRPr="0036635F">
        <w:rPr>
          <w:rFonts w:asciiTheme="majorHAnsi" w:hAnsiTheme="majorHAnsi"/>
        </w:rPr>
        <w:t xml:space="preserve">ívaním </w:t>
      </w:r>
      <w:r w:rsidR="00C55B37" w:rsidRPr="0036635F">
        <w:rPr>
          <w:rFonts w:asciiTheme="majorHAnsi" w:hAnsiTheme="majorHAnsi"/>
        </w:rPr>
        <w:t>moderných, avšak energeticky náročných prístrojov a zariadení, ktoré boli nakúpené v rámci STU z projektov financovaných zo ŠF</w:t>
      </w:r>
      <w:r w:rsidR="00AF51C6" w:rsidRPr="0036635F">
        <w:rPr>
          <w:rFonts w:asciiTheme="majorHAnsi" w:hAnsiTheme="majorHAnsi"/>
        </w:rPr>
        <w:t>, s únikom vody v Gabčíkove.</w:t>
      </w:r>
    </w:p>
    <w:p w:rsidR="008C67F6" w:rsidRPr="0036635F" w:rsidRDefault="00387B80" w:rsidP="002F725F">
      <w:pPr>
        <w:pStyle w:val="Odsekzoznamu"/>
        <w:numPr>
          <w:ilvl w:val="0"/>
          <w:numId w:val="48"/>
        </w:numPr>
        <w:tabs>
          <w:tab w:val="clear" w:pos="720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>náklady na rôzne služby – v</w:t>
      </w:r>
      <w:r w:rsidR="00D73C48" w:rsidRPr="0036635F">
        <w:rPr>
          <w:rFonts w:asciiTheme="majorHAnsi" w:hAnsiTheme="majorHAnsi"/>
          <w:sz w:val="24"/>
          <w:szCs w:val="24"/>
        </w:rPr>
        <w:t xml:space="preserve">ýkony spojov (telekomunikácie, </w:t>
      </w:r>
      <w:r w:rsidRPr="0036635F">
        <w:rPr>
          <w:rFonts w:asciiTheme="majorHAnsi" w:hAnsiTheme="majorHAnsi"/>
          <w:sz w:val="24"/>
          <w:szCs w:val="24"/>
        </w:rPr>
        <w:t>poštovné), odvoz odpadov, vl</w:t>
      </w:r>
      <w:r w:rsidR="00D73C48" w:rsidRPr="0036635F">
        <w:rPr>
          <w:rFonts w:asciiTheme="majorHAnsi" w:hAnsiTheme="majorHAnsi"/>
          <w:sz w:val="24"/>
          <w:szCs w:val="24"/>
        </w:rPr>
        <w:t xml:space="preserve">ožné na konferencie, inzercia, </w:t>
      </w:r>
      <w:r w:rsidRPr="0036635F">
        <w:rPr>
          <w:rFonts w:asciiTheme="majorHAnsi" w:hAnsiTheme="majorHAnsi"/>
          <w:sz w:val="24"/>
          <w:szCs w:val="24"/>
        </w:rPr>
        <w:t xml:space="preserve">atď. vo výške </w:t>
      </w:r>
      <w:r w:rsidR="00484B24" w:rsidRPr="0036635F">
        <w:rPr>
          <w:rFonts w:asciiTheme="majorHAnsi" w:hAnsiTheme="majorHAnsi"/>
          <w:sz w:val="24"/>
          <w:szCs w:val="24"/>
        </w:rPr>
        <w:t>5 789 519</w:t>
      </w:r>
      <w:r w:rsidR="00D73C48" w:rsidRPr="0036635F">
        <w:rPr>
          <w:rFonts w:asciiTheme="majorHAnsi" w:hAnsiTheme="majorHAnsi"/>
          <w:sz w:val="24"/>
          <w:szCs w:val="24"/>
        </w:rPr>
        <w:t> </w:t>
      </w:r>
      <w:r w:rsidRPr="0036635F">
        <w:rPr>
          <w:rFonts w:asciiTheme="majorHAnsi" w:hAnsiTheme="majorHAnsi"/>
          <w:sz w:val="24"/>
          <w:szCs w:val="24"/>
        </w:rPr>
        <w:t xml:space="preserve">€ – podiel </w:t>
      </w:r>
      <w:r w:rsidR="00484B24" w:rsidRPr="0036635F">
        <w:rPr>
          <w:rFonts w:asciiTheme="majorHAnsi" w:hAnsiTheme="majorHAnsi"/>
          <w:sz w:val="24"/>
          <w:szCs w:val="24"/>
        </w:rPr>
        <w:t>5,74</w:t>
      </w:r>
      <w:r w:rsidRPr="0036635F">
        <w:rPr>
          <w:rFonts w:asciiTheme="majorHAnsi" w:hAnsiTheme="majorHAnsi"/>
          <w:sz w:val="24"/>
          <w:szCs w:val="24"/>
        </w:rPr>
        <w:t xml:space="preserve"> %</w:t>
      </w:r>
      <w:r w:rsidR="008C67F6" w:rsidRPr="0036635F">
        <w:rPr>
          <w:rFonts w:asciiTheme="majorHAnsi" w:hAnsiTheme="majorHAnsi" w:cs="Arial"/>
          <w:sz w:val="24"/>
          <w:szCs w:val="24"/>
        </w:rPr>
        <w:t xml:space="preserve"> . Nárast oproti minulému roku zohľadňuje zvýšenú potrebu finančných prostriedkov na  </w:t>
      </w:r>
      <w:r w:rsidR="00484B24" w:rsidRPr="0036635F">
        <w:rPr>
          <w:rFonts w:asciiTheme="majorHAnsi" w:hAnsiTheme="majorHAnsi" w:cs="Arial"/>
          <w:sz w:val="24"/>
          <w:szCs w:val="24"/>
        </w:rPr>
        <w:t>predaj UZ Gabčíkovo externou realitnou kanceláriou</w:t>
      </w:r>
      <w:r w:rsidR="008C67F6" w:rsidRPr="0036635F">
        <w:rPr>
          <w:rFonts w:asciiTheme="majorHAnsi" w:hAnsiTheme="majorHAnsi" w:cs="Arial"/>
          <w:sz w:val="24"/>
          <w:szCs w:val="24"/>
        </w:rPr>
        <w:t xml:space="preserve">,  financovaním univerzitných </w:t>
      </w:r>
      <w:r w:rsidR="00484B24" w:rsidRPr="0036635F">
        <w:rPr>
          <w:rFonts w:asciiTheme="majorHAnsi" w:hAnsiTheme="majorHAnsi" w:cs="Arial"/>
          <w:sz w:val="24"/>
          <w:szCs w:val="24"/>
        </w:rPr>
        <w:t xml:space="preserve">informačných </w:t>
      </w:r>
      <w:r w:rsidR="008C67F6" w:rsidRPr="0036635F">
        <w:rPr>
          <w:rFonts w:asciiTheme="majorHAnsi" w:hAnsiTheme="majorHAnsi" w:cs="Arial"/>
          <w:sz w:val="24"/>
          <w:szCs w:val="24"/>
        </w:rPr>
        <w:t xml:space="preserve">systémov, na ktoré bola vyčlenená dotácia,   tlačiarenské služby a vydávanie študijnej literatúry, služby spojené s prípravou projektu ACCORD, s riešením zahraničných  projektov na </w:t>
      </w:r>
      <w:r w:rsidR="00484B24" w:rsidRPr="0036635F">
        <w:rPr>
          <w:rFonts w:asciiTheme="majorHAnsi" w:hAnsiTheme="majorHAnsi" w:cs="Arial"/>
          <w:sz w:val="24"/>
          <w:szCs w:val="24"/>
        </w:rPr>
        <w:t>STU</w:t>
      </w:r>
      <w:r w:rsidR="008C67F6" w:rsidRPr="0036635F">
        <w:rPr>
          <w:rFonts w:asciiTheme="majorHAnsi" w:hAnsiTheme="majorHAnsi" w:cs="Arial"/>
          <w:sz w:val="24"/>
          <w:szCs w:val="24"/>
        </w:rPr>
        <w:t xml:space="preserve"> a iné náklady  súvisiace s bežnou prevádzkou STU. </w:t>
      </w:r>
    </w:p>
    <w:p w:rsidR="002F725F" w:rsidRPr="0036635F" w:rsidRDefault="00230A73" w:rsidP="002F725F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>nezanedbateľnú položku tvoria opravy a udržiavanie majetku STU, na ktoré v roku 201</w:t>
      </w:r>
      <w:r w:rsidR="005306C2" w:rsidRPr="0036635F">
        <w:rPr>
          <w:rFonts w:asciiTheme="majorHAnsi" w:hAnsiTheme="majorHAnsi"/>
          <w:sz w:val="24"/>
          <w:szCs w:val="24"/>
        </w:rPr>
        <w:t>8</w:t>
      </w:r>
      <w:r w:rsidRPr="0036635F">
        <w:rPr>
          <w:rFonts w:asciiTheme="majorHAnsi" w:hAnsiTheme="majorHAnsi"/>
          <w:sz w:val="24"/>
          <w:szCs w:val="24"/>
        </w:rPr>
        <w:t xml:space="preserve"> predpokladáme vynaložiť </w:t>
      </w:r>
      <w:r w:rsidR="008C67F6" w:rsidRPr="0036635F">
        <w:rPr>
          <w:rFonts w:asciiTheme="majorHAnsi" w:hAnsiTheme="majorHAnsi"/>
          <w:sz w:val="24"/>
          <w:szCs w:val="24"/>
        </w:rPr>
        <w:t xml:space="preserve"> </w:t>
      </w:r>
      <w:r w:rsidR="00484B24" w:rsidRPr="0036635F">
        <w:rPr>
          <w:rFonts w:asciiTheme="majorHAnsi" w:hAnsiTheme="majorHAnsi"/>
          <w:sz w:val="24"/>
          <w:szCs w:val="24"/>
        </w:rPr>
        <w:t>4 144 793</w:t>
      </w:r>
      <w:r w:rsidRPr="0036635F">
        <w:rPr>
          <w:rFonts w:asciiTheme="majorHAnsi" w:hAnsiTheme="majorHAnsi"/>
          <w:sz w:val="24"/>
          <w:szCs w:val="24"/>
        </w:rPr>
        <w:t xml:space="preserve">€. Výška nákladov je ovplyvnená snahou STU </w:t>
      </w:r>
      <w:r w:rsidR="00C55B37" w:rsidRPr="0036635F">
        <w:rPr>
          <w:rFonts w:asciiTheme="majorHAnsi" w:hAnsiTheme="majorHAnsi"/>
          <w:sz w:val="24"/>
          <w:szCs w:val="24"/>
        </w:rPr>
        <w:t xml:space="preserve">odstrániť havarijný stav budov a </w:t>
      </w:r>
      <w:r w:rsidR="008C67F6" w:rsidRPr="0036635F">
        <w:rPr>
          <w:rFonts w:asciiTheme="majorHAnsi" w:hAnsiTheme="majorHAnsi"/>
          <w:sz w:val="24"/>
          <w:szCs w:val="24"/>
        </w:rPr>
        <w:t>vnútorných priestorov STU, ako aj údržbou celouniverzitného informačného systému STU</w:t>
      </w:r>
      <w:r w:rsidR="002F725F" w:rsidRPr="0036635F">
        <w:rPr>
          <w:rFonts w:asciiTheme="majorHAnsi" w:hAnsiTheme="majorHAnsi"/>
          <w:sz w:val="24"/>
          <w:szCs w:val="24"/>
        </w:rPr>
        <w:t xml:space="preserve"> (</w:t>
      </w:r>
      <w:r w:rsidR="00AF51C6" w:rsidRPr="0036635F">
        <w:rPr>
          <w:rFonts w:asciiTheme="majorHAnsi" w:hAnsiTheme="majorHAnsi"/>
          <w:sz w:val="24"/>
          <w:szCs w:val="24"/>
        </w:rPr>
        <w:t xml:space="preserve">oprava telocvične a športovísk na MTF,oprava vodoinštalácie v novej budove na FCHPT, výmena umelého trávnika na CAŠ, ako aj plánované opravy internátov tak na MTF ako aj na ŠDaJ a realizácia </w:t>
      </w:r>
      <w:r w:rsidR="002F725F" w:rsidRPr="0036635F">
        <w:rPr>
          <w:rFonts w:asciiTheme="majorHAnsi" w:hAnsiTheme="majorHAnsi" w:cs="Arial"/>
          <w:sz w:val="24"/>
          <w:szCs w:val="24"/>
        </w:rPr>
        <w:t>bežn</w:t>
      </w:r>
      <w:r w:rsidR="00AF51C6" w:rsidRPr="0036635F">
        <w:rPr>
          <w:rFonts w:asciiTheme="majorHAnsi" w:hAnsiTheme="majorHAnsi" w:cs="Arial"/>
          <w:sz w:val="24"/>
          <w:szCs w:val="24"/>
        </w:rPr>
        <w:t>ých</w:t>
      </w:r>
      <w:r w:rsidR="002F725F" w:rsidRPr="0036635F">
        <w:rPr>
          <w:rFonts w:asciiTheme="majorHAnsi" w:hAnsiTheme="majorHAnsi" w:cs="Arial"/>
          <w:sz w:val="24"/>
          <w:szCs w:val="24"/>
        </w:rPr>
        <w:t xml:space="preserve"> opr</w:t>
      </w:r>
      <w:r w:rsidR="00AF51C6" w:rsidRPr="0036635F">
        <w:rPr>
          <w:rFonts w:asciiTheme="majorHAnsi" w:hAnsiTheme="majorHAnsi" w:cs="Arial"/>
          <w:sz w:val="24"/>
          <w:szCs w:val="24"/>
        </w:rPr>
        <w:t>áv</w:t>
      </w:r>
      <w:r w:rsidR="002F725F" w:rsidRPr="0036635F">
        <w:rPr>
          <w:rFonts w:asciiTheme="majorHAnsi" w:hAnsiTheme="majorHAnsi" w:cs="Arial"/>
          <w:sz w:val="24"/>
          <w:szCs w:val="24"/>
        </w:rPr>
        <w:t xml:space="preserve"> a údržb</w:t>
      </w:r>
      <w:r w:rsidR="00AF51C6" w:rsidRPr="0036635F">
        <w:rPr>
          <w:rFonts w:asciiTheme="majorHAnsi" w:hAnsiTheme="majorHAnsi" w:cs="Arial"/>
          <w:sz w:val="24"/>
          <w:szCs w:val="24"/>
        </w:rPr>
        <w:t>y</w:t>
      </w:r>
      <w:r w:rsidR="002F725F" w:rsidRPr="0036635F">
        <w:rPr>
          <w:rFonts w:asciiTheme="majorHAnsi" w:hAnsiTheme="majorHAnsi" w:cs="Arial"/>
          <w:sz w:val="24"/>
          <w:szCs w:val="24"/>
        </w:rPr>
        <w:t xml:space="preserve"> priestorov jednotlivých súčastí STU).</w:t>
      </w:r>
    </w:p>
    <w:p w:rsidR="001A5FED" w:rsidRPr="0036635F" w:rsidRDefault="001A5FED" w:rsidP="002F725F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36635F">
        <w:rPr>
          <w:rFonts w:asciiTheme="majorHAnsi" w:hAnsiTheme="majorHAnsi" w:cs="Arial"/>
          <w:sz w:val="24"/>
          <w:szCs w:val="24"/>
        </w:rPr>
        <w:t>Zvýšené cestovné oproti minulému roku o</w:t>
      </w:r>
      <w:r w:rsidR="00484B24" w:rsidRPr="0036635F">
        <w:rPr>
          <w:rFonts w:asciiTheme="majorHAnsi" w:hAnsiTheme="majorHAnsi" w:cs="Arial"/>
          <w:sz w:val="24"/>
          <w:szCs w:val="24"/>
        </w:rPr>
        <w:t> 228 331</w:t>
      </w:r>
      <w:r w:rsidRPr="0036635F">
        <w:rPr>
          <w:rFonts w:asciiTheme="majorHAnsi" w:hAnsiTheme="majorHAnsi" w:cs="Arial"/>
          <w:sz w:val="24"/>
          <w:szCs w:val="24"/>
        </w:rPr>
        <w:t>€ súvisí s realizovaním zahraničných pracovných ciest  v rámci riešenia zahraničných projektov a projektov APVV, VEGA, KEGA a projektov financovaných  mimo dotácie z MŠVVaŠ SR.</w:t>
      </w:r>
    </w:p>
    <w:p w:rsidR="00AF51C6" w:rsidRPr="0036635F" w:rsidRDefault="00AF51C6" w:rsidP="002F725F">
      <w:pPr>
        <w:pStyle w:val="Odsekzoznamu"/>
        <w:numPr>
          <w:ilvl w:val="0"/>
          <w:numId w:val="48"/>
        </w:numPr>
        <w:tabs>
          <w:tab w:val="clear" w:pos="720"/>
          <w:tab w:val="num" w:pos="-993"/>
        </w:tabs>
        <w:ind w:left="284" w:hanging="284"/>
        <w:jc w:val="both"/>
        <w:rPr>
          <w:rFonts w:asciiTheme="majorHAnsi" w:hAnsiTheme="majorHAnsi" w:cs="Arial"/>
          <w:sz w:val="24"/>
          <w:szCs w:val="24"/>
        </w:rPr>
      </w:pPr>
      <w:r w:rsidRPr="0036635F">
        <w:rPr>
          <w:rFonts w:asciiTheme="majorHAnsi" w:hAnsiTheme="majorHAnsi" w:cs="Arial"/>
          <w:sz w:val="24"/>
          <w:szCs w:val="24"/>
        </w:rPr>
        <w:t>Nárast nákladov na spotrebu materiálu súvisí s plnením opatrení v nadväznosti na prebiehajúcu analýzu dodržiavania zákona o odpadoch v podmienkach MTF, nákupom materiálu na realizáciu projektov prebiehajúcich na jednotlivých fakultách.</w:t>
      </w:r>
    </w:p>
    <w:p w:rsidR="00387B80" w:rsidRPr="0036635F" w:rsidRDefault="00387B80" w:rsidP="002F725F">
      <w:pPr>
        <w:tabs>
          <w:tab w:val="num" w:pos="360"/>
        </w:tabs>
        <w:jc w:val="both"/>
        <w:rPr>
          <w:rFonts w:asciiTheme="majorHAnsi" w:hAnsiTheme="majorHAnsi"/>
          <w:b/>
          <w:bCs/>
          <w:u w:val="single"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  <w:b/>
          <w:bCs/>
          <w:u w:val="single"/>
        </w:rPr>
        <w:t>Celkové výnosy</w:t>
      </w:r>
      <w:r w:rsidR="002F725F" w:rsidRPr="0036635F">
        <w:rPr>
          <w:rFonts w:asciiTheme="majorHAnsi" w:hAnsiTheme="majorHAnsi"/>
        </w:rPr>
        <w:t xml:space="preserve"> </w:t>
      </w:r>
      <w:r w:rsidR="002C03BC" w:rsidRPr="0036635F">
        <w:rPr>
          <w:rFonts w:asciiTheme="majorHAnsi" w:hAnsiTheme="majorHAnsi"/>
        </w:rPr>
        <w:t>sú plánované vo výške</w:t>
      </w:r>
      <w:r w:rsidRPr="0036635F">
        <w:rPr>
          <w:rFonts w:asciiTheme="majorHAnsi" w:hAnsiTheme="majorHAnsi"/>
        </w:rPr>
        <w:t xml:space="preserve"> 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>101 359 734</w:t>
      </w:r>
      <w:r w:rsidRPr="0036635F">
        <w:rPr>
          <w:rFonts w:asciiTheme="majorHAnsi" w:hAnsiTheme="majorHAnsi"/>
          <w:u w:val="single"/>
        </w:rPr>
        <w:t>€</w:t>
      </w:r>
      <w:r w:rsidRPr="0036635F">
        <w:rPr>
          <w:rFonts w:asciiTheme="majorHAnsi" w:hAnsiTheme="majorHAnsi"/>
        </w:rPr>
        <w:t>. Výnosy z hlavnej činnosti tvoria</w:t>
      </w:r>
      <w:r w:rsidR="00F57A30" w:rsidRPr="0036635F">
        <w:rPr>
          <w:rFonts w:asciiTheme="majorHAnsi" w:hAnsiTheme="majorHAnsi"/>
        </w:rPr>
        <w:t xml:space="preserve">                  </w:t>
      </w:r>
      <w:r w:rsidRPr="0036635F">
        <w:rPr>
          <w:rFonts w:asciiTheme="majorHAnsi" w:hAnsiTheme="majorHAnsi"/>
        </w:rPr>
        <w:t xml:space="preserve"> 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93 413 544 </w:t>
      </w:r>
      <w:r w:rsidRPr="0036635F">
        <w:rPr>
          <w:rFonts w:asciiTheme="majorHAnsi" w:hAnsiTheme="majorHAnsi"/>
        </w:rPr>
        <w:t>€, výnosy z</w:t>
      </w:r>
      <w:r w:rsidR="002F725F" w:rsidRPr="0036635F">
        <w:rPr>
          <w:rFonts w:asciiTheme="majorHAnsi" w:hAnsiTheme="majorHAnsi"/>
        </w:rPr>
        <w:t>o</w:t>
      </w:r>
      <w:r w:rsidRPr="0036635F">
        <w:rPr>
          <w:rFonts w:asciiTheme="majorHAnsi" w:hAnsiTheme="majorHAnsi"/>
        </w:rPr>
        <w:t> </w:t>
      </w:r>
      <w:r w:rsidR="002F725F" w:rsidRPr="0036635F">
        <w:rPr>
          <w:rFonts w:asciiTheme="majorHAnsi" w:hAnsiTheme="majorHAnsi"/>
        </w:rPr>
        <w:t xml:space="preserve">zdaňovanej </w:t>
      </w:r>
      <w:r w:rsidRPr="0036635F">
        <w:rPr>
          <w:rFonts w:asciiTheme="majorHAnsi" w:hAnsiTheme="majorHAnsi"/>
        </w:rPr>
        <w:t xml:space="preserve">činnosti 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 xml:space="preserve">7 946 190 </w:t>
      </w:r>
      <w:r w:rsidRPr="0036635F">
        <w:rPr>
          <w:rFonts w:asciiTheme="majorHAnsi" w:hAnsiTheme="majorHAnsi"/>
        </w:rPr>
        <w:t xml:space="preserve">€. 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F57A30" w:rsidRPr="0036635F" w:rsidRDefault="00387B80" w:rsidP="00F57A30">
      <w:pPr>
        <w:jc w:val="both"/>
        <w:rPr>
          <w:rFonts w:asciiTheme="majorHAnsi" w:eastAsia="Times New Roman" w:hAnsiTheme="majorHAnsi" w:cs="Arial"/>
          <w:bCs/>
          <w:color w:val="000000"/>
          <w:lang w:val="sk-SK" w:eastAsia="sk-SK"/>
        </w:rPr>
      </w:pPr>
      <w:r w:rsidRPr="0036635F">
        <w:rPr>
          <w:rFonts w:asciiTheme="majorHAnsi" w:hAnsiTheme="majorHAnsi"/>
        </w:rPr>
        <w:t xml:space="preserve">Najväčšiu časť tvoria výnosy z dotácie vo výške </w:t>
      </w:r>
      <w:r w:rsidR="00F57A30" w:rsidRPr="0036635F">
        <w:rPr>
          <w:rFonts w:asciiTheme="majorHAnsi" w:eastAsia="Times New Roman" w:hAnsiTheme="majorHAnsi" w:cs="Arial"/>
          <w:color w:val="000000"/>
          <w:lang w:val="sk-SK" w:eastAsia="sk-SK"/>
        </w:rPr>
        <w:t xml:space="preserve">83 176 112 € </w:t>
      </w:r>
      <w:r w:rsidRPr="0036635F">
        <w:rPr>
          <w:rFonts w:asciiTheme="majorHAnsi" w:hAnsiTheme="majorHAnsi"/>
        </w:rPr>
        <w:t xml:space="preserve">t.j. </w:t>
      </w:r>
      <w:r w:rsidR="002F725F" w:rsidRPr="0036635F">
        <w:rPr>
          <w:rFonts w:asciiTheme="majorHAnsi" w:hAnsiTheme="majorHAnsi"/>
        </w:rPr>
        <w:t>82,</w:t>
      </w:r>
      <w:r w:rsidR="00F57A30" w:rsidRPr="0036635F">
        <w:rPr>
          <w:rFonts w:asciiTheme="majorHAnsi" w:hAnsiTheme="majorHAnsi"/>
        </w:rPr>
        <w:t>06</w:t>
      </w:r>
      <w:r w:rsidRPr="0036635F">
        <w:rPr>
          <w:rFonts w:asciiTheme="majorHAnsi" w:hAnsiTheme="majorHAnsi"/>
        </w:rPr>
        <w:t xml:space="preserve"> %, zostávajúcu časť výnosov </w:t>
      </w:r>
      <w:r w:rsidR="00970C7C" w:rsidRPr="0036635F">
        <w:rPr>
          <w:rFonts w:asciiTheme="majorHAnsi" w:hAnsiTheme="majorHAnsi"/>
        </w:rPr>
        <w:t xml:space="preserve">na hlavnej činnosti </w:t>
      </w:r>
      <w:r w:rsidR="002F725F" w:rsidRPr="0036635F">
        <w:rPr>
          <w:rFonts w:asciiTheme="majorHAnsi" w:hAnsiTheme="majorHAnsi"/>
        </w:rPr>
        <w:t>10</w:t>
      </w:r>
      <w:r w:rsidR="00F57A30" w:rsidRPr="0036635F">
        <w:rPr>
          <w:rFonts w:asciiTheme="majorHAnsi" w:hAnsiTheme="majorHAnsi"/>
        </w:rPr>
        <w:t> 237 432</w:t>
      </w:r>
      <w:r w:rsidR="00CB714E" w:rsidRPr="0036635F">
        <w:rPr>
          <w:rFonts w:asciiTheme="majorHAnsi" w:hAnsiTheme="majorHAnsi"/>
        </w:rPr>
        <w:t> </w:t>
      </w:r>
      <w:r w:rsidR="00F57A30" w:rsidRPr="0036635F">
        <w:rPr>
          <w:rFonts w:asciiTheme="majorHAnsi" w:hAnsiTheme="majorHAnsi"/>
        </w:rPr>
        <w:t xml:space="preserve">€ </w:t>
      </w:r>
      <w:r w:rsidRPr="0036635F">
        <w:rPr>
          <w:rFonts w:asciiTheme="majorHAnsi" w:hAnsiTheme="majorHAnsi"/>
        </w:rPr>
        <w:t xml:space="preserve">tvoria </w:t>
      </w:r>
      <w:r w:rsidR="002F725F" w:rsidRPr="0036635F">
        <w:rPr>
          <w:rFonts w:asciiTheme="majorHAnsi" w:hAnsiTheme="majorHAnsi"/>
        </w:rPr>
        <w:t xml:space="preserve">výnosy zo zahraničných projektov a </w:t>
      </w:r>
      <w:r w:rsidRPr="0036635F">
        <w:rPr>
          <w:rFonts w:asciiTheme="majorHAnsi" w:hAnsiTheme="majorHAnsi"/>
        </w:rPr>
        <w:t xml:space="preserve">vlastné </w:t>
      </w:r>
      <w:r w:rsidRPr="0036635F">
        <w:rPr>
          <w:rFonts w:asciiTheme="majorHAnsi" w:hAnsiTheme="majorHAnsi"/>
        </w:rPr>
        <w:lastRenderedPageBreak/>
        <w:t>výnosy</w:t>
      </w:r>
      <w:r w:rsidR="008236E3">
        <w:rPr>
          <w:rFonts w:asciiTheme="majorHAnsi" w:hAnsiTheme="majorHAnsi"/>
        </w:rPr>
        <w:t>, predovšetkým školné</w:t>
      </w:r>
      <w:r w:rsidR="002C03BC" w:rsidRPr="0036635F">
        <w:rPr>
          <w:rFonts w:asciiTheme="majorHAnsi" w:hAnsiTheme="majorHAnsi"/>
        </w:rPr>
        <w:t>.</w:t>
      </w:r>
      <w:r w:rsidRPr="0036635F">
        <w:rPr>
          <w:rFonts w:asciiTheme="majorHAnsi" w:hAnsiTheme="majorHAnsi"/>
        </w:rPr>
        <w:t xml:space="preserve"> </w:t>
      </w:r>
      <w:r w:rsidR="002C03BC" w:rsidRPr="0036635F">
        <w:rPr>
          <w:rFonts w:asciiTheme="majorHAnsi" w:hAnsiTheme="majorHAnsi"/>
        </w:rPr>
        <w:t>Výnosy z</w:t>
      </w:r>
      <w:r w:rsidR="002F725F" w:rsidRPr="0036635F">
        <w:rPr>
          <w:rFonts w:asciiTheme="majorHAnsi" w:hAnsiTheme="majorHAnsi"/>
        </w:rPr>
        <w:t>o</w:t>
      </w:r>
      <w:r w:rsidR="002C03BC" w:rsidRPr="0036635F">
        <w:rPr>
          <w:rFonts w:asciiTheme="majorHAnsi" w:hAnsiTheme="majorHAnsi"/>
        </w:rPr>
        <w:t xml:space="preserve"> </w:t>
      </w:r>
      <w:r w:rsidR="002F725F" w:rsidRPr="0036635F">
        <w:rPr>
          <w:rFonts w:asciiTheme="majorHAnsi" w:hAnsiTheme="majorHAnsi"/>
        </w:rPr>
        <w:t>zdaňovanej</w:t>
      </w:r>
      <w:r w:rsidR="002C03BC" w:rsidRPr="0036635F">
        <w:rPr>
          <w:rFonts w:asciiTheme="majorHAnsi" w:hAnsiTheme="majorHAnsi"/>
        </w:rPr>
        <w:t xml:space="preserve"> činno</w:t>
      </w:r>
      <w:bookmarkStart w:id="0" w:name="_GoBack"/>
      <w:bookmarkEnd w:id="0"/>
      <w:r w:rsidR="002C03BC" w:rsidRPr="0036635F">
        <w:rPr>
          <w:rFonts w:asciiTheme="majorHAnsi" w:hAnsiTheme="majorHAnsi"/>
        </w:rPr>
        <w:t>sti sú plánované vo výške</w:t>
      </w:r>
      <w:r w:rsidR="00F57A30" w:rsidRPr="0036635F">
        <w:rPr>
          <w:rFonts w:asciiTheme="majorHAnsi" w:hAnsiTheme="majorHAnsi"/>
        </w:rPr>
        <w:t xml:space="preserve">                               </w:t>
      </w:r>
      <w:r w:rsidR="002C03BC" w:rsidRPr="0036635F">
        <w:rPr>
          <w:rFonts w:asciiTheme="majorHAnsi" w:hAnsiTheme="majorHAnsi"/>
        </w:rPr>
        <w:t xml:space="preserve"> </w:t>
      </w:r>
      <w:r w:rsidR="00F57A30" w:rsidRPr="0036635F">
        <w:rPr>
          <w:rFonts w:asciiTheme="majorHAnsi" w:eastAsia="Times New Roman" w:hAnsiTheme="majorHAnsi" w:cs="Arial"/>
          <w:bCs/>
          <w:color w:val="000000"/>
          <w:lang w:val="sk-SK" w:eastAsia="sk-SK"/>
        </w:rPr>
        <w:t>7 946 190 €.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>Pri plánovaní výnosov z dotácie bolo uvažované nielen s dotáciou na bežné výdavky</w:t>
      </w:r>
      <w:r w:rsidR="002B5124" w:rsidRPr="0036635F">
        <w:rPr>
          <w:rFonts w:asciiTheme="majorHAnsi" w:hAnsiTheme="majorHAnsi"/>
        </w:rPr>
        <w:t xml:space="preserve"> z roku 201</w:t>
      </w:r>
      <w:r w:rsidR="00F57A30" w:rsidRPr="0036635F">
        <w:rPr>
          <w:rFonts w:asciiTheme="majorHAnsi" w:hAnsiTheme="majorHAnsi"/>
        </w:rPr>
        <w:t>8</w:t>
      </w:r>
      <w:r w:rsidRPr="0036635F">
        <w:rPr>
          <w:rFonts w:asciiTheme="majorHAnsi" w:hAnsiTheme="majorHAnsi"/>
        </w:rPr>
        <w:t>, ale aj s dotáciou, ktorá nebola minutá v predchádzajúcich obdobiach, s dotáciou v rámci realizovaných projektov</w:t>
      </w:r>
      <w:r w:rsidR="00CB714E" w:rsidRPr="0036635F">
        <w:rPr>
          <w:rFonts w:asciiTheme="majorHAnsi" w:hAnsiTheme="majorHAnsi"/>
        </w:rPr>
        <w:t xml:space="preserve"> </w:t>
      </w:r>
      <w:r w:rsidRPr="0036635F">
        <w:rPr>
          <w:rFonts w:asciiTheme="majorHAnsi" w:hAnsiTheme="majorHAnsi"/>
        </w:rPr>
        <w:t>a tiež pokrytie dotačných odpisov z kapitálovej dotácie získanej v predchádzajúcich obdobiach.</w:t>
      </w:r>
      <w:r w:rsidR="002B5124" w:rsidRPr="0036635F">
        <w:rPr>
          <w:rFonts w:asciiTheme="majorHAnsi" w:hAnsiTheme="majorHAnsi"/>
        </w:rPr>
        <w:t xml:space="preserve"> 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>Z hľadiska štruktúry vlastných výnosov a podielu na celkových výnosoch sú plánované:</w:t>
      </w:r>
    </w:p>
    <w:p w:rsidR="00387B80" w:rsidRPr="0036635F" w:rsidRDefault="00F57A30" w:rsidP="00F57A30">
      <w:pPr>
        <w:pStyle w:val="Odsekzoznamu"/>
        <w:numPr>
          <w:ilvl w:val="0"/>
          <w:numId w:val="48"/>
        </w:numPr>
        <w:tabs>
          <w:tab w:val="clear" w:pos="720"/>
          <w:tab w:val="num" w:pos="426"/>
        </w:tabs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     </w:t>
      </w:r>
      <w:r w:rsidR="00387B80" w:rsidRPr="0036635F">
        <w:rPr>
          <w:rFonts w:asciiTheme="majorHAnsi" w:hAnsiTheme="majorHAnsi"/>
          <w:sz w:val="24"/>
          <w:szCs w:val="24"/>
        </w:rPr>
        <w:t xml:space="preserve">výnosy z predaja služieb vo výške </w:t>
      </w:r>
      <w:r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9 713 533 </w:t>
      </w:r>
      <w:r w:rsidR="002B5124" w:rsidRPr="0036635F">
        <w:rPr>
          <w:rFonts w:asciiTheme="majorHAnsi" w:hAnsiTheme="majorHAnsi"/>
          <w:sz w:val="24"/>
          <w:szCs w:val="24"/>
        </w:rPr>
        <w:t>€</w:t>
      </w:r>
      <w:r w:rsidR="00387B80" w:rsidRPr="0036635F">
        <w:rPr>
          <w:rFonts w:asciiTheme="majorHAnsi" w:hAnsiTheme="majorHAnsi"/>
          <w:sz w:val="24"/>
          <w:szCs w:val="24"/>
        </w:rPr>
        <w:t xml:space="preserve">, t.j. </w:t>
      </w:r>
      <w:r w:rsidR="002B5124" w:rsidRPr="0036635F">
        <w:rPr>
          <w:rFonts w:asciiTheme="majorHAnsi" w:hAnsiTheme="majorHAnsi"/>
          <w:sz w:val="24"/>
          <w:szCs w:val="24"/>
        </w:rPr>
        <w:t>9,</w:t>
      </w:r>
      <w:r w:rsidRPr="0036635F">
        <w:rPr>
          <w:rFonts w:asciiTheme="majorHAnsi" w:hAnsiTheme="majorHAnsi"/>
          <w:sz w:val="24"/>
          <w:szCs w:val="24"/>
        </w:rPr>
        <w:t>58</w:t>
      </w:r>
      <w:r w:rsidR="00387B80" w:rsidRPr="0036635F">
        <w:rPr>
          <w:rFonts w:asciiTheme="majorHAnsi" w:hAnsiTheme="majorHAnsi"/>
          <w:sz w:val="24"/>
          <w:szCs w:val="24"/>
        </w:rPr>
        <w:t>% z celkového objemu</w:t>
      </w:r>
      <w:r w:rsidR="00CB714E" w:rsidRPr="0036635F">
        <w:rPr>
          <w:rFonts w:asciiTheme="majorHAnsi" w:hAnsiTheme="majorHAnsi"/>
          <w:sz w:val="24"/>
          <w:szCs w:val="24"/>
        </w:rPr>
        <w:t xml:space="preserve"> </w:t>
      </w:r>
      <w:r w:rsidR="00387B80" w:rsidRPr="0036635F">
        <w:rPr>
          <w:rFonts w:asciiTheme="majorHAnsi" w:hAnsiTheme="majorHAnsi"/>
          <w:sz w:val="24"/>
          <w:szCs w:val="24"/>
        </w:rPr>
        <w:t>výnosov</w:t>
      </w:r>
      <w:r w:rsidR="002F725F" w:rsidRPr="0036635F">
        <w:rPr>
          <w:rFonts w:asciiTheme="majorHAnsi" w:hAnsiTheme="majorHAnsi"/>
          <w:sz w:val="24"/>
          <w:szCs w:val="24"/>
        </w:rPr>
        <w:t xml:space="preserve"> (najväčší podiel </w:t>
      </w:r>
      <w:r w:rsidR="001A5FED" w:rsidRPr="0036635F">
        <w:rPr>
          <w:rFonts w:asciiTheme="majorHAnsi" w:hAnsiTheme="majorHAnsi"/>
          <w:sz w:val="24"/>
          <w:szCs w:val="24"/>
        </w:rPr>
        <w:t xml:space="preserve">na nezdaňovanej činnosti </w:t>
      </w:r>
      <w:r w:rsidR="002F725F" w:rsidRPr="0036635F">
        <w:rPr>
          <w:rFonts w:asciiTheme="majorHAnsi" w:hAnsiTheme="majorHAnsi"/>
          <w:sz w:val="24"/>
          <w:szCs w:val="24"/>
        </w:rPr>
        <w:t xml:space="preserve">majú výnosy za ubytovanie na  ŠDaJ </w:t>
      </w:r>
      <w:r w:rsidR="001A5FED" w:rsidRPr="0036635F">
        <w:rPr>
          <w:rFonts w:asciiTheme="majorHAnsi" w:hAnsiTheme="majorHAnsi"/>
          <w:sz w:val="24"/>
          <w:szCs w:val="24"/>
        </w:rPr>
        <w:t>)</w:t>
      </w:r>
    </w:p>
    <w:p w:rsidR="00387B80" w:rsidRPr="0036635F" w:rsidRDefault="00387B80" w:rsidP="00F57A30">
      <w:pPr>
        <w:pStyle w:val="Odsekzoznamu"/>
        <w:numPr>
          <w:ilvl w:val="0"/>
          <w:numId w:val="48"/>
        </w:numPr>
        <w:ind w:hanging="720"/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ostatné výnosy vo výške </w:t>
      </w:r>
      <w:r w:rsidR="00F57A30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4 059 464 </w:t>
      </w:r>
      <w:r w:rsidRPr="0036635F">
        <w:rPr>
          <w:rFonts w:asciiTheme="majorHAnsi" w:hAnsiTheme="majorHAnsi"/>
          <w:sz w:val="24"/>
          <w:szCs w:val="24"/>
        </w:rPr>
        <w:t xml:space="preserve">€, t.j. </w:t>
      </w:r>
      <w:r w:rsidR="00F57A30" w:rsidRPr="0036635F">
        <w:rPr>
          <w:rFonts w:asciiTheme="majorHAnsi" w:hAnsiTheme="majorHAnsi"/>
          <w:sz w:val="24"/>
          <w:szCs w:val="24"/>
        </w:rPr>
        <w:t>4</w:t>
      </w:r>
      <w:r w:rsidR="00CB714E" w:rsidRPr="0036635F">
        <w:rPr>
          <w:rFonts w:asciiTheme="majorHAnsi" w:hAnsiTheme="majorHAnsi"/>
          <w:sz w:val="24"/>
          <w:szCs w:val="24"/>
        </w:rPr>
        <w:t xml:space="preserve"> %, z celkového objemu </w:t>
      </w:r>
      <w:r w:rsidRPr="0036635F">
        <w:rPr>
          <w:rFonts w:asciiTheme="majorHAnsi" w:hAnsiTheme="majorHAnsi"/>
          <w:sz w:val="24"/>
          <w:szCs w:val="24"/>
        </w:rPr>
        <w:t>výnosov</w:t>
      </w:r>
      <w:r w:rsidR="0063738A" w:rsidRPr="0036635F">
        <w:rPr>
          <w:rFonts w:asciiTheme="majorHAnsi" w:hAnsiTheme="majorHAnsi"/>
          <w:sz w:val="24"/>
          <w:szCs w:val="24"/>
        </w:rPr>
        <w:t>. Významný podiel na tomto výnose má dotácia na zahraničné projekty</w:t>
      </w:r>
    </w:p>
    <w:p w:rsidR="00387B80" w:rsidRPr="0036635F" w:rsidRDefault="00387B80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výnosy z prenájmu majetku sú plánované vo výške </w:t>
      </w:r>
      <w:r w:rsidR="00A63CA6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1 507 960 </w:t>
      </w:r>
      <w:r w:rsidRPr="0036635F">
        <w:rPr>
          <w:rFonts w:asciiTheme="majorHAnsi" w:hAnsiTheme="majorHAnsi"/>
          <w:sz w:val="24"/>
          <w:szCs w:val="24"/>
        </w:rPr>
        <w:t>€, t.j. 1,</w:t>
      </w:r>
      <w:r w:rsidR="00A63CA6" w:rsidRPr="0036635F">
        <w:rPr>
          <w:rFonts w:asciiTheme="majorHAnsi" w:hAnsiTheme="majorHAnsi"/>
          <w:sz w:val="24"/>
          <w:szCs w:val="24"/>
        </w:rPr>
        <w:t>48</w:t>
      </w:r>
      <w:r w:rsidRPr="0036635F">
        <w:rPr>
          <w:rFonts w:asciiTheme="majorHAnsi" w:hAnsiTheme="majorHAnsi"/>
          <w:sz w:val="24"/>
          <w:szCs w:val="24"/>
        </w:rPr>
        <w:t>%, z</w:t>
      </w:r>
      <w:r w:rsidR="00CB714E" w:rsidRPr="0036635F">
        <w:rPr>
          <w:rFonts w:asciiTheme="majorHAnsi" w:hAnsiTheme="majorHAnsi"/>
          <w:sz w:val="24"/>
          <w:szCs w:val="24"/>
        </w:rPr>
        <w:t xml:space="preserve"> </w:t>
      </w:r>
      <w:r w:rsidRPr="0036635F">
        <w:rPr>
          <w:rFonts w:asciiTheme="majorHAnsi" w:hAnsiTheme="majorHAnsi"/>
          <w:sz w:val="24"/>
          <w:szCs w:val="24"/>
        </w:rPr>
        <w:t>celkového objemu výnosov</w:t>
      </w:r>
    </w:p>
    <w:p w:rsidR="00387B80" w:rsidRPr="0036635F" w:rsidRDefault="00387B80" w:rsidP="00A63CA6">
      <w:pPr>
        <w:pStyle w:val="Odsekzoznamu"/>
        <w:numPr>
          <w:ilvl w:val="0"/>
          <w:numId w:val="48"/>
        </w:numPr>
        <w:jc w:val="both"/>
        <w:rPr>
          <w:rFonts w:asciiTheme="majorHAnsi" w:hAnsiTheme="majorHAnsi"/>
          <w:sz w:val="24"/>
          <w:szCs w:val="24"/>
        </w:rPr>
      </w:pPr>
      <w:r w:rsidRPr="0036635F">
        <w:rPr>
          <w:rFonts w:asciiTheme="majorHAnsi" w:hAnsiTheme="majorHAnsi"/>
          <w:sz w:val="24"/>
          <w:szCs w:val="24"/>
        </w:rPr>
        <w:t xml:space="preserve">výnosy z použitia fondov </w:t>
      </w:r>
      <w:r w:rsidR="00A63CA6" w:rsidRPr="0036635F">
        <w:rPr>
          <w:rFonts w:asciiTheme="majorHAnsi" w:eastAsia="Times New Roman" w:hAnsiTheme="majorHAnsi" w:cs="Arial"/>
          <w:color w:val="000000"/>
          <w:sz w:val="24"/>
          <w:szCs w:val="24"/>
          <w:lang w:eastAsia="sk-SK"/>
        </w:rPr>
        <w:t xml:space="preserve">610 150 </w:t>
      </w:r>
      <w:r w:rsidRPr="0036635F">
        <w:rPr>
          <w:rFonts w:asciiTheme="majorHAnsi" w:hAnsiTheme="majorHAnsi"/>
          <w:sz w:val="24"/>
          <w:szCs w:val="24"/>
        </w:rPr>
        <w:t xml:space="preserve">€, t.j </w:t>
      </w:r>
      <w:r w:rsidR="00223C80" w:rsidRPr="0036635F">
        <w:rPr>
          <w:rFonts w:asciiTheme="majorHAnsi" w:hAnsiTheme="majorHAnsi"/>
          <w:sz w:val="24"/>
          <w:szCs w:val="24"/>
        </w:rPr>
        <w:t>0,6</w:t>
      </w:r>
      <w:r w:rsidRPr="0036635F">
        <w:rPr>
          <w:rFonts w:asciiTheme="majorHAnsi" w:hAnsiTheme="majorHAnsi"/>
          <w:sz w:val="24"/>
          <w:szCs w:val="24"/>
        </w:rPr>
        <w:t>%. z celkového objemu výnosov</w:t>
      </w:r>
    </w:p>
    <w:p w:rsidR="00387B80" w:rsidRPr="0036635F" w:rsidRDefault="0063738A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             </w:t>
      </w:r>
      <w:r w:rsidR="00387B80" w:rsidRPr="0036635F">
        <w:rPr>
          <w:rFonts w:asciiTheme="majorHAnsi" w:hAnsiTheme="majorHAnsi"/>
        </w:rPr>
        <w:t>Pri použití fondov sa neplánovalo s použitím rezervného fondu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 xml:space="preserve">Pri </w:t>
      </w:r>
      <w:r w:rsidR="000B645F" w:rsidRPr="0036635F">
        <w:rPr>
          <w:rFonts w:asciiTheme="majorHAnsi" w:hAnsiTheme="majorHAnsi"/>
          <w:iCs/>
        </w:rPr>
        <w:t>plánovaní</w:t>
      </w:r>
      <w:r w:rsidRPr="0036635F">
        <w:rPr>
          <w:rFonts w:asciiTheme="majorHAnsi" w:hAnsiTheme="majorHAnsi"/>
          <w:iCs/>
        </w:rPr>
        <w:t xml:space="preserve"> </w:t>
      </w:r>
      <w:r w:rsidR="00561DFE" w:rsidRPr="0036635F">
        <w:rPr>
          <w:rFonts w:asciiTheme="majorHAnsi" w:hAnsiTheme="majorHAnsi"/>
          <w:iCs/>
        </w:rPr>
        <w:t xml:space="preserve">výnosov </w:t>
      </w:r>
      <w:r w:rsidRPr="0036635F">
        <w:rPr>
          <w:rFonts w:asciiTheme="majorHAnsi" w:hAnsiTheme="majorHAnsi"/>
          <w:iCs/>
        </w:rPr>
        <w:t xml:space="preserve">z prenájmov nehnuteľností, </w:t>
      </w:r>
      <w:r w:rsidR="000B645F" w:rsidRPr="0036635F">
        <w:rPr>
          <w:rFonts w:asciiTheme="majorHAnsi" w:hAnsiTheme="majorHAnsi"/>
          <w:iCs/>
        </w:rPr>
        <w:t>sa vychádzalo z predpokladu, že celkové výnosy za prenájom budú medzi R-STU a súčasti rozdelené nasledovne: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1)  prenájom priestorov na fakultách a rektoráte:</w:t>
      </w:r>
    </w:p>
    <w:p w:rsidR="00387B80" w:rsidRPr="0036635F" w:rsidRDefault="00CB714E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70% </w:t>
      </w:r>
      <w:r w:rsidR="000B645F" w:rsidRPr="0036635F">
        <w:rPr>
          <w:rFonts w:asciiTheme="majorHAnsi" w:hAnsiTheme="majorHAnsi"/>
          <w:iCs/>
        </w:rPr>
        <w:t>výnosov prináleží</w:t>
      </w:r>
      <w:r w:rsidR="00387B80" w:rsidRPr="0036635F">
        <w:rPr>
          <w:rFonts w:asciiTheme="majorHAnsi" w:hAnsiTheme="majorHAnsi"/>
          <w:iCs/>
        </w:rPr>
        <w:t xml:space="preserve"> fakultám a rektorátu 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30% </w:t>
      </w:r>
      <w:r w:rsidR="000B645F" w:rsidRPr="0036635F">
        <w:rPr>
          <w:rFonts w:asciiTheme="majorHAnsi" w:hAnsiTheme="majorHAnsi"/>
          <w:iCs/>
        </w:rPr>
        <w:t xml:space="preserve">výnosov </w:t>
      </w:r>
      <w:r w:rsidR="00387B80" w:rsidRPr="0036635F">
        <w:rPr>
          <w:rFonts w:asciiTheme="majorHAnsi" w:hAnsiTheme="majorHAnsi"/>
          <w:iCs/>
        </w:rPr>
        <w:t xml:space="preserve">zostane </w:t>
      </w:r>
      <w:r w:rsidR="000B645F" w:rsidRPr="0036635F">
        <w:rPr>
          <w:rFonts w:asciiTheme="majorHAnsi" w:hAnsiTheme="majorHAnsi"/>
          <w:iCs/>
        </w:rPr>
        <w:t>v účtovníctve na R-STU ako celouniverzitné výnosy</w:t>
      </w:r>
      <w:r w:rsidR="00387B80" w:rsidRPr="0036635F">
        <w:rPr>
          <w:rFonts w:asciiTheme="majorHAnsi" w:hAnsiTheme="majorHAnsi"/>
          <w:iCs/>
        </w:rPr>
        <w:t xml:space="preserve"> </w:t>
      </w:r>
    </w:p>
    <w:p w:rsidR="00387B80" w:rsidRPr="0036635F" w:rsidRDefault="00387B80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2)  prenájom priestorov v ÚZ ŠDaJ a ÚZ Gabčíkovo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80% </w:t>
      </w:r>
      <w:r w:rsidR="000B645F" w:rsidRPr="0036635F">
        <w:rPr>
          <w:rFonts w:asciiTheme="majorHAnsi" w:hAnsiTheme="majorHAnsi"/>
          <w:iCs/>
        </w:rPr>
        <w:t>výnosov prináleží</w:t>
      </w:r>
      <w:r w:rsidR="00387B80" w:rsidRPr="0036635F">
        <w:rPr>
          <w:rFonts w:asciiTheme="majorHAnsi" w:hAnsiTheme="majorHAnsi"/>
          <w:iCs/>
        </w:rPr>
        <w:t xml:space="preserve"> ÚZ ŠDaJ a ÚZ Gabčíkovo</w:t>
      </w:r>
    </w:p>
    <w:p w:rsidR="00387B80" w:rsidRPr="0036635F" w:rsidRDefault="00CB714E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ab/>
      </w:r>
      <w:r w:rsidR="00387B80" w:rsidRPr="0036635F">
        <w:rPr>
          <w:rFonts w:asciiTheme="majorHAnsi" w:hAnsiTheme="majorHAnsi"/>
          <w:iCs/>
        </w:rPr>
        <w:t xml:space="preserve">20% </w:t>
      </w:r>
      <w:r w:rsidR="000B645F" w:rsidRPr="0036635F">
        <w:rPr>
          <w:rFonts w:asciiTheme="majorHAnsi" w:hAnsiTheme="majorHAnsi"/>
          <w:iCs/>
        </w:rPr>
        <w:t xml:space="preserve">výnosov </w:t>
      </w:r>
      <w:r w:rsidR="00387B80" w:rsidRPr="0036635F">
        <w:rPr>
          <w:rFonts w:asciiTheme="majorHAnsi" w:hAnsiTheme="majorHAnsi"/>
          <w:iCs/>
        </w:rPr>
        <w:t xml:space="preserve"> zostane </w:t>
      </w:r>
      <w:r w:rsidR="000B645F" w:rsidRPr="0036635F">
        <w:rPr>
          <w:rFonts w:asciiTheme="majorHAnsi" w:hAnsiTheme="majorHAnsi"/>
          <w:iCs/>
        </w:rPr>
        <w:t>v účtovníctve na R-STU ako celouniverzitné výnosy</w:t>
      </w:r>
      <w:r w:rsidR="00387B80" w:rsidRPr="0036635F">
        <w:rPr>
          <w:rFonts w:asciiTheme="majorHAnsi" w:hAnsiTheme="majorHAnsi"/>
          <w:iCs/>
        </w:rPr>
        <w:t>.</w:t>
      </w:r>
    </w:p>
    <w:p w:rsidR="000B645F" w:rsidRPr="0036635F" w:rsidRDefault="000B645F" w:rsidP="00387B80">
      <w:pPr>
        <w:pStyle w:val="Zkladntext2"/>
        <w:tabs>
          <w:tab w:val="num" w:pos="360"/>
        </w:tabs>
        <w:ind w:left="360" w:hanging="360"/>
        <w:rPr>
          <w:rFonts w:asciiTheme="majorHAnsi" w:hAnsiTheme="majorHAnsi"/>
          <w:iCs/>
        </w:rPr>
      </w:pPr>
    </w:p>
    <w:p w:rsidR="000B645F" w:rsidRPr="0036635F" w:rsidRDefault="00426EF9" w:rsidP="000B645F">
      <w:pPr>
        <w:pStyle w:val="Zkladntext2"/>
        <w:tabs>
          <w:tab w:val="num" w:pos="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  <w:iCs/>
        </w:rPr>
        <w:t>R</w:t>
      </w:r>
      <w:r w:rsidR="000B645F" w:rsidRPr="0036635F">
        <w:rPr>
          <w:rFonts w:asciiTheme="majorHAnsi" w:hAnsiTheme="majorHAnsi"/>
          <w:iCs/>
        </w:rPr>
        <w:t>ovnakým mechanizmom budú prerozdelené aj skutočne prijaté finančné prostriedky za prenájom nehnuteľností.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</w:rPr>
      </w:pPr>
    </w:p>
    <w:p w:rsidR="00387B80" w:rsidRPr="0036635F" w:rsidRDefault="00561DFE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  <w:r w:rsidRPr="0036635F">
        <w:rPr>
          <w:rFonts w:asciiTheme="majorHAnsi" w:hAnsiTheme="majorHAnsi"/>
        </w:rPr>
        <w:t>Finančné prostriedky získané</w:t>
      </w:r>
      <w:r w:rsidR="00387B80" w:rsidRPr="0036635F">
        <w:rPr>
          <w:rFonts w:asciiTheme="majorHAnsi" w:hAnsiTheme="majorHAnsi"/>
        </w:rPr>
        <w:t> prenájmo</w:t>
      </w:r>
      <w:r w:rsidRPr="0036635F">
        <w:rPr>
          <w:rFonts w:asciiTheme="majorHAnsi" w:hAnsiTheme="majorHAnsi"/>
        </w:rPr>
        <w:t>m nebytových priestorov</w:t>
      </w:r>
      <w:r w:rsidR="00387B80" w:rsidRPr="0036635F">
        <w:rPr>
          <w:rFonts w:asciiTheme="majorHAnsi" w:hAnsiTheme="majorHAnsi"/>
        </w:rPr>
        <w:t xml:space="preserve">, ktoré zostávajú na spoločnom účte STU sa primerane použijú na </w:t>
      </w:r>
      <w:r w:rsidR="00387B80" w:rsidRPr="0036635F">
        <w:rPr>
          <w:rFonts w:asciiTheme="majorHAnsi" w:hAnsiTheme="majorHAnsi"/>
          <w:iCs/>
        </w:rPr>
        <w:t>finančné krytie univerzitných výdavkov nezabezpeče</w:t>
      </w:r>
      <w:r w:rsidR="001A5FED" w:rsidRPr="0036635F">
        <w:rPr>
          <w:rFonts w:asciiTheme="majorHAnsi" w:hAnsiTheme="majorHAnsi"/>
          <w:iCs/>
        </w:rPr>
        <w:t>ných dotáciou.</w:t>
      </w:r>
    </w:p>
    <w:p w:rsidR="00387B80" w:rsidRPr="0036635F" w:rsidRDefault="00387B80" w:rsidP="00387B80">
      <w:pPr>
        <w:pStyle w:val="Zkladntext2"/>
        <w:tabs>
          <w:tab w:val="num" w:pos="360"/>
        </w:tabs>
        <w:rPr>
          <w:rFonts w:asciiTheme="majorHAnsi" w:hAnsiTheme="majorHAnsi"/>
          <w:iCs/>
        </w:rPr>
      </w:pP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>Hospodárenie STU môžu negatívne ovplyvniť najmä neočakávané opravy a odstraňovanie havarijných situácií.</w:t>
      </w:r>
      <w:r w:rsidR="001A5FED" w:rsidRPr="0036635F">
        <w:rPr>
          <w:rFonts w:asciiTheme="majorHAnsi" w:hAnsiTheme="majorHAnsi"/>
        </w:rPr>
        <w:t xml:space="preserve"> </w:t>
      </w:r>
    </w:p>
    <w:p w:rsidR="00426EF9" w:rsidRPr="0036635F" w:rsidRDefault="00426EF9" w:rsidP="00387B80">
      <w:pPr>
        <w:jc w:val="both"/>
        <w:rPr>
          <w:rFonts w:asciiTheme="majorHAnsi" w:hAnsiTheme="majorHAnsi"/>
        </w:rPr>
      </w:pPr>
    </w:p>
    <w:p w:rsidR="00F80BA3" w:rsidRPr="0036635F" w:rsidRDefault="00F80BA3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 w:cs="Arial"/>
        </w:rPr>
        <w:t>V priebehu roka môžu STU vzniknúť náklady a výnosy, ktoré sa nerozpočtujú</w:t>
      </w:r>
      <w:r w:rsidR="00A63CA6" w:rsidRPr="0036635F">
        <w:rPr>
          <w:rFonts w:asciiTheme="majorHAnsi" w:hAnsiTheme="majorHAnsi" w:cs="Arial"/>
        </w:rPr>
        <w:t xml:space="preserve"> a ktoré môžu ovplyvniť výsledok hospodárenia STU </w:t>
      </w:r>
      <w:r w:rsidRPr="0036635F">
        <w:rPr>
          <w:rFonts w:asciiTheme="majorHAnsi" w:hAnsiTheme="majorHAnsi" w:cs="Arial"/>
        </w:rPr>
        <w:t>napr. zmluvné pokuty, úroky, tržby z predaja majetku a pod.</w:t>
      </w:r>
    </w:p>
    <w:p w:rsidR="00387B80" w:rsidRPr="0036635F" w:rsidRDefault="00387B80" w:rsidP="00387B80">
      <w:pPr>
        <w:jc w:val="both"/>
        <w:rPr>
          <w:rFonts w:asciiTheme="majorHAnsi" w:hAnsiTheme="majorHAnsi"/>
        </w:rPr>
      </w:pPr>
      <w:r w:rsidRPr="0036635F">
        <w:rPr>
          <w:rFonts w:asciiTheme="majorHAnsi" w:hAnsiTheme="majorHAnsi"/>
        </w:rPr>
        <w:t xml:space="preserve"> </w:t>
      </w:r>
    </w:p>
    <w:p w:rsidR="00A63CA6" w:rsidRPr="0036635F" w:rsidRDefault="00A63CA6" w:rsidP="00387B80">
      <w:pPr>
        <w:jc w:val="both"/>
        <w:rPr>
          <w:rFonts w:asciiTheme="majorHAnsi" w:hAnsiTheme="majorHAnsi"/>
        </w:rPr>
      </w:pP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>Prílohy- tabuľky:</w:t>
      </w: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>1. Návrh rozpočtu STU na rok 201</w:t>
      </w:r>
      <w:r w:rsidR="00723741">
        <w:rPr>
          <w:rFonts w:asciiTheme="majorHAnsi" w:hAnsiTheme="majorHAnsi"/>
        </w:rPr>
        <w:t>8</w:t>
      </w: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>2. Návrh rozpočtu STU na rok 201</w:t>
      </w:r>
      <w:r w:rsidR="00723741">
        <w:rPr>
          <w:rFonts w:asciiTheme="majorHAnsi" w:hAnsiTheme="majorHAnsi"/>
        </w:rPr>
        <w:t>8</w:t>
      </w:r>
      <w:r w:rsidRPr="0036635F">
        <w:rPr>
          <w:rFonts w:asciiTheme="majorHAnsi" w:hAnsiTheme="majorHAnsi"/>
        </w:rPr>
        <w:t xml:space="preserve"> – Náklady, výnosy, hospodársky výsledok podľa súčastí</w:t>
      </w:r>
    </w:p>
    <w:p w:rsidR="00387B80" w:rsidRPr="0036635F" w:rsidRDefault="00387B80" w:rsidP="00387B80">
      <w:pPr>
        <w:ind w:left="360" w:hanging="360"/>
        <w:rPr>
          <w:rFonts w:asciiTheme="majorHAnsi" w:hAnsiTheme="majorHAnsi"/>
        </w:rPr>
      </w:pPr>
      <w:r w:rsidRPr="0036635F">
        <w:rPr>
          <w:rFonts w:asciiTheme="majorHAnsi" w:hAnsiTheme="majorHAnsi"/>
        </w:rPr>
        <w:t>3. Návrh rozpočtu STU na rok 201</w:t>
      </w:r>
      <w:r w:rsidR="00723741">
        <w:rPr>
          <w:rFonts w:asciiTheme="majorHAnsi" w:hAnsiTheme="majorHAnsi"/>
        </w:rPr>
        <w:t>8</w:t>
      </w:r>
      <w:r w:rsidRPr="0036635F">
        <w:rPr>
          <w:rFonts w:asciiTheme="majorHAnsi" w:hAnsiTheme="majorHAnsi"/>
        </w:rPr>
        <w:t>– Náklady a výnosy (účty) podľa súčastí</w:t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</w:r>
      <w:r w:rsidRPr="0036635F">
        <w:rPr>
          <w:rFonts w:asciiTheme="majorHAnsi" w:hAnsiTheme="majorHAnsi"/>
        </w:rPr>
        <w:tab/>
        <w:t xml:space="preserve">     </w:t>
      </w:r>
    </w:p>
    <w:p w:rsidR="00E361AE" w:rsidRPr="0036635F" w:rsidRDefault="00E361AE" w:rsidP="00387B80">
      <w:pPr>
        <w:rPr>
          <w:rFonts w:asciiTheme="majorHAnsi" w:hAnsiTheme="majorHAnsi"/>
        </w:rPr>
      </w:pPr>
    </w:p>
    <w:p w:rsidR="00833462" w:rsidRPr="0036635F" w:rsidRDefault="00833462" w:rsidP="00387B80">
      <w:pPr>
        <w:rPr>
          <w:rFonts w:asciiTheme="majorHAnsi" w:hAnsiTheme="majorHAnsi" w:cs="Arial"/>
        </w:rPr>
      </w:pPr>
    </w:p>
    <w:p w:rsidR="00833462" w:rsidRPr="0036635F" w:rsidRDefault="00833462" w:rsidP="00387B80">
      <w:pPr>
        <w:rPr>
          <w:rFonts w:asciiTheme="majorHAnsi" w:hAnsiTheme="majorHAnsi" w:cs="Arial"/>
        </w:rPr>
      </w:pPr>
    </w:p>
    <w:p w:rsidR="00833462" w:rsidRPr="0036635F" w:rsidRDefault="00833462" w:rsidP="00387B80">
      <w:pPr>
        <w:rPr>
          <w:rFonts w:asciiTheme="majorHAnsi" w:hAnsiTheme="majorHAnsi" w:cs="Arial"/>
        </w:rPr>
      </w:pPr>
    </w:p>
    <w:p w:rsidR="00F541DF" w:rsidRPr="0036635F" w:rsidRDefault="00F541DF" w:rsidP="00387B80">
      <w:pPr>
        <w:rPr>
          <w:rFonts w:asciiTheme="majorHAnsi" w:hAnsiTheme="majorHAnsi" w:cs="Arial"/>
        </w:rPr>
      </w:pPr>
    </w:p>
    <w:p w:rsidR="00D80D2B" w:rsidRPr="0036635F" w:rsidRDefault="00D80D2B" w:rsidP="00387B80">
      <w:pPr>
        <w:rPr>
          <w:rFonts w:asciiTheme="majorHAnsi" w:hAnsiTheme="majorHAnsi" w:cs="Arial"/>
        </w:rPr>
      </w:pPr>
    </w:p>
    <w:p w:rsidR="00D80D2B" w:rsidRPr="0036635F" w:rsidRDefault="00D80D2B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617C9" w:rsidRPr="0036635F" w:rsidRDefault="003617C9" w:rsidP="00387B80">
      <w:pPr>
        <w:rPr>
          <w:rFonts w:asciiTheme="majorHAnsi" w:hAnsiTheme="majorHAnsi" w:cs="Arial"/>
        </w:rPr>
      </w:pPr>
    </w:p>
    <w:p w:rsidR="00315BFC" w:rsidRPr="0036635F" w:rsidRDefault="003617C9" w:rsidP="00387B80">
      <w:pPr>
        <w:rPr>
          <w:rFonts w:asciiTheme="majorHAnsi" w:hAnsiTheme="majorHAnsi"/>
        </w:rPr>
      </w:pPr>
      <w:r w:rsidRPr="0036635F">
        <w:rPr>
          <w:rFonts w:asciiTheme="majorHAnsi" w:hAnsiTheme="majorHAnsi" w:cs="Arial"/>
        </w:rPr>
        <w:t xml:space="preserve">      </w:t>
      </w:r>
    </w:p>
    <w:sectPr w:rsidR="00315BFC" w:rsidRPr="0036635F" w:rsidSect="000250B8">
      <w:headerReference w:type="default" r:id="rId11"/>
      <w:footerReference w:type="default" r:id="rId12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2E" w:rsidRDefault="00C4252E" w:rsidP="0030006A">
      <w:r>
        <w:separator/>
      </w:r>
    </w:p>
  </w:endnote>
  <w:endnote w:type="continuationSeparator" w:id="0">
    <w:p w:rsidR="00C4252E" w:rsidRDefault="00C4252E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810F2B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2E" w:rsidRDefault="00C4252E" w:rsidP="0030006A">
      <w:r>
        <w:separator/>
      </w:r>
    </w:p>
  </w:footnote>
  <w:footnote w:type="continuationSeparator" w:id="0">
    <w:p w:rsidR="00C4252E" w:rsidRDefault="00C4252E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3BB22CB" wp14:editId="0D32837E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BF63E" wp14:editId="4DC2A98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810F2B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B72349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</w:p>
                        <w:p w:rsidR="00AF7046" w:rsidRPr="00A20866" w:rsidRDefault="0098097F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„</w:t>
                          </w:r>
                          <w:r w:rsidR="00E361A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rozpočtu STU na rok 201</w:t>
                          </w:r>
                          <w:r w:rsidR="00E472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,“</w:t>
                          </w:r>
                        </w:p>
                        <w:p w:rsidR="00AF7046" w:rsidRPr="00A20866" w:rsidRDefault="00B72349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 č. </w:t>
                          </w:r>
                          <w:r w:rsidR="00C80CC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E4722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 w:rsidR="00C80CC3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č.  </w:t>
                          </w:r>
                          <w:r w:rsidR="00AF7046"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="00FF0A9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FF0A9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BF6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810F2B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B72349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</w:p>
                  <w:p w:rsidR="00AF7046" w:rsidRPr="00A20866" w:rsidRDefault="0098097F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„</w:t>
                    </w:r>
                    <w:r w:rsidR="00E361A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rozpočtu STU na rok 201</w:t>
                    </w:r>
                    <w:r w:rsidR="00E472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,“</w:t>
                    </w:r>
                  </w:p>
                  <w:p w:rsidR="00AF7046" w:rsidRPr="00A20866" w:rsidRDefault="00B72349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 č. </w:t>
                    </w:r>
                    <w:r w:rsidR="00C80CC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/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201</w:t>
                    </w:r>
                    <w:r w:rsidR="00E4722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 w:rsidR="00C80CC3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č.  </w:t>
                    </w:r>
                    <w:r w:rsidR="00AF7046"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="00FF0A9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prof.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FF0A9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 Redhammer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EF57D2" wp14:editId="5C08E5B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F95"/>
    <w:multiLevelType w:val="hybridMultilevel"/>
    <w:tmpl w:val="A2587790"/>
    <w:lvl w:ilvl="0" w:tplc="041B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6A46"/>
    <w:multiLevelType w:val="hybridMultilevel"/>
    <w:tmpl w:val="1C928494"/>
    <w:lvl w:ilvl="0" w:tplc="653C0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75D20"/>
    <w:multiLevelType w:val="hybridMultilevel"/>
    <w:tmpl w:val="77A682B2"/>
    <w:lvl w:ilvl="0" w:tplc="D28A984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ED"/>
    <w:multiLevelType w:val="hybridMultilevel"/>
    <w:tmpl w:val="F7F63648"/>
    <w:lvl w:ilvl="0" w:tplc="5568EB2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EF58AD28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07AA3D2A"/>
    <w:multiLevelType w:val="hybridMultilevel"/>
    <w:tmpl w:val="F04058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83B8A"/>
    <w:multiLevelType w:val="hybridMultilevel"/>
    <w:tmpl w:val="CE52B1C8"/>
    <w:lvl w:ilvl="0" w:tplc="041B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C2E04EE"/>
    <w:multiLevelType w:val="multilevel"/>
    <w:tmpl w:val="C186C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theme="minorBid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theme="minorBidi" w:hint="default"/>
        <w:b/>
      </w:rPr>
    </w:lvl>
  </w:abstractNum>
  <w:abstractNum w:abstractNumId="7" w15:restartNumberingAfterBreak="0">
    <w:nsid w:val="0D47049E"/>
    <w:multiLevelType w:val="hybridMultilevel"/>
    <w:tmpl w:val="8F1CC37C"/>
    <w:lvl w:ilvl="0" w:tplc="558C7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C36BE6"/>
    <w:multiLevelType w:val="hybridMultilevel"/>
    <w:tmpl w:val="80A0ED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D568B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0" w15:restartNumberingAfterBreak="0">
    <w:nsid w:val="193D670A"/>
    <w:multiLevelType w:val="hybridMultilevel"/>
    <w:tmpl w:val="5C0E0B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418B3"/>
    <w:multiLevelType w:val="hybridMultilevel"/>
    <w:tmpl w:val="916EC24A"/>
    <w:lvl w:ilvl="0" w:tplc="AC90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395C3D"/>
    <w:multiLevelType w:val="hybridMultilevel"/>
    <w:tmpl w:val="380C8C52"/>
    <w:lvl w:ilvl="0" w:tplc="90F82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5F0700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4" w15:restartNumberingAfterBreak="0">
    <w:nsid w:val="21F16617"/>
    <w:multiLevelType w:val="multilevel"/>
    <w:tmpl w:val="45C04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9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>
      <w:start w:val="400"/>
      <w:numFmt w:val="lowerRoman"/>
      <w:lvlText w:val="%5)"/>
      <w:lvlJc w:val="left"/>
      <w:pPr>
        <w:ind w:left="3960" w:hanging="720"/>
      </w:pPr>
      <w:rPr>
        <w:rFonts w:hint="default"/>
        <w:b w:val="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83F7D"/>
    <w:multiLevelType w:val="multilevel"/>
    <w:tmpl w:val="D9C264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50797F"/>
    <w:multiLevelType w:val="multilevel"/>
    <w:tmpl w:val="50F42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2B380A"/>
    <w:multiLevelType w:val="hybridMultilevel"/>
    <w:tmpl w:val="A6463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82566"/>
    <w:multiLevelType w:val="hybridMultilevel"/>
    <w:tmpl w:val="B656AB7E"/>
    <w:lvl w:ilvl="0" w:tplc="7DC8E3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3028207B"/>
    <w:multiLevelType w:val="hybridMultilevel"/>
    <w:tmpl w:val="09EE6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A55655"/>
    <w:multiLevelType w:val="hybridMultilevel"/>
    <w:tmpl w:val="BC34ADEA"/>
    <w:lvl w:ilvl="0" w:tplc="9EC8E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C4B5A"/>
    <w:multiLevelType w:val="hybridMultilevel"/>
    <w:tmpl w:val="24308956"/>
    <w:lvl w:ilvl="0" w:tplc="7FCAC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56808DB"/>
    <w:multiLevelType w:val="hybridMultilevel"/>
    <w:tmpl w:val="BC382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864DC"/>
    <w:multiLevelType w:val="hybridMultilevel"/>
    <w:tmpl w:val="389C2A52"/>
    <w:lvl w:ilvl="0" w:tplc="BFCED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1A0E68"/>
    <w:multiLevelType w:val="hybridMultilevel"/>
    <w:tmpl w:val="A22E6F94"/>
    <w:lvl w:ilvl="0" w:tplc="90F82334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3C8B662E"/>
    <w:multiLevelType w:val="hybridMultilevel"/>
    <w:tmpl w:val="84728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555B3"/>
    <w:multiLevelType w:val="hybridMultilevel"/>
    <w:tmpl w:val="06D2E70C"/>
    <w:lvl w:ilvl="0" w:tplc="D7F218C0">
      <w:start w:val="5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50622C"/>
    <w:multiLevelType w:val="hybridMultilevel"/>
    <w:tmpl w:val="9F8061DC"/>
    <w:lvl w:ilvl="0" w:tplc="B6AC5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267B66"/>
    <w:multiLevelType w:val="hybridMultilevel"/>
    <w:tmpl w:val="BB30D11E"/>
    <w:lvl w:ilvl="0" w:tplc="2376EF20">
      <w:start w:val="1"/>
      <w:numFmt w:val="lowerLetter"/>
      <w:lvlText w:val="%1)"/>
      <w:lvlJc w:val="left"/>
      <w:pPr>
        <w:ind w:left="1122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 w15:restartNumberingAfterBreak="0">
    <w:nsid w:val="3F863FEB"/>
    <w:multiLevelType w:val="multilevel"/>
    <w:tmpl w:val="A9AA7F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6F974F9"/>
    <w:multiLevelType w:val="hybridMultilevel"/>
    <w:tmpl w:val="69F2F2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41A43"/>
    <w:multiLevelType w:val="hybridMultilevel"/>
    <w:tmpl w:val="84841A02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4F1C1D5A"/>
    <w:multiLevelType w:val="hybridMultilevel"/>
    <w:tmpl w:val="954C30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C74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456246"/>
    <w:multiLevelType w:val="hybridMultilevel"/>
    <w:tmpl w:val="B928CC4A"/>
    <w:lvl w:ilvl="0" w:tplc="041B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54D41E01"/>
    <w:multiLevelType w:val="hybridMultilevel"/>
    <w:tmpl w:val="570E2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F8016D"/>
    <w:multiLevelType w:val="hybridMultilevel"/>
    <w:tmpl w:val="15F486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5BF522AF"/>
    <w:multiLevelType w:val="hybridMultilevel"/>
    <w:tmpl w:val="B8DAF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8E356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643DBF"/>
    <w:multiLevelType w:val="hybridMultilevel"/>
    <w:tmpl w:val="D140FB24"/>
    <w:lvl w:ilvl="0" w:tplc="07A83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ADDF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1321DC"/>
    <w:multiLevelType w:val="hybridMultilevel"/>
    <w:tmpl w:val="45A0648C"/>
    <w:lvl w:ilvl="0" w:tplc="558C74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6C6952A4"/>
    <w:multiLevelType w:val="hybridMultilevel"/>
    <w:tmpl w:val="6A628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B58D4"/>
    <w:multiLevelType w:val="hybridMultilevel"/>
    <w:tmpl w:val="4E64BF0A"/>
    <w:lvl w:ilvl="0" w:tplc="CD70CA16">
      <w:start w:val="28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7AB11B76"/>
    <w:multiLevelType w:val="hybridMultilevel"/>
    <w:tmpl w:val="9BE658B2"/>
    <w:lvl w:ilvl="0" w:tplc="F244E2FC">
      <w:start w:val="28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5F5026"/>
    <w:multiLevelType w:val="hybridMultilevel"/>
    <w:tmpl w:val="04EC3782"/>
    <w:lvl w:ilvl="0" w:tplc="041B0005">
      <w:start w:val="1"/>
      <w:numFmt w:val="bullet"/>
      <w:lvlText w:val=""/>
      <w:lvlJc w:val="left"/>
      <w:pPr>
        <w:ind w:left="111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47" w15:restartNumberingAfterBreak="0">
    <w:nsid w:val="7BCD4299"/>
    <w:multiLevelType w:val="hybridMultilevel"/>
    <w:tmpl w:val="F1B661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5AAB6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67E33"/>
    <w:multiLevelType w:val="hybridMultilevel"/>
    <w:tmpl w:val="7B48EC0E"/>
    <w:lvl w:ilvl="0" w:tplc="653C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33"/>
  </w:num>
  <w:num w:numId="4">
    <w:abstractNumId w:val="3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5"/>
  </w:num>
  <w:num w:numId="9">
    <w:abstractNumId w:val="18"/>
  </w:num>
  <w:num w:numId="10">
    <w:abstractNumId w:val="3"/>
  </w:num>
  <w:num w:numId="11">
    <w:abstractNumId w:val="39"/>
  </w:num>
  <w:num w:numId="12">
    <w:abstractNumId w:val="37"/>
  </w:num>
  <w:num w:numId="13">
    <w:abstractNumId w:val="34"/>
  </w:num>
  <w:num w:numId="14">
    <w:abstractNumId w:val="40"/>
  </w:num>
  <w:num w:numId="15">
    <w:abstractNumId w:val="21"/>
  </w:num>
  <w:num w:numId="16">
    <w:abstractNumId w:val="24"/>
  </w:num>
  <w:num w:numId="17">
    <w:abstractNumId w:val="28"/>
  </w:num>
  <w:num w:numId="18">
    <w:abstractNumId w:val="7"/>
  </w:num>
  <w:num w:numId="19">
    <w:abstractNumId w:val="41"/>
  </w:num>
  <w:num w:numId="20">
    <w:abstractNumId w:val="12"/>
  </w:num>
  <w:num w:numId="21">
    <w:abstractNumId w:val="15"/>
  </w:num>
  <w:num w:numId="22">
    <w:abstractNumId w:val="25"/>
  </w:num>
  <w:num w:numId="23">
    <w:abstractNumId w:val="19"/>
  </w:num>
  <w:num w:numId="24">
    <w:abstractNumId w:val="23"/>
  </w:num>
  <w:num w:numId="25">
    <w:abstractNumId w:val="17"/>
  </w:num>
  <w:num w:numId="26">
    <w:abstractNumId w:val="11"/>
  </w:num>
  <w:num w:numId="27">
    <w:abstractNumId w:val="31"/>
  </w:num>
  <w:num w:numId="28">
    <w:abstractNumId w:val="2"/>
  </w:num>
  <w:num w:numId="29">
    <w:abstractNumId w:val="47"/>
  </w:num>
  <w:num w:numId="30">
    <w:abstractNumId w:val="36"/>
  </w:num>
  <w:num w:numId="31">
    <w:abstractNumId w:val="20"/>
  </w:num>
  <w:num w:numId="32">
    <w:abstractNumId w:val="16"/>
  </w:num>
  <w:num w:numId="33">
    <w:abstractNumId w:val="46"/>
  </w:num>
  <w:num w:numId="34">
    <w:abstractNumId w:val="29"/>
  </w:num>
  <w:num w:numId="35">
    <w:abstractNumId w:val="13"/>
  </w:num>
  <w:num w:numId="36">
    <w:abstractNumId w:val="14"/>
  </w:num>
  <w:num w:numId="37">
    <w:abstractNumId w:val="32"/>
  </w:num>
  <w:num w:numId="38">
    <w:abstractNumId w:val="26"/>
  </w:num>
  <w:num w:numId="39">
    <w:abstractNumId w:val="8"/>
  </w:num>
  <w:num w:numId="40">
    <w:abstractNumId w:val="5"/>
  </w:num>
  <w:num w:numId="41">
    <w:abstractNumId w:val="44"/>
  </w:num>
  <w:num w:numId="42">
    <w:abstractNumId w:val="27"/>
  </w:num>
  <w:num w:numId="43">
    <w:abstractNumId w:val="0"/>
  </w:num>
  <w:num w:numId="44">
    <w:abstractNumId w:val="4"/>
  </w:num>
  <w:num w:numId="45">
    <w:abstractNumId w:val="6"/>
  </w:num>
  <w:num w:numId="46">
    <w:abstractNumId w:val="30"/>
  </w:num>
  <w:num w:numId="47">
    <w:abstractNumId w:val="45"/>
  </w:num>
  <w:num w:numId="48">
    <w:abstractNumId w:val="1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06591"/>
    <w:rsid w:val="00023469"/>
    <w:rsid w:val="000250B8"/>
    <w:rsid w:val="00035973"/>
    <w:rsid w:val="00040A79"/>
    <w:rsid w:val="000506EA"/>
    <w:rsid w:val="0006307B"/>
    <w:rsid w:val="00063C9E"/>
    <w:rsid w:val="00065421"/>
    <w:rsid w:val="000810BB"/>
    <w:rsid w:val="000B645F"/>
    <w:rsid w:val="000C19F3"/>
    <w:rsid w:val="00106F99"/>
    <w:rsid w:val="001232C2"/>
    <w:rsid w:val="001353B9"/>
    <w:rsid w:val="00152D29"/>
    <w:rsid w:val="001612C9"/>
    <w:rsid w:val="00194508"/>
    <w:rsid w:val="001A0B8E"/>
    <w:rsid w:val="001A5FED"/>
    <w:rsid w:val="001A7749"/>
    <w:rsid w:val="001C7E2C"/>
    <w:rsid w:val="001E2464"/>
    <w:rsid w:val="001E5B72"/>
    <w:rsid w:val="00223C80"/>
    <w:rsid w:val="00230A73"/>
    <w:rsid w:val="002564FD"/>
    <w:rsid w:val="00256919"/>
    <w:rsid w:val="00266B63"/>
    <w:rsid w:val="0028143E"/>
    <w:rsid w:val="00294FBF"/>
    <w:rsid w:val="002B5124"/>
    <w:rsid w:val="002C03BC"/>
    <w:rsid w:val="002D3436"/>
    <w:rsid w:val="002E2186"/>
    <w:rsid w:val="002F725F"/>
    <w:rsid w:val="0030006A"/>
    <w:rsid w:val="00315BFC"/>
    <w:rsid w:val="00317708"/>
    <w:rsid w:val="00342EA1"/>
    <w:rsid w:val="003617C9"/>
    <w:rsid w:val="003636DF"/>
    <w:rsid w:val="0036635F"/>
    <w:rsid w:val="00381438"/>
    <w:rsid w:val="003849B5"/>
    <w:rsid w:val="00387B80"/>
    <w:rsid w:val="003A1C7C"/>
    <w:rsid w:val="003B4B24"/>
    <w:rsid w:val="003F4BEB"/>
    <w:rsid w:val="004225CF"/>
    <w:rsid w:val="00426EF9"/>
    <w:rsid w:val="0044370E"/>
    <w:rsid w:val="00444A5E"/>
    <w:rsid w:val="004648DA"/>
    <w:rsid w:val="00467FC4"/>
    <w:rsid w:val="00484B24"/>
    <w:rsid w:val="005306C2"/>
    <w:rsid w:val="0053364D"/>
    <w:rsid w:val="00533D72"/>
    <w:rsid w:val="00535A09"/>
    <w:rsid w:val="00540F09"/>
    <w:rsid w:val="00543FD2"/>
    <w:rsid w:val="00546A05"/>
    <w:rsid w:val="00552A42"/>
    <w:rsid w:val="005567DB"/>
    <w:rsid w:val="00560465"/>
    <w:rsid w:val="00561DFE"/>
    <w:rsid w:val="00573B0B"/>
    <w:rsid w:val="00587603"/>
    <w:rsid w:val="00591490"/>
    <w:rsid w:val="005A1790"/>
    <w:rsid w:val="005C65DF"/>
    <w:rsid w:val="0062658B"/>
    <w:rsid w:val="00631F86"/>
    <w:rsid w:val="00634F1C"/>
    <w:rsid w:val="0063738A"/>
    <w:rsid w:val="00650A5E"/>
    <w:rsid w:val="00653EBE"/>
    <w:rsid w:val="0069022E"/>
    <w:rsid w:val="006A11B1"/>
    <w:rsid w:val="006B291D"/>
    <w:rsid w:val="006B5B1C"/>
    <w:rsid w:val="006E55F6"/>
    <w:rsid w:val="006E73FA"/>
    <w:rsid w:val="006F4AFD"/>
    <w:rsid w:val="007054DF"/>
    <w:rsid w:val="00723741"/>
    <w:rsid w:val="007332D4"/>
    <w:rsid w:val="007609D9"/>
    <w:rsid w:val="00761C23"/>
    <w:rsid w:val="007640D6"/>
    <w:rsid w:val="00774D8A"/>
    <w:rsid w:val="007B6F0F"/>
    <w:rsid w:val="007C16B3"/>
    <w:rsid w:val="007C21CC"/>
    <w:rsid w:val="007D1E56"/>
    <w:rsid w:val="007E211A"/>
    <w:rsid w:val="007F5771"/>
    <w:rsid w:val="00804FBE"/>
    <w:rsid w:val="00810F2B"/>
    <w:rsid w:val="008236E3"/>
    <w:rsid w:val="00825528"/>
    <w:rsid w:val="00833462"/>
    <w:rsid w:val="00836C18"/>
    <w:rsid w:val="00875DAA"/>
    <w:rsid w:val="008A34E3"/>
    <w:rsid w:val="008C48EC"/>
    <w:rsid w:val="008C67F6"/>
    <w:rsid w:val="008C7CC1"/>
    <w:rsid w:val="008E5581"/>
    <w:rsid w:val="0091091B"/>
    <w:rsid w:val="009120B5"/>
    <w:rsid w:val="0096605A"/>
    <w:rsid w:val="00967B09"/>
    <w:rsid w:val="00970C7C"/>
    <w:rsid w:val="00973071"/>
    <w:rsid w:val="0098097F"/>
    <w:rsid w:val="009B13A6"/>
    <w:rsid w:val="009B321A"/>
    <w:rsid w:val="009B6B9A"/>
    <w:rsid w:val="009B704F"/>
    <w:rsid w:val="009E1D33"/>
    <w:rsid w:val="00A11A31"/>
    <w:rsid w:val="00A20866"/>
    <w:rsid w:val="00A22B18"/>
    <w:rsid w:val="00A267FC"/>
    <w:rsid w:val="00A307A4"/>
    <w:rsid w:val="00A51228"/>
    <w:rsid w:val="00A56337"/>
    <w:rsid w:val="00A6098D"/>
    <w:rsid w:val="00A63CA6"/>
    <w:rsid w:val="00A8231D"/>
    <w:rsid w:val="00AA4B2F"/>
    <w:rsid w:val="00AA5FA6"/>
    <w:rsid w:val="00AB1C41"/>
    <w:rsid w:val="00AB495A"/>
    <w:rsid w:val="00AC7152"/>
    <w:rsid w:val="00AC7FB1"/>
    <w:rsid w:val="00AF51C6"/>
    <w:rsid w:val="00AF7046"/>
    <w:rsid w:val="00B023F2"/>
    <w:rsid w:val="00B15865"/>
    <w:rsid w:val="00B37A86"/>
    <w:rsid w:val="00B4238A"/>
    <w:rsid w:val="00B72349"/>
    <w:rsid w:val="00B86382"/>
    <w:rsid w:val="00B916A4"/>
    <w:rsid w:val="00B97E10"/>
    <w:rsid w:val="00BA1B73"/>
    <w:rsid w:val="00BD58E5"/>
    <w:rsid w:val="00BE52F4"/>
    <w:rsid w:val="00C10CEB"/>
    <w:rsid w:val="00C4252E"/>
    <w:rsid w:val="00C51544"/>
    <w:rsid w:val="00C51762"/>
    <w:rsid w:val="00C55B37"/>
    <w:rsid w:val="00C65620"/>
    <w:rsid w:val="00C678C7"/>
    <w:rsid w:val="00C80CC3"/>
    <w:rsid w:val="00C975A4"/>
    <w:rsid w:val="00CA29A2"/>
    <w:rsid w:val="00CA3C3F"/>
    <w:rsid w:val="00CB0058"/>
    <w:rsid w:val="00CB07FE"/>
    <w:rsid w:val="00CB714E"/>
    <w:rsid w:val="00CD3072"/>
    <w:rsid w:val="00CE6990"/>
    <w:rsid w:val="00D10B73"/>
    <w:rsid w:val="00D1254F"/>
    <w:rsid w:val="00D34342"/>
    <w:rsid w:val="00D66873"/>
    <w:rsid w:val="00D736C6"/>
    <w:rsid w:val="00D73C48"/>
    <w:rsid w:val="00D80D2B"/>
    <w:rsid w:val="00DB500C"/>
    <w:rsid w:val="00DD65B1"/>
    <w:rsid w:val="00E05A72"/>
    <w:rsid w:val="00E35A85"/>
    <w:rsid w:val="00E361AE"/>
    <w:rsid w:val="00E37B9D"/>
    <w:rsid w:val="00E47223"/>
    <w:rsid w:val="00E521C4"/>
    <w:rsid w:val="00E964BF"/>
    <w:rsid w:val="00EB4CAA"/>
    <w:rsid w:val="00ED4A5B"/>
    <w:rsid w:val="00EF1BD2"/>
    <w:rsid w:val="00F10836"/>
    <w:rsid w:val="00F24DC7"/>
    <w:rsid w:val="00F36CD9"/>
    <w:rsid w:val="00F42B40"/>
    <w:rsid w:val="00F541DF"/>
    <w:rsid w:val="00F57A30"/>
    <w:rsid w:val="00F7130B"/>
    <w:rsid w:val="00F72759"/>
    <w:rsid w:val="00F77EFE"/>
    <w:rsid w:val="00F80BA3"/>
    <w:rsid w:val="00F84035"/>
    <w:rsid w:val="00F91FB0"/>
    <w:rsid w:val="00F9544D"/>
    <w:rsid w:val="00F96CBA"/>
    <w:rsid w:val="00FC12CE"/>
    <w:rsid w:val="00FD3E8E"/>
    <w:rsid w:val="00FF0A96"/>
    <w:rsid w:val="00FF0F2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310CCC"/>
  <w14:defaultImageDpi w14:val="300"/>
  <w15:docId w15:val="{E4542A2F-7D15-44CE-9A9C-0DDFD60D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FAA0F0-7AFA-4AF1-9FE8-1A845DD5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Admin</cp:lastModifiedBy>
  <cp:revision>2</cp:revision>
  <cp:lastPrinted>2015-05-25T07:13:00Z</cp:lastPrinted>
  <dcterms:created xsi:type="dcterms:W3CDTF">2018-06-13T06:55:00Z</dcterms:created>
  <dcterms:modified xsi:type="dcterms:W3CDTF">2018-06-13T06:55:00Z</dcterms:modified>
</cp:coreProperties>
</file>