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AC5C" w14:textId="3E0D27F5" w:rsidR="009F0EED" w:rsidRDefault="009F0EED" w:rsidP="009F0EE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14:paraId="19C2AEBC" w14:textId="0E74C158" w:rsidR="009F0EED" w:rsidRPr="00AF7046" w:rsidRDefault="009F0EED" w:rsidP="009F0EE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</w:t>
      </w:r>
      <w:r w:rsidR="00950FB3">
        <w:rPr>
          <w:rFonts w:asciiTheme="majorHAnsi" w:hAnsiTheme="majorHAnsi"/>
          <w:sz w:val="36"/>
          <w:szCs w:val="36"/>
          <w:lang w:val="sk-SK"/>
        </w:rPr>
        <w:t>e</w:t>
      </w:r>
    </w:p>
    <w:p w14:paraId="2188927C" w14:textId="7B31DA75" w:rsidR="0030006A" w:rsidRPr="00AF7046" w:rsidRDefault="009F0EED" w:rsidP="009104D6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28</w:t>
      </w:r>
      <w:r w:rsidR="007676D6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D03230">
        <w:rPr>
          <w:rFonts w:asciiTheme="majorHAnsi" w:hAnsiTheme="majorHAnsi"/>
          <w:sz w:val="36"/>
          <w:szCs w:val="36"/>
          <w:lang w:val="sk-SK"/>
        </w:rPr>
        <w:t>1</w:t>
      </w:r>
      <w:r w:rsidR="007676D6">
        <w:rPr>
          <w:rFonts w:asciiTheme="majorHAnsi" w:hAnsiTheme="majorHAnsi"/>
          <w:sz w:val="36"/>
          <w:szCs w:val="36"/>
          <w:lang w:val="sk-SK"/>
        </w:rPr>
        <w:t>0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52751F">
        <w:rPr>
          <w:rFonts w:asciiTheme="majorHAnsi" w:hAnsiTheme="majorHAnsi"/>
          <w:sz w:val="36"/>
          <w:szCs w:val="36"/>
          <w:lang w:val="sk-SK"/>
        </w:rPr>
        <w:t>2019</w:t>
      </w:r>
    </w:p>
    <w:p w14:paraId="2188927E" w14:textId="77777777" w:rsidR="009104D6" w:rsidRPr="00AF7046" w:rsidRDefault="009104D6" w:rsidP="009104D6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2188927F" w14:textId="3D0824D4" w:rsidR="00006C9B" w:rsidRDefault="009104D6" w:rsidP="00351232">
      <w:pPr>
        <w:tabs>
          <w:tab w:val="left" w:pos="1985"/>
        </w:tabs>
        <w:ind w:left="-142" w:right="-205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</w:t>
      </w:r>
      <w:r w:rsidR="0052751F">
        <w:rPr>
          <w:rFonts w:asciiTheme="majorHAnsi" w:hAnsiTheme="majorHAnsi"/>
          <w:b/>
          <w:sz w:val="36"/>
          <w:szCs w:val="36"/>
          <w:lang w:val="sk-SK"/>
        </w:rPr>
        <w:t>založenie inej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právn</w:t>
      </w:r>
      <w:r w:rsidR="0052751F">
        <w:rPr>
          <w:rFonts w:asciiTheme="majorHAnsi" w:hAnsiTheme="majorHAnsi"/>
          <w:b/>
          <w:sz w:val="36"/>
          <w:szCs w:val="36"/>
          <w:lang w:val="sk-SK"/>
        </w:rPr>
        <w:t>ickej osoby</w:t>
      </w:r>
      <w:r w:rsidR="00351232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51232" w:rsidRPr="00351232">
        <w:rPr>
          <w:rFonts w:asciiTheme="majorHAnsi" w:hAnsiTheme="majorHAnsi"/>
          <w:b/>
          <w:sz w:val="36"/>
          <w:szCs w:val="36"/>
          <w:lang w:val="sk-SK"/>
        </w:rPr>
        <w:t>(Centrum pre</w:t>
      </w:r>
      <w:r w:rsidR="00351232">
        <w:rPr>
          <w:rFonts w:asciiTheme="majorHAnsi" w:hAnsiTheme="majorHAnsi"/>
          <w:b/>
          <w:sz w:val="36"/>
          <w:szCs w:val="36"/>
          <w:lang w:val="sk-SK"/>
        </w:rPr>
        <w:t> </w:t>
      </w:r>
      <w:r w:rsidR="00351232" w:rsidRPr="00351232">
        <w:rPr>
          <w:rFonts w:asciiTheme="majorHAnsi" w:hAnsiTheme="majorHAnsi"/>
          <w:b/>
          <w:sz w:val="36"/>
          <w:szCs w:val="36"/>
          <w:lang w:val="sk-SK"/>
        </w:rPr>
        <w:t>umelú</w:t>
      </w:r>
      <w:r w:rsidR="00351232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51232" w:rsidRPr="00351232">
        <w:rPr>
          <w:rFonts w:asciiTheme="majorHAnsi" w:hAnsiTheme="majorHAnsi"/>
          <w:b/>
          <w:sz w:val="36"/>
          <w:szCs w:val="36"/>
          <w:lang w:val="sk-SK"/>
        </w:rPr>
        <w:t>inteligenciu</w:t>
      </w:r>
      <w:r w:rsidR="00351232">
        <w:rPr>
          <w:rFonts w:asciiTheme="majorHAnsi" w:hAnsiTheme="majorHAnsi"/>
          <w:b/>
          <w:sz w:val="36"/>
          <w:szCs w:val="36"/>
          <w:lang w:val="sk-SK"/>
        </w:rPr>
        <w:t>)</w:t>
      </w:r>
    </w:p>
    <w:p w14:paraId="21889281" w14:textId="77777777" w:rsidR="009104D6" w:rsidRDefault="009104D6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82" w14:textId="77777777" w:rsidR="00006C9B" w:rsidRDefault="00006C9B" w:rsidP="009104D6">
      <w:pPr>
        <w:tabs>
          <w:tab w:val="left" w:pos="1985"/>
        </w:tabs>
        <w:ind w:left="-993" w:right="-205" w:firstLine="851"/>
        <w:rPr>
          <w:rFonts w:asciiTheme="majorHAnsi" w:hAnsiTheme="majorHAnsi"/>
          <w:lang w:val="sk-SK"/>
        </w:rPr>
      </w:pPr>
    </w:p>
    <w:p w14:paraId="21889283" w14:textId="77777777" w:rsidR="0030006A" w:rsidRPr="00AF7046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bookmarkStart w:id="0" w:name="_GoBack"/>
      <w:bookmarkEnd w:id="0"/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565445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 xml:space="preserve">ng. </w:t>
      </w:r>
      <w:r w:rsidR="0052751F">
        <w:rPr>
          <w:rFonts w:asciiTheme="majorHAnsi" w:hAnsiTheme="majorHAnsi"/>
          <w:b/>
          <w:lang w:val="sk-SK"/>
        </w:rPr>
        <w:t>Miroslav Fikar</w:t>
      </w:r>
      <w:r w:rsidR="00D36BF6" w:rsidRPr="000A6D3A">
        <w:rPr>
          <w:rFonts w:asciiTheme="majorHAnsi" w:hAnsiTheme="majorHAnsi"/>
          <w:b/>
          <w:lang w:val="sk-SK"/>
        </w:rPr>
        <w:t>, D</w:t>
      </w:r>
      <w:r w:rsidR="0052751F">
        <w:rPr>
          <w:rFonts w:asciiTheme="majorHAnsi" w:hAnsiTheme="majorHAnsi"/>
          <w:b/>
          <w:lang w:val="sk-SK"/>
        </w:rPr>
        <w:t>rSc</w:t>
      </w:r>
      <w:r w:rsidR="00D36BF6" w:rsidRPr="000A6D3A">
        <w:rPr>
          <w:rFonts w:asciiTheme="majorHAnsi" w:hAnsiTheme="majorHAnsi"/>
          <w:b/>
          <w:lang w:val="sk-SK"/>
        </w:rPr>
        <w:t>.</w:t>
      </w:r>
    </w:p>
    <w:p w14:paraId="21889284" w14:textId="77777777" w:rsidR="0030006A" w:rsidRPr="00AF7046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565445">
        <w:rPr>
          <w:rFonts w:asciiTheme="majorHAnsi" w:hAnsiTheme="majorHAnsi"/>
          <w:lang w:val="sk-SK"/>
        </w:rPr>
        <w:t>rektor</w:t>
      </w:r>
    </w:p>
    <w:p w14:paraId="21889285" w14:textId="77777777" w:rsidR="0030006A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86" w14:textId="77777777" w:rsidR="00EE3EA0" w:rsidRPr="00AF7046" w:rsidRDefault="00EE3EA0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87" w14:textId="77777777" w:rsidR="0030006A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B332D0">
        <w:rPr>
          <w:rFonts w:asciiTheme="majorHAnsi" w:hAnsiTheme="majorHAnsi"/>
          <w:b/>
          <w:lang w:val="sk-SK"/>
        </w:rPr>
        <w:t>JUDr</w:t>
      </w:r>
      <w:r w:rsidR="00450F0C" w:rsidRPr="00450F0C">
        <w:rPr>
          <w:rFonts w:asciiTheme="majorHAnsi" w:hAnsiTheme="majorHAnsi"/>
          <w:b/>
          <w:lang w:val="sk-SK"/>
        </w:rPr>
        <w:t>. Marcel Michalička</w:t>
      </w:r>
    </w:p>
    <w:p w14:paraId="21889288" w14:textId="4F2FDBCA" w:rsidR="00835A13" w:rsidRDefault="009A2DAB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14:paraId="7A0FC24D" w14:textId="4F75D680" w:rsidR="00351232" w:rsidRDefault="00351232" w:rsidP="00351232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 xml:space="preserve">z podkladov </w:t>
      </w:r>
      <w:r w:rsidRPr="00351232">
        <w:rPr>
          <w:rFonts w:asciiTheme="majorHAnsi" w:hAnsiTheme="majorHAnsi"/>
          <w:b/>
          <w:lang w:val="sk-SK"/>
        </w:rPr>
        <w:t>prof. Ing. Mári</w:t>
      </w:r>
      <w:r w:rsidRPr="00351232">
        <w:rPr>
          <w:rFonts w:asciiTheme="majorHAnsi" w:hAnsiTheme="majorHAnsi"/>
          <w:b/>
          <w:lang w:val="sk-SK"/>
        </w:rPr>
        <w:t>e</w:t>
      </w:r>
      <w:r w:rsidRPr="00351232">
        <w:rPr>
          <w:rFonts w:asciiTheme="majorHAnsi" w:hAnsiTheme="majorHAnsi"/>
          <w:b/>
          <w:lang w:val="sk-SK"/>
        </w:rPr>
        <w:t xml:space="preserve"> Bielikov</w:t>
      </w:r>
      <w:r w:rsidRPr="00351232">
        <w:rPr>
          <w:rFonts w:asciiTheme="majorHAnsi" w:hAnsiTheme="majorHAnsi"/>
          <w:b/>
          <w:lang w:val="sk-SK"/>
        </w:rPr>
        <w:t>ej</w:t>
      </w:r>
      <w:r w:rsidRPr="00351232">
        <w:rPr>
          <w:rFonts w:asciiTheme="majorHAnsi" w:hAnsiTheme="majorHAnsi"/>
          <w:b/>
          <w:lang w:val="sk-SK"/>
        </w:rPr>
        <w:t>, PhD.</w:t>
      </w:r>
    </w:p>
    <w:p w14:paraId="76B2C690" w14:textId="4FE72439" w:rsidR="00351232" w:rsidRPr="00AF7046" w:rsidRDefault="00351232" w:rsidP="00351232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dekanky FIIT STU</w:t>
      </w:r>
    </w:p>
    <w:p w14:paraId="21889289" w14:textId="77777777" w:rsidR="0030006A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8A" w14:textId="77777777" w:rsidR="00EE3EA0" w:rsidRPr="00AF7046" w:rsidRDefault="00EE3EA0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8B" w14:textId="0EE66AD4" w:rsidR="009A2DAB" w:rsidRDefault="0030006A" w:rsidP="009104D6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3824F1" w:rsidRPr="003824F1">
        <w:rPr>
          <w:rFonts w:asciiTheme="majorHAnsi" w:hAnsiTheme="majorHAnsi"/>
          <w:lang w:val="sk-SK"/>
        </w:rPr>
        <w:t xml:space="preserve">Postup podľa ustanovenia </w:t>
      </w:r>
      <w:r w:rsidR="003824F1">
        <w:rPr>
          <w:rFonts w:asciiTheme="majorHAnsi" w:hAnsiTheme="majorHAnsi"/>
          <w:lang w:val="sk-SK"/>
        </w:rPr>
        <w:t xml:space="preserve">§ 9 ods. 1 písm. i) zákona č. 131/2002 Z. z. o vysokých školách a o zmene a doplnení niektorých zákonov v znení neskorších predpisov v spojení s ustanovením </w:t>
      </w:r>
      <w:r w:rsidR="003824F1" w:rsidRPr="003824F1">
        <w:rPr>
          <w:rFonts w:asciiTheme="majorHAnsi" w:hAnsiTheme="majorHAnsi"/>
          <w:lang w:val="sk-SK"/>
        </w:rPr>
        <w:t>§</w:t>
      </w:r>
      <w:r w:rsidR="003824F1">
        <w:rPr>
          <w:rFonts w:asciiTheme="majorHAnsi" w:hAnsiTheme="majorHAnsi"/>
          <w:lang w:val="sk-SK"/>
        </w:rPr>
        <w:t> </w:t>
      </w:r>
      <w:r w:rsidR="003824F1" w:rsidRPr="003824F1">
        <w:rPr>
          <w:rFonts w:asciiTheme="majorHAnsi" w:hAnsiTheme="majorHAnsi"/>
          <w:lang w:val="sk-SK"/>
        </w:rPr>
        <w:t>13 ods. 1 písm. a) zákona č. 176/2004 Z. z. o nakladaní s</w:t>
      </w:r>
      <w:r w:rsidR="003824F1">
        <w:rPr>
          <w:rFonts w:asciiTheme="majorHAnsi" w:hAnsiTheme="majorHAnsi"/>
          <w:lang w:val="sk-SK"/>
        </w:rPr>
        <w:t> </w:t>
      </w:r>
      <w:r w:rsidR="003824F1" w:rsidRPr="003824F1">
        <w:rPr>
          <w:rFonts w:asciiTheme="majorHAnsi" w:hAnsiTheme="majorHAnsi"/>
          <w:lang w:val="sk-SK"/>
        </w:rPr>
        <w:t>majetkom verejnoprávnych inštitúcií a o zmene zákona Národnej rady Slovenskej republiky č. 259/1993 Z. z. o</w:t>
      </w:r>
      <w:r w:rsidR="00950FB3">
        <w:rPr>
          <w:rFonts w:asciiTheme="majorHAnsi" w:hAnsiTheme="majorHAnsi"/>
          <w:lang w:val="sk-SK"/>
        </w:rPr>
        <w:t> </w:t>
      </w:r>
      <w:r w:rsidR="003824F1" w:rsidRPr="003824F1">
        <w:rPr>
          <w:rFonts w:asciiTheme="majorHAnsi" w:hAnsiTheme="majorHAnsi"/>
          <w:lang w:val="sk-SK"/>
        </w:rPr>
        <w:t>Slovenskej lesníckej komore v znení zákona č. 464/2002 Z. z. v</w:t>
      </w:r>
      <w:r w:rsidR="00950FB3">
        <w:rPr>
          <w:rFonts w:asciiTheme="majorHAnsi" w:hAnsiTheme="majorHAnsi"/>
          <w:lang w:val="sk-SK"/>
        </w:rPr>
        <w:t> </w:t>
      </w:r>
      <w:r w:rsidR="003824F1" w:rsidRPr="003824F1">
        <w:rPr>
          <w:rFonts w:asciiTheme="majorHAnsi" w:hAnsiTheme="majorHAnsi"/>
          <w:lang w:val="sk-SK"/>
        </w:rPr>
        <w:t>znení neskorších predpisov.</w:t>
      </w:r>
    </w:p>
    <w:p w14:paraId="2188928D" w14:textId="4A43EF6A" w:rsidR="0030006A" w:rsidRDefault="0030006A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B449C3C" w14:textId="77777777" w:rsidR="00351232" w:rsidRPr="00AF7046" w:rsidRDefault="00351232" w:rsidP="009104D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1889293" w14:textId="081B08C5" w:rsidR="00D60679" w:rsidRDefault="0030006A" w:rsidP="003824F1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3824F1" w:rsidRPr="003824F1">
        <w:rPr>
          <w:rFonts w:asciiTheme="majorHAnsi" w:hAnsiTheme="majorHAnsi"/>
          <w:lang w:val="sk-SK"/>
        </w:rPr>
        <w:t>Akademický senát Slovenskej technickej univerzity v Bratislave dáva predchádzajúci písomný súhlas s návrhom na založenie inej právnickej osoby Centrum pre umelú inteligenciu a</w:t>
      </w:r>
      <w:r w:rsidR="003824F1">
        <w:rPr>
          <w:rFonts w:asciiTheme="majorHAnsi" w:hAnsiTheme="majorHAnsi"/>
          <w:lang w:val="sk-SK"/>
        </w:rPr>
        <w:t xml:space="preserve"> s </w:t>
      </w:r>
      <w:r w:rsidR="003824F1" w:rsidRPr="003824F1">
        <w:rPr>
          <w:rFonts w:asciiTheme="majorHAnsi" w:hAnsiTheme="majorHAnsi"/>
          <w:lang w:val="sk-SK"/>
        </w:rPr>
        <w:t>peňažný</w:t>
      </w:r>
      <w:r w:rsidR="003824F1">
        <w:rPr>
          <w:rFonts w:asciiTheme="majorHAnsi" w:hAnsiTheme="majorHAnsi"/>
          <w:lang w:val="sk-SK"/>
        </w:rPr>
        <w:t>m</w:t>
      </w:r>
      <w:r w:rsidR="003824F1" w:rsidRPr="003824F1">
        <w:rPr>
          <w:rFonts w:asciiTheme="majorHAnsi" w:hAnsiTheme="majorHAnsi"/>
          <w:lang w:val="sk-SK"/>
        </w:rPr>
        <w:t xml:space="preserve"> vklad</w:t>
      </w:r>
      <w:r w:rsidR="003824F1">
        <w:rPr>
          <w:rFonts w:asciiTheme="majorHAnsi" w:hAnsiTheme="majorHAnsi"/>
          <w:lang w:val="sk-SK"/>
        </w:rPr>
        <w:t>om</w:t>
      </w:r>
      <w:r w:rsidR="003824F1" w:rsidRPr="003824F1">
        <w:rPr>
          <w:rFonts w:asciiTheme="majorHAnsi" w:hAnsiTheme="majorHAnsi"/>
          <w:lang w:val="sk-SK"/>
        </w:rPr>
        <w:t xml:space="preserve"> do tejto právnickej osoby</w:t>
      </w:r>
      <w:r w:rsidR="003824F1">
        <w:rPr>
          <w:rFonts w:asciiTheme="majorHAnsi" w:hAnsiTheme="majorHAnsi"/>
          <w:lang w:val="sk-SK"/>
        </w:rPr>
        <w:t xml:space="preserve"> </w:t>
      </w:r>
      <w:r w:rsidR="003824F1" w:rsidRPr="003824F1">
        <w:rPr>
          <w:rFonts w:asciiTheme="majorHAnsi" w:hAnsiTheme="majorHAnsi"/>
          <w:lang w:val="sk-SK"/>
        </w:rPr>
        <w:t>a odporúča materiál predložiť na vyjadrenie predchádzajúceho písomného súhlasu Správnej rade STU.</w:t>
      </w:r>
    </w:p>
    <w:p w14:paraId="21889294" w14:textId="77777777" w:rsidR="006F4AFD" w:rsidRPr="00450F0C" w:rsidRDefault="00927B5B" w:rsidP="009104D6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14:paraId="21889295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lastRenderedPageBreak/>
        <w:t xml:space="preserve">V zmysle Vnútorného predpisu č. 6/2007 – N „Pravidlá vkladania peňažných vkladov alebo nepeňažných vkladov STU do iných právnických osôb“ zo dňa 19.11.2007 </w:t>
      </w:r>
      <w:r w:rsidR="00E15840" w:rsidRPr="003275F5">
        <w:rPr>
          <w:rFonts w:ascii="Calibri" w:hAnsi="Calibri"/>
          <w:lang w:val="sk-SK"/>
        </w:rPr>
        <w:t>a v </w:t>
      </w:r>
      <w:r w:rsidRPr="003275F5">
        <w:rPr>
          <w:rFonts w:ascii="Calibri" w:hAnsi="Calibri"/>
          <w:lang w:val="sk-SK"/>
        </w:rPr>
        <w:t>súlade s príslušnými ustanoveniami zákona o vysokých školách sa predkladá návrh na odsúhlasenie založenia inej právnickej osoby Slovenskou technickou univerzitou v</w:t>
      </w:r>
      <w:r w:rsidR="00E15840" w:rsidRPr="003275F5">
        <w:rPr>
          <w:rFonts w:ascii="Calibri" w:hAnsi="Calibri"/>
          <w:lang w:val="sk-SK"/>
        </w:rPr>
        <w:t> </w:t>
      </w:r>
      <w:r w:rsidRPr="003275F5">
        <w:rPr>
          <w:rFonts w:ascii="Calibri" w:hAnsi="Calibri"/>
          <w:lang w:val="sk-SK"/>
        </w:rPr>
        <w:t>Bratislave (ďalej len „STU“).</w:t>
      </w:r>
    </w:p>
    <w:p w14:paraId="21889296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97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u w:val="single"/>
          <w:lang w:val="sk-SK"/>
        </w:rPr>
      </w:pPr>
      <w:r w:rsidRPr="003275F5">
        <w:rPr>
          <w:rFonts w:ascii="Calibri" w:hAnsi="Calibri"/>
          <w:u w:val="single"/>
          <w:lang w:val="sk-SK"/>
        </w:rPr>
        <w:t>a) označenie – špecifikácia budúcej právnickej osoby, ktorej bude STU spoluzakladateľom</w:t>
      </w:r>
    </w:p>
    <w:p w14:paraId="21889298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99" w14:textId="77777777" w:rsidR="00D56823" w:rsidRPr="003275F5" w:rsidRDefault="00D56823" w:rsidP="003275F5">
      <w:pPr>
        <w:spacing w:after="120" w:line="276" w:lineRule="auto"/>
        <w:ind w:left="709" w:hanging="709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b/>
          <w:lang w:val="sk-SK"/>
        </w:rPr>
        <w:t>Predbežný názov:</w:t>
      </w:r>
      <w:r w:rsidRPr="003275F5">
        <w:rPr>
          <w:rFonts w:ascii="Calibri" w:hAnsi="Calibri"/>
          <w:lang w:val="sk-SK"/>
        </w:rPr>
        <w:t xml:space="preserve"> Centrum pre umelú inteligenciu (ďalej len „Centrum“)</w:t>
      </w:r>
    </w:p>
    <w:p w14:paraId="2188929A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b/>
          <w:lang w:val="sk-SK"/>
        </w:rPr>
        <w:t>Právna forma:</w:t>
      </w:r>
      <w:r w:rsidRPr="003275F5">
        <w:rPr>
          <w:rFonts w:ascii="Calibri" w:hAnsi="Calibri"/>
          <w:lang w:val="sk-SK"/>
        </w:rPr>
        <w:t xml:space="preserve"> záujmové združenie právnických osôb</w:t>
      </w:r>
    </w:p>
    <w:p w14:paraId="2188929B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b/>
          <w:lang w:val="sk-SK"/>
        </w:rPr>
      </w:pPr>
      <w:r w:rsidRPr="003275F5">
        <w:rPr>
          <w:rFonts w:ascii="Calibri" w:hAnsi="Calibri"/>
          <w:b/>
          <w:lang w:val="sk-SK"/>
        </w:rPr>
        <w:t xml:space="preserve">Predmet činnosti združenia: </w:t>
      </w:r>
    </w:p>
    <w:p w14:paraId="2188929C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prispievať k definovaniu potrieb pre rozvoj umelej inteligencie v podmienkach Slovenskej republiky v jednotlivých sektoroch kontinuálnym monitorovaním a</w:t>
      </w:r>
      <w:r w:rsidR="00E15840" w:rsidRPr="003275F5">
        <w:rPr>
          <w:rFonts w:ascii="Calibri" w:hAnsi="Calibri"/>
          <w:sz w:val="24"/>
          <w:szCs w:val="24"/>
        </w:rPr>
        <w:t> </w:t>
      </w:r>
      <w:r w:rsidRPr="003275F5">
        <w:rPr>
          <w:rFonts w:ascii="Calibri" w:hAnsi="Calibri"/>
          <w:sz w:val="24"/>
          <w:szCs w:val="24"/>
        </w:rPr>
        <w:t>analyzovaním súčasného stavu v oblasti umelej inteligencie,</w:t>
      </w:r>
    </w:p>
    <w:p w14:paraId="2188929D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 xml:space="preserve">prinášať úžitok spoločnosti pomenúvaním problémov a ponúkaním riešení získaných vedeckým výskumom vo vybraných oblastiach umelej inteligencie smerovaný do oblastí základného výskumu ako aj do oblastí s potenciálnym transferom poznatkov do praxe, </w:t>
      </w:r>
    </w:p>
    <w:p w14:paraId="2188929E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prispievať k formovaniu pozície Slovenskej republiky v jednotlivých oblastiach umelej inteligencie pre všetky skupiny ľudí a aj pre rôzne profesie,</w:t>
      </w:r>
    </w:p>
    <w:p w14:paraId="2188929F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prispievať k posilňovaniu vzdelávania v oblasti umelej inteligencie,</w:t>
      </w:r>
    </w:p>
    <w:p w14:paraId="218892A0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prispievať k rozvoju talentu v oblasti umelej inteligencie, ale aj širšie v oblasti informatiky, informačných a komunikačných technológií,</w:t>
      </w:r>
    </w:p>
    <w:p w14:paraId="218892A1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tlmočiť verejnosti a zainteresovaným subjektom prínosy a riziká, ktoré prináša pokrok v oblasti umelej inteligencie,</w:t>
      </w:r>
    </w:p>
    <w:p w14:paraId="218892A2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organizovať odborné diskusie, konferencie a iné platformy s odborným zameraním na oblasť umelej inteligencie,</w:t>
      </w:r>
    </w:p>
    <w:p w14:paraId="218892A3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posilňovať spoluprácu, podporovať transfer poznatkov v oblasti umelej inteligencie členom a prípadne iným zainteresovaným subjektom,</w:t>
      </w:r>
    </w:p>
    <w:p w14:paraId="218892A4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podporovať multidisciplinárnu povahu výskumu a vývoja v oblasti umelej inteligencie</w:t>
      </w:r>
    </w:p>
    <w:p w14:paraId="218892A5" w14:textId="77777777" w:rsidR="00D56823" w:rsidRPr="003275F5" w:rsidRDefault="00D56823" w:rsidP="003275F5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/>
          <w:sz w:val="24"/>
          <w:szCs w:val="24"/>
        </w:rPr>
      </w:pPr>
      <w:r w:rsidRPr="003275F5">
        <w:rPr>
          <w:rFonts w:ascii="Calibri" w:hAnsi="Calibri"/>
          <w:sz w:val="24"/>
          <w:szCs w:val="24"/>
        </w:rPr>
        <w:t>prepojovať zainteresované subjekty z akademického a priemyselného sektora zamerané na umelú inteligenciu s možnou participáciou štátneho sektora, neziskového sektora a samospráv najmä formou siete kontaktov a spoločných projektov.</w:t>
      </w:r>
    </w:p>
    <w:p w14:paraId="218892A6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A7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STU bude vystupovať ako </w:t>
      </w:r>
      <w:r w:rsidRPr="003275F5">
        <w:rPr>
          <w:rFonts w:ascii="Calibri" w:hAnsi="Calibri"/>
          <w:u w:val="single"/>
          <w:lang w:val="sk-SK"/>
        </w:rPr>
        <w:t>jeden zo zakladajúcich členov</w:t>
      </w:r>
      <w:r w:rsidRPr="003275F5">
        <w:rPr>
          <w:rFonts w:ascii="Calibri" w:hAnsi="Calibri"/>
          <w:lang w:val="sk-SK"/>
        </w:rPr>
        <w:t xml:space="preserve"> Centra. </w:t>
      </w:r>
    </w:p>
    <w:p w14:paraId="218892A8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STU bude zastupovať pán rektor: prof. Ing. Miroslav Fikar, DrSc. </w:t>
      </w:r>
    </w:p>
    <w:p w14:paraId="218892A9" w14:textId="77777777" w:rsidR="00D56823" w:rsidRPr="003275F5" w:rsidRDefault="00D56823" w:rsidP="003275F5">
      <w:pPr>
        <w:keepNext/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lastRenderedPageBreak/>
        <w:t>Ďalšími spoluzakladateľmi združenia okrem STU sú:</w:t>
      </w:r>
    </w:p>
    <w:p w14:paraId="218892AA" w14:textId="77777777" w:rsidR="00D56823" w:rsidRPr="003275F5" w:rsidRDefault="00D56823" w:rsidP="003275F5">
      <w:pPr>
        <w:keepNext/>
        <w:spacing w:line="276" w:lineRule="auto"/>
        <w:jc w:val="both"/>
        <w:rPr>
          <w:rFonts w:ascii="Calibri" w:hAnsi="Calibri"/>
          <w:b/>
          <w:lang w:val="sk-SK"/>
        </w:rPr>
      </w:pPr>
      <w:r w:rsidRPr="003275F5">
        <w:rPr>
          <w:rFonts w:ascii="Calibri" w:hAnsi="Calibri"/>
          <w:b/>
          <w:lang w:val="sk-SK"/>
        </w:rPr>
        <w:t xml:space="preserve">Americká obchodná komora v Slovenskej republike </w:t>
      </w:r>
    </w:p>
    <w:p w14:paraId="218892AB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Hodžovo námestie 568/2</w:t>
      </w:r>
    </w:p>
    <w:p w14:paraId="218892AC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81625 Bratislava - Staré Mesto</w:t>
      </w:r>
    </w:p>
    <w:p w14:paraId="218892AD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IČO: 30815690</w:t>
      </w:r>
    </w:p>
    <w:p w14:paraId="218892AE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zastúpená: Ing. Gabriel Galgoci, prezident</w:t>
      </w:r>
    </w:p>
    <w:p w14:paraId="218892AF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B0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b/>
          <w:lang w:val="sk-SK"/>
        </w:rPr>
      </w:pPr>
      <w:r w:rsidRPr="003275F5">
        <w:rPr>
          <w:rFonts w:ascii="Calibri" w:hAnsi="Calibri"/>
          <w:b/>
          <w:lang w:val="sk-SK"/>
        </w:rPr>
        <w:t>IT asociácia Slovenska</w:t>
      </w:r>
    </w:p>
    <w:p w14:paraId="218892B1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Cukrová 2272/14</w:t>
      </w:r>
    </w:p>
    <w:p w14:paraId="218892B2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81339 Bratislava - Staré Mesto</w:t>
      </w:r>
    </w:p>
    <w:p w14:paraId="218892B3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IČO: 31801412</w:t>
      </w:r>
    </w:p>
    <w:p w14:paraId="218892B4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zastúpená: Ing. Mário Lelovský, 1. viceprezident</w:t>
      </w:r>
    </w:p>
    <w:p w14:paraId="218892B5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B6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Vzhľadom na predmet činnosti združenia bude ST</w:t>
      </w:r>
      <w:r w:rsidR="00E15840" w:rsidRPr="003275F5">
        <w:rPr>
          <w:rFonts w:ascii="Calibri" w:hAnsi="Calibri"/>
          <w:lang w:val="sk-SK"/>
        </w:rPr>
        <w:t>U zastupovať primárne FIIT STU.</w:t>
      </w:r>
    </w:p>
    <w:p w14:paraId="218892B7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Predpokladá sa úzka spolupráca FIIT STU a FEI STU a zapojenie aj ďalších pracovísk podľa záujmu a vyvíjajúcich sa príležitostí spojených s predmetom činnosti združenia.</w:t>
      </w:r>
    </w:p>
    <w:p w14:paraId="218892B8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highlight w:val="yellow"/>
          <w:lang w:val="sk-SK"/>
        </w:rPr>
      </w:pPr>
    </w:p>
    <w:p w14:paraId="218892B9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u w:val="single"/>
          <w:lang w:val="sk-SK"/>
        </w:rPr>
      </w:pPr>
      <w:r w:rsidRPr="003275F5">
        <w:rPr>
          <w:rFonts w:ascii="Calibri" w:hAnsi="Calibri"/>
          <w:u w:val="single"/>
          <w:lang w:val="sk-SK"/>
        </w:rPr>
        <w:t>b) zdroje krytia vkladu aj so súhlasom osoby, ktorá týmito zdrojmi disponuje</w:t>
      </w:r>
    </w:p>
    <w:p w14:paraId="218892BA" w14:textId="7A302E98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Momentálne sa od STU neočakáva členský </w:t>
      </w:r>
      <w:r w:rsidR="00950FB3">
        <w:rPr>
          <w:rFonts w:ascii="Calibri" w:hAnsi="Calibri"/>
          <w:lang w:val="sk-SK"/>
        </w:rPr>
        <w:t>príspevok. V budúcnosti o členskom príspevku</w:t>
      </w:r>
      <w:r w:rsidRPr="003275F5">
        <w:rPr>
          <w:rFonts w:ascii="Calibri" w:hAnsi="Calibri"/>
          <w:lang w:val="sk-SK"/>
        </w:rPr>
        <w:t xml:space="preserve"> a jeho výške môže rozhodnúť správna rada (v ktorej má STU svoje zastúpenie). Snahou bude, aby akademické, verejnoprávne, neziskové, štátne inštitúcie mali výrazne nižší členský poplatok, prípadne úplné oslobodenie. </w:t>
      </w:r>
    </w:p>
    <w:p w14:paraId="218892BB" w14:textId="4592E064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Zakladatelia vložia počiatočný vklad</w:t>
      </w:r>
      <w:r w:rsidR="007142BC">
        <w:rPr>
          <w:rFonts w:ascii="Calibri" w:hAnsi="Calibri"/>
          <w:lang w:val="sk-SK"/>
        </w:rPr>
        <w:t xml:space="preserve"> zakladajúcich členov vo výške 6</w:t>
      </w:r>
      <w:r w:rsidR="00950FB3">
        <w:rPr>
          <w:rFonts w:ascii="Calibri" w:hAnsi="Calibri"/>
          <w:lang w:val="sk-SK"/>
        </w:rPr>
        <w:t>00 Eur na </w:t>
      </w:r>
      <w:r w:rsidRPr="003275F5">
        <w:rPr>
          <w:rFonts w:ascii="Calibri" w:hAnsi="Calibri"/>
          <w:lang w:val="sk-SK"/>
        </w:rPr>
        <w:t xml:space="preserve">pokrytie nutných počiatočných nákladov Centra (vrátane registračného správneho poplatku, ktorý je 66 Eur). </w:t>
      </w:r>
    </w:p>
    <w:p w14:paraId="218892BC" w14:textId="0210D88A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Náklady na činnosť Centra sa budú hradiť zo zdrojov získaných Centrom. V prípade potreby </w:t>
      </w:r>
      <w:r w:rsidR="000960B2">
        <w:rPr>
          <w:rFonts w:ascii="Calibri" w:hAnsi="Calibri"/>
          <w:lang w:val="sk-SK"/>
        </w:rPr>
        <w:t xml:space="preserve">finančného </w:t>
      </w:r>
      <w:r w:rsidRPr="003275F5">
        <w:rPr>
          <w:rFonts w:ascii="Calibri" w:hAnsi="Calibri"/>
          <w:lang w:val="sk-SK"/>
        </w:rPr>
        <w:t xml:space="preserve">zálohovania za STU </w:t>
      </w:r>
      <w:r w:rsidR="000960B2">
        <w:rPr>
          <w:rFonts w:ascii="Calibri" w:hAnsi="Calibri"/>
          <w:lang w:val="sk-SK"/>
        </w:rPr>
        <w:t xml:space="preserve">toto </w:t>
      </w:r>
      <w:r w:rsidRPr="003275F5">
        <w:rPr>
          <w:rFonts w:ascii="Calibri" w:hAnsi="Calibri"/>
          <w:lang w:val="sk-SK"/>
        </w:rPr>
        <w:t>bude zabezpečova</w:t>
      </w:r>
      <w:r w:rsidR="000960B2">
        <w:rPr>
          <w:rFonts w:ascii="Calibri" w:hAnsi="Calibri"/>
          <w:lang w:val="sk-SK"/>
        </w:rPr>
        <w:t xml:space="preserve">né zo zdrojov </w:t>
      </w:r>
      <w:r w:rsidRPr="003275F5">
        <w:rPr>
          <w:rFonts w:ascii="Calibri" w:hAnsi="Calibri"/>
          <w:lang w:val="sk-SK"/>
        </w:rPr>
        <w:t>FIIT STU</w:t>
      </w:r>
      <w:r w:rsidR="000960B2">
        <w:rPr>
          <w:rFonts w:ascii="Calibri" w:hAnsi="Calibri"/>
          <w:lang w:val="sk-SK"/>
        </w:rPr>
        <w:t xml:space="preserve"> a FEI STU</w:t>
      </w:r>
      <w:r w:rsidRPr="003275F5">
        <w:rPr>
          <w:rFonts w:ascii="Calibri" w:hAnsi="Calibri"/>
          <w:lang w:val="sk-SK"/>
        </w:rPr>
        <w:t xml:space="preserve">. </w:t>
      </w:r>
    </w:p>
    <w:p w14:paraId="218892BD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BE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u w:val="single"/>
          <w:lang w:val="sk-SK"/>
        </w:rPr>
      </w:pPr>
      <w:r w:rsidRPr="003275F5">
        <w:rPr>
          <w:rFonts w:ascii="Calibri" w:hAnsi="Calibri"/>
          <w:u w:val="single"/>
          <w:lang w:val="sk-SK"/>
        </w:rPr>
        <w:t>c) zdôvodnenie členstva STU vrátane označenia významu a výhod pre STU</w:t>
      </w:r>
    </w:p>
    <w:p w14:paraId="218892BF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Slovenská republika je do budúcnosti vystavená veľkému riziku automatizácie výroby vplyvom rozvoja umelej inteligencie, čo predstavuje výzvu pre verejné politiky (možný signifikantný nárast nezamestnaných a s tým súvisiaca záťaž pre budúce rozpočty, nároky na politiku zamestnanosti a existujúci vzdelávací systém). Vývoj naznačuje, že v budúcnosti bude umelá inteligencia jedným z najvýznamnejších stimulov hospodárstva. Vyspelé krajiny (vrátane okolitých krajín) sa v súčasnosti na tento posun pripravujú nielen formou finančných dotácií, prípravou stratégií, ale aj podporou vzniku platforiem, spoluprác, hubov či centier výskumu umelej </w:t>
      </w:r>
      <w:r w:rsidRPr="003275F5">
        <w:rPr>
          <w:rFonts w:ascii="Calibri" w:hAnsi="Calibri"/>
          <w:lang w:val="sk-SK"/>
        </w:rPr>
        <w:lastRenderedPageBreak/>
        <w:t>inteligencie. V</w:t>
      </w:r>
      <w:r w:rsidR="00E15840" w:rsidRPr="003275F5">
        <w:rPr>
          <w:rFonts w:ascii="Calibri" w:hAnsi="Calibri"/>
          <w:lang w:val="sk-SK"/>
        </w:rPr>
        <w:t> </w:t>
      </w:r>
      <w:r w:rsidRPr="003275F5">
        <w:rPr>
          <w:rFonts w:ascii="Calibri" w:hAnsi="Calibri"/>
          <w:lang w:val="sk-SK"/>
        </w:rPr>
        <w:t>okolitých krajinách takéto centrá alebo podobné platformy už existujú (napr. Digital Poland Foundation, Centrum umělé inteligence FEL ČVUT, Int. Institute for Advanced Research in AI v Rakúsku, AI Austria, Budapest AI Meetup). Slovenská republika zaostáva nielen v konkurenčnom boji o postavenie v oblasti umelej inteligencie, ale ohrozený je aj hospodársky vývoj vzhľadom na silné zastúpenie v oblasti automobilového priemyslu, u ktorého možno očakávať najskorší prechod k</w:t>
      </w:r>
      <w:r w:rsidR="00E15840" w:rsidRPr="003275F5">
        <w:rPr>
          <w:rFonts w:ascii="Calibri" w:hAnsi="Calibri"/>
          <w:lang w:val="sk-SK"/>
        </w:rPr>
        <w:t> </w:t>
      </w:r>
      <w:r w:rsidRPr="003275F5">
        <w:rPr>
          <w:rFonts w:ascii="Calibri" w:hAnsi="Calibri"/>
          <w:lang w:val="sk-SK"/>
        </w:rPr>
        <w:t xml:space="preserve">automatizácii. </w:t>
      </w:r>
    </w:p>
    <w:p w14:paraId="218892C0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Vzhľadom na veľkosť našej krajiny a nižší počet AI firiem na Slovensku je o to dôležitejšie spojiť sily, prepojiť jednotlivé firmy navzájom súčasne aj s akademickým sektorom a tým dosiahnuť synergický efekt. V opačnom prípade síce môže môžu jednotliví stakeholderi svojimi aktivitami získať napr. istú formu štátnej podpory a rozvíjať umelú inteligenciu na Slovensku, avšak aj vzhľadom na finančnú náročnosť využitie potenciálu umelej inteligencie bude menší a s menšou viditeľnosťou mimo Slovenskej republiky.</w:t>
      </w:r>
    </w:p>
    <w:p w14:paraId="218892C1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Všímajúc si politiky okolitých krajín a krajín EÚ sa môže stať SR  iba </w:t>
      </w:r>
      <w:r w:rsidR="00E15840" w:rsidRPr="003275F5">
        <w:rPr>
          <w:rFonts w:ascii="Calibri" w:hAnsi="Calibri"/>
          <w:lang w:val="sk-SK"/>
        </w:rPr>
        <w:t>„</w:t>
      </w:r>
      <w:r w:rsidRPr="003275F5">
        <w:rPr>
          <w:rFonts w:ascii="Calibri" w:hAnsi="Calibri"/>
          <w:lang w:val="sk-SK"/>
        </w:rPr>
        <w:t>čistým importérom</w:t>
      </w:r>
      <w:r w:rsidR="00E15840" w:rsidRPr="003275F5">
        <w:rPr>
          <w:rFonts w:ascii="Calibri" w:hAnsi="Calibri"/>
          <w:lang w:val="sk-SK"/>
        </w:rPr>
        <w:t>“</w:t>
      </w:r>
      <w:r w:rsidRPr="003275F5">
        <w:rPr>
          <w:rFonts w:ascii="Calibri" w:hAnsi="Calibri"/>
          <w:lang w:val="sk-SK"/>
        </w:rPr>
        <w:t xml:space="preserve"> AI technológií.</w:t>
      </w:r>
    </w:p>
    <w:p w14:paraId="218892C2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Súčasne pri zachovaní status quo môžeme očakávať ďalší odliv špičkových študentov a pracovníkov IT sektora do zahraničia - napr. do krajín s lepšou podporou AI sektora a budovania ľudských zdrojov v tejto oblasti.</w:t>
      </w:r>
    </w:p>
    <w:p w14:paraId="218892C3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Vzhľadom na skutočnosť, že dve fakulty STU (FIIT a FEI) orientujú svoj výskum a vzdelávaciu činnosť na oblasť umelej inteligencie a počtom IT študentov a kvalitou štúdia a aj absolventov patríme k slovenskej špičke, považujeme za potrebné, aby </w:t>
      </w:r>
      <w:r w:rsidRPr="003275F5">
        <w:rPr>
          <w:rFonts w:ascii="Calibri" w:hAnsi="Calibri"/>
          <w:b/>
          <w:lang w:val="sk-SK"/>
        </w:rPr>
        <w:t>práve STU bola nielen iniciátorom takýchto aktivít</w:t>
      </w:r>
      <w:r w:rsidR="00E15840" w:rsidRPr="003275F5">
        <w:rPr>
          <w:rFonts w:ascii="Calibri" w:hAnsi="Calibri"/>
          <w:b/>
          <w:lang w:val="sk-SK"/>
        </w:rPr>
        <w:t>, ale aj vedúcou inštitúciou za </w:t>
      </w:r>
      <w:r w:rsidRPr="003275F5">
        <w:rPr>
          <w:rFonts w:ascii="Calibri" w:hAnsi="Calibri"/>
          <w:b/>
          <w:lang w:val="sk-SK"/>
        </w:rPr>
        <w:t>akademický sektor ako taký</w:t>
      </w:r>
      <w:r w:rsidRPr="003275F5">
        <w:rPr>
          <w:rFonts w:ascii="Calibri" w:hAnsi="Calibri"/>
          <w:lang w:val="sk-SK"/>
        </w:rPr>
        <w:t>.</w:t>
      </w:r>
    </w:p>
    <w:p w14:paraId="218892C4" w14:textId="77777777" w:rsidR="00D56823" w:rsidRPr="003275F5" w:rsidRDefault="00D56823" w:rsidP="003275F5">
      <w:pPr>
        <w:spacing w:after="120"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Výhodou pre STU bude pozitívna propagácia a líderstvo v tejto oblasti na Slovensku. V dlhodobom horizonte očakávame pozitívny vplyv na prestíž univerzity a zlepšenie spolupráce s priemyslom. Za svoju doterajšiu činnos</w:t>
      </w:r>
      <w:r w:rsidR="00E15840" w:rsidRPr="003275F5">
        <w:rPr>
          <w:rFonts w:ascii="Calibri" w:hAnsi="Calibri"/>
          <w:lang w:val="sk-SK"/>
        </w:rPr>
        <w:t>ť môžeme preukázať, že dopyt zo </w:t>
      </w:r>
      <w:r w:rsidRPr="003275F5">
        <w:rPr>
          <w:rFonts w:ascii="Calibri" w:hAnsi="Calibri"/>
          <w:lang w:val="sk-SK"/>
        </w:rPr>
        <w:t xml:space="preserve">strany súkromných IT spoločností po takejto aktivite je veľký (oficiálne svoj záujem prejavilo zatiaľ cca 30 spoločností). Takouto činnosťou môže STU prezentovať prínos pre komunitu a hospodárstvo SR mimo svojej hlavnej činnosti – vzdelávacia a výskumná činnosť.  </w:t>
      </w:r>
    </w:p>
    <w:p w14:paraId="218892C5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i/>
          <w:u w:val="single"/>
          <w:lang w:val="sk-SK"/>
        </w:rPr>
      </w:pPr>
      <w:r w:rsidRPr="003275F5">
        <w:rPr>
          <w:rFonts w:ascii="Calibri" w:hAnsi="Calibri"/>
          <w:i/>
          <w:u w:val="single"/>
          <w:lang w:val="sk-SK"/>
        </w:rPr>
        <w:t>d) spôsob zabezpečenia napĺňania cieľov a záujmov STU v právnickej osobe</w:t>
      </w:r>
    </w:p>
    <w:p w14:paraId="218892C6" w14:textId="03638027" w:rsidR="00D56823" w:rsidRPr="003275F5" w:rsidRDefault="00E15840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Centrum</w:t>
      </w:r>
      <w:r w:rsidR="00D56823" w:rsidRPr="003275F5">
        <w:rPr>
          <w:rFonts w:ascii="Calibri" w:hAnsi="Calibri"/>
          <w:lang w:val="sk-SK"/>
        </w:rPr>
        <w:t xml:space="preserve"> bude mať </w:t>
      </w:r>
      <w:r w:rsidR="000960B2">
        <w:rPr>
          <w:rFonts w:ascii="Calibri" w:hAnsi="Calibri"/>
          <w:lang w:val="sk-SK"/>
        </w:rPr>
        <w:t>tieto</w:t>
      </w:r>
      <w:r w:rsidR="00D56823" w:rsidRPr="003275F5">
        <w:rPr>
          <w:rFonts w:ascii="Calibri" w:hAnsi="Calibri"/>
          <w:lang w:val="sk-SK"/>
        </w:rPr>
        <w:t xml:space="preserve"> orgány:</w:t>
      </w:r>
    </w:p>
    <w:p w14:paraId="218892C7" w14:textId="328E8C5D" w:rsidR="00D56823" w:rsidRPr="003275F5" w:rsidRDefault="000960B2" w:rsidP="003275F5">
      <w:pPr>
        <w:pStyle w:val="Odsekzoznamu"/>
        <w:numPr>
          <w:ilvl w:val="0"/>
          <w:numId w:val="36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D56823" w:rsidRPr="003275F5">
        <w:rPr>
          <w:rFonts w:ascii="Calibri" w:hAnsi="Calibri"/>
          <w:sz w:val="24"/>
          <w:szCs w:val="24"/>
        </w:rPr>
        <w:t>alné zhromaždenie</w:t>
      </w:r>
    </w:p>
    <w:p w14:paraId="218892C8" w14:textId="0AA6AAE0" w:rsidR="00D56823" w:rsidRPr="003275F5" w:rsidRDefault="000960B2" w:rsidP="003275F5">
      <w:pPr>
        <w:pStyle w:val="Odsekzoznamu"/>
        <w:numPr>
          <w:ilvl w:val="0"/>
          <w:numId w:val="36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D56823" w:rsidRPr="003275F5">
        <w:rPr>
          <w:rFonts w:ascii="Calibri" w:hAnsi="Calibri"/>
          <w:sz w:val="24"/>
          <w:szCs w:val="24"/>
        </w:rPr>
        <w:t>právn</w:t>
      </w:r>
      <w:r>
        <w:rPr>
          <w:rFonts w:ascii="Calibri" w:hAnsi="Calibri"/>
          <w:sz w:val="24"/>
          <w:szCs w:val="24"/>
        </w:rPr>
        <w:t>a</w:t>
      </w:r>
      <w:r w:rsidR="00D56823" w:rsidRPr="003275F5">
        <w:rPr>
          <w:rFonts w:ascii="Calibri" w:hAnsi="Calibri"/>
          <w:sz w:val="24"/>
          <w:szCs w:val="24"/>
        </w:rPr>
        <w:t xml:space="preserve"> rad</w:t>
      </w:r>
      <w:r>
        <w:rPr>
          <w:rFonts w:ascii="Calibri" w:hAnsi="Calibri"/>
          <w:sz w:val="24"/>
          <w:szCs w:val="24"/>
        </w:rPr>
        <w:t>a</w:t>
      </w:r>
    </w:p>
    <w:p w14:paraId="218892C9" w14:textId="4EE5D8F7" w:rsidR="00D56823" w:rsidRDefault="000960B2" w:rsidP="003275F5">
      <w:pPr>
        <w:pStyle w:val="Odsekzoznamu"/>
        <w:numPr>
          <w:ilvl w:val="0"/>
          <w:numId w:val="36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</w:t>
      </w:r>
      <w:r w:rsidRPr="000960B2">
        <w:rPr>
          <w:rFonts w:ascii="Calibri" w:hAnsi="Calibri"/>
          <w:sz w:val="24"/>
          <w:szCs w:val="24"/>
        </w:rPr>
        <w:t xml:space="preserve"> pre vývoj a inovácie a </w:t>
      </w:r>
      <w:r>
        <w:rPr>
          <w:rFonts w:ascii="Calibri" w:hAnsi="Calibri"/>
          <w:sz w:val="24"/>
          <w:szCs w:val="24"/>
        </w:rPr>
        <w:t>v</w:t>
      </w:r>
      <w:r w:rsidR="00D56823" w:rsidRPr="003275F5">
        <w:rPr>
          <w:rFonts w:ascii="Calibri" w:hAnsi="Calibri"/>
          <w:sz w:val="24"/>
          <w:szCs w:val="24"/>
        </w:rPr>
        <w:t>edeck</w:t>
      </w:r>
      <w:r>
        <w:rPr>
          <w:rFonts w:ascii="Calibri" w:hAnsi="Calibri"/>
          <w:sz w:val="24"/>
          <w:szCs w:val="24"/>
        </w:rPr>
        <w:t>á</w:t>
      </w:r>
      <w:r w:rsidR="00D56823" w:rsidRPr="003275F5">
        <w:rPr>
          <w:rFonts w:ascii="Calibri" w:hAnsi="Calibri"/>
          <w:sz w:val="24"/>
          <w:szCs w:val="24"/>
        </w:rPr>
        <w:t xml:space="preserve"> rad</w:t>
      </w:r>
      <w:r>
        <w:rPr>
          <w:rFonts w:ascii="Calibri" w:hAnsi="Calibri"/>
          <w:sz w:val="24"/>
          <w:szCs w:val="24"/>
        </w:rPr>
        <w:t>a</w:t>
      </w:r>
    </w:p>
    <w:p w14:paraId="72B48A19" w14:textId="7CFB034A" w:rsidR="000960B2" w:rsidRPr="000960B2" w:rsidRDefault="000960B2" w:rsidP="000960B2">
      <w:pPr>
        <w:pStyle w:val="Odsekzoznamu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predseda a podpredseda</w:t>
      </w:r>
      <w:r w:rsidRPr="000960B2">
        <w:rPr>
          <w:rFonts w:ascii="Calibri" w:hAnsi="Calibri"/>
          <w:sz w:val="24"/>
          <w:szCs w:val="24"/>
        </w:rPr>
        <w:t xml:space="preserve"> správnej rady,</w:t>
      </w:r>
    </w:p>
    <w:p w14:paraId="748C3D92" w14:textId="09F6467F" w:rsidR="000960B2" w:rsidRPr="003275F5" w:rsidRDefault="000960B2" w:rsidP="000960B2">
      <w:pPr>
        <w:pStyle w:val="Odsekzoznamu"/>
        <w:numPr>
          <w:ilvl w:val="0"/>
          <w:numId w:val="36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Pr="000960B2">
        <w:rPr>
          <w:rFonts w:ascii="Calibri" w:hAnsi="Calibri"/>
          <w:sz w:val="24"/>
          <w:szCs w:val="24"/>
        </w:rPr>
        <w:t>ýkonný riadite</w:t>
      </w:r>
      <w:r>
        <w:rPr>
          <w:rFonts w:ascii="Calibri" w:hAnsi="Calibri"/>
          <w:sz w:val="24"/>
          <w:szCs w:val="24"/>
        </w:rPr>
        <w:t>ľ.</w:t>
      </w:r>
    </w:p>
    <w:p w14:paraId="218892CA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</w:p>
    <w:p w14:paraId="218892CC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 xml:space="preserve">Okrem oficiálnych orgánov </w:t>
      </w:r>
      <w:r w:rsidR="001A4BB3">
        <w:rPr>
          <w:rFonts w:ascii="Calibri" w:hAnsi="Calibri"/>
          <w:lang w:val="sk-SK"/>
        </w:rPr>
        <w:t>Centra</w:t>
      </w:r>
      <w:r w:rsidRPr="003275F5">
        <w:rPr>
          <w:rFonts w:ascii="Calibri" w:hAnsi="Calibri"/>
          <w:lang w:val="sk-SK"/>
        </w:rPr>
        <w:t xml:space="preserve"> sa očakáva účasť jednotlivých zainteresovaných výskumných pracovníkov a študentov vo vytváraných pracovných skupinách a ti</w:t>
      </w:r>
      <w:r w:rsidR="00E15840" w:rsidRPr="003275F5">
        <w:rPr>
          <w:rFonts w:ascii="Calibri" w:hAnsi="Calibri"/>
          <w:lang w:val="sk-SK"/>
        </w:rPr>
        <w:t>ež na </w:t>
      </w:r>
      <w:r w:rsidRPr="003275F5">
        <w:rPr>
          <w:rFonts w:ascii="Calibri" w:hAnsi="Calibri"/>
          <w:lang w:val="sk-SK"/>
        </w:rPr>
        <w:t xml:space="preserve">organizovaných podujatiach v závislosti od povahy podujatia. </w:t>
      </w:r>
    </w:p>
    <w:p w14:paraId="218892CD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i/>
          <w:u w:val="single"/>
          <w:lang w:val="sk-SK"/>
        </w:rPr>
      </w:pPr>
    </w:p>
    <w:p w14:paraId="218892CE" w14:textId="77777777" w:rsidR="00D56823" w:rsidRPr="003275F5" w:rsidRDefault="00D56823" w:rsidP="003275F5">
      <w:pPr>
        <w:spacing w:line="276" w:lineRule="auto"/>
        <w:jc w:val="both"/>
        <w:rPr>
          <w:rFonts w:ascii="Calibri" w:hAnsi="Calibri"/>
          <w:u w:val="single"/>
          <w:lang w:val="sk-SK"/>
        </w:rPr>
      </w:pPr>
      <w:r w:rsidRPr="003275F5">
        <w:rPr>
          <w:rFonts w:ascii="Calibri" w:hAnsi="Calibri"/>
          <w:u w:val="single"/>
          <w:lang w:val="sk-SK"/>
        </w:rPr>
        <w:t>e) iné rozhodujúce okolnosti</w:t>
      </w:r>
    </w:p>
    <w:p w14:paraId="218892CF" w14:textId="77777777" w:rsidR="00D56823" w:rsidRPr="003275F5" w:rsidRDefault="00D56823" w:rsidP="003275F5">
      <w:pPr>
        <w:spacing w:line="276" w:lineRule="auto"/>
        <w:rPr>
          <w:rFonts w:ascii="Calibri" w:hAnsi="Calibri"/>
          <w:lang w:val="sk-SK"/>
        </w:rPr>
      </w:pPr>
      <w:r w:rsidRPr="003275F5">
        <w:rPr>
          <w:rFonts w:ascii="Calibri" w:hAnsi="Calibri"/>
          <w:lang w:val="sk-SK"/>
        </w:rPr>
        <w:t>žiadne</w:t>
      </w:r>
    </w:p>
    <w:p w14:paraId="218892D0" w14:textId="77777777" w:rsidR="00D56823" w:rsidRDefault="00D56823" w:rsidP="003275F5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14:paraId="218892D1" w14:textId="77777777" w:rsidR="003275F5" w:rsidRPr="003275F5" w:rsidRDefault="003275F5" w:rsidP="003275F5">
      <w:pPr>
        <w:pStyle w:val="Default"/>
        <w:spacing w:line="276" w:lineRule="auto"/>
        <w:jc w:val="both"/>
        <w:rPr>
          <w:rFonts w:ascii="Calibri" w:hAnsi="Calibri" w:cs="Times New Roman"/>
          <w:lang w:val="sk-SK"/>
        </w:rPr>
      </w:pPr>
    </w:p>
    <w:p w14:paraId="218892D2" w14:textId="77777777" w:rsidR="003275F5" w:rsidRPr="003275F5" w:rsidRDefault="003275F5" w:rsidP="003275F5">
      <w:pPr>
        <w:pStyle w:val="Default"/>
        <w:spacing w:line="276" w:lineRule="auto"/>
        <w:jc w:val="both"/>
        <w:rPr>
          <w:rFonts w:ascii="Calibri" w:hAnsi="Calibri" w:cs="Times New Roman"/>
          <w:u w:val="single"/>
          <w:lang w:val="sk-SK"/>
        </w:rPr>
      </w:pPr>
      <w:r w:rsidRPr="003275F5">
        <w:rPr>
          <w:rFonts w:ascii="Calibri" w:hAnsi="Calibri" w:cs="Times New Roman"/>
          <w:u w:val="single"/>
          <w:lang w:val="sk-SK"/>
        </w:rPr>
        <w:t>Prílohy:</w:t>
      </w:r>
    </w:p>
    <w:p w14:paraId="218892D3" w14:textId="77777777" w:rsidR="003275F5" w:rsidRPr="003275F5" w:rsidRDefault="003275F5" w:rsidP="003275F5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3275F5">
        <w:rPr>
          <w:rFonts w:ascii="Calibri" w:hAnsi="Calibri" w:cs="Times New Roman"/>
          <w:lang w:val="sk-SK"/>
        </w:rPr>
        <w:t>Návrh zakladateľskej zmluvy</w:t>
      </w:r>
    </w:p>
    <w:p w14:paraId="218892D4" w14:textId="77777777" w:rsidR="003275F5" w:rsidRPr="003275F5" w:rsidRDefault="003275F5" w:rsidP="003275F5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" w:hAnsi="Calibri" w:cs="Times New Roman"/>
          <w:lang w:val="sk-SK"/>
        </w:rPr>
      </w:pPr>
      <w:r w:rsidRPr="003275F5">
        <w:rPr>
          <w:rFonts w:ascii="Calibri" w:hAnsi="Calibri" w:cs="Times New Roman"/>
          <w:lang w:val="sk-SK"/>
        </w:rPr>
        <w:t>Návrh stanov</w:t>
      </w:r>
    </w:p>
    <w:sectPr w:rsidR="003275F5" w:rsidRPr="003275F5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495A" w14:textId="77777777" w:rsidR="004B7DEE" w:rsidRDefault="004B7DEE" w:rsidP="0030006A">
      <w:r>
        <w:separator/>
      </w:r>
    </w:p>
  </w:endnote>
  <w:endnote w:type="continuationSeparator" w:id="0">
    <w:p w14:paraId="57FC2BDC" w14:textId="77777777" w:rsidR="004B7DEE" w:rsidRDefault="004B7DE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2DA" w14:textId="77777777"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8892DB" w14:textId="77777777"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8892DC" w14:textId="77777777"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2DD" w14:textId="77777777"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2DF" w14:textId="03BE9AD9"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51232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14:paraId="218892E0" w14:textId="77777777"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8169" w14:textId="77777777" w:rsidR="004B7DEE" w:rsidRDefault="004B7DEE" w:rsidP="0030006A">
      <w:r>
        <w:separator/>
      </w:r>
    </w:p>
  </w:footnote>
  <w:footnote w:type="continuationSeparator" w:id="0">
    <w:p w14:paraId="41345353" w14:textId="77777777" w:rsidR="004B7DEE" w:rsidRDefault="004B7DE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2D9" w14:textId="77777777"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218892E1" wp14:editId="218892E2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2DE" w14:textId="77777777" w:rsidR="00D83C42" w:rsidRDefault="00D56823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892E3" wp14:editId="218892E4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892E7" w14:textId="6D7473BD" w:rsidR="00E15840" w:rsidRDefault="00D73398" w:rsidP="003A20EF">
                          <w:pPr>
                            <w:ind w:left="144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E15840" w:rsidRP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</w:t>
                          </w:r>
                          <w:r w:rsidR="00E15840" w:rsidRP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28</w:t>
                          </w:r>
                          <w:r w:rsidR="00E15840" w:rsidRP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D032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E15840" w:rsidRP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0.2019</w:t>
                          </w:r>
                        </w:p>
                        <w:p w14:paraId="7201CA3B" w14:textId="77777777" w:rsidR="000E000F" w:rsidRDefault="00E15840" w:rsidP="003A20EF">
                          <w:pPr>
                            <w:ind w:left="144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založenie inej právnickej osoby</w:t>
                          </w:r>
                        </w:p>
                        <w:p w14:paraId="218892E9" w14:textId="77777777" w:rsidR="00D83C42" w:rsidRPr="00A20866" w:rsidRDefault="009104D6" w:rsidP="003A20E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E1584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892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v6tAIAALw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DjWW/q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14:paraId="218892E7" w14:textId="6D7473BD" w:rsidR="00E15840" w:rsidRDefault="00D73398" w:rsidP="003A20EF">
                    <w:pPr>
                      <w:ind w:left="144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E15840" w:rsidRP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</w:t>
                    </w:r>
                    <w:r w:rsidR="00E15840" w:rsidRP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28</w:t>
                    </w:r>
                    <w:r w:rsidR="00E15840" w:rsidRP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D032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E15840" w:rsidRP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0.2019</w:t>
                    </w:r>
                  </w:p>
                  <w:p w14:paraId="7201CA3B" w14:textId="77777777" w:rsidR="000E000F" w:rsidRDefault="00E15840" w:rsidP="003A20EF">
                    <w:pPr>
                      <w:ind w:left="144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založenie inej právnickej osoby</w:t>
                    </w:r>
                  </w:p>
                  <w:p w14:paraId="218892E9" w14:textId="77777777" w:rsidR="00D83C42" w:rsidRPr="00A20866" w:rsidRDefault="009104D6" w:rsidP="003A20E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E1584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218892E5" wp14:editId="218892E6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DA5126B"/>
    <w:multiLevelType w:val="hybridMultilevel"/>
    <w:tmpl w:val="8B40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36CA3"/>
    <w:multiLevelType w:val="hybridMultilevel"/>
    <w:tmpl w:val="CC6CF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1C3E9F"/>
    <w:multiLevelType w:val="hybridMultilevel"/>
    <w:tmpl w:val="56C8A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2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3"/>
  </w:num>
  <w:num w:numId="23">
    <w:abstractNumId w:val="35"/>
  </w:num>
  <w:num w:numId="24">
    <w:abstractNumId w:val="13"/>
  </w:num>
  <w:num w:numId="25">
    <w:abstractNumId w:val="34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 w:numId="36">
    <w:abstractNumId w:val="30"/>
  </w:num>
  <w:num w:numId="37">
    <w:abstractNumId w:val="36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51615"/>
    <w:rsid w:val="0006307B"/>
    <w:rsid w:val="00070B9E"/>
    <w:rsid w:val="00080A1F"/>
    <w:rsid w:val="00080A61"/>
    <w:rsid w:val="0009293E"/>
    <w:rsid w:val="000960B2"/>
    <w:rsid w:val="000A6D3A"/>
    <w:rsid w:val="000C12CF"/>
    <w:rsid w:val="000D1788"/>
    <w:rsid w:val="000E000F"/>
    <w:rsid w:val="000E6EED"/>
    <w:rsid w:val="000E75A1"/>
    <w:rsid w:val="000F3EE8"/>
    <w:rsid w:val="000F79A1"/>
    <w:rsid w:val="0010090C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A0C97"/>
    <w:rsid w:val="001A2F79"/>
    <w:rsid w:val="001A4BB3"/>
    <w:rsid w:val="001A5B63"/>
    <w:rsid w:val="001C060B"/>
    <w:rsid w:val="001C2A15"/>
    <w:rsid w:val="001C4454"/>
    <w:rsid w:val="001C6CA3"/>
    <w:rsid w:val="001D1012"/>
    <w:rsid w:val="001D5227"/>
    <w:rsid w:val="001D7A4C"/>
    <w:rsid w:val="001F0DC0"/>
    <w:rsid w:val="0020522D"/>
    <w:rsid w:val="00206FB7"/>
    <w:rsid w:val="00214A5E"/>
    <w:rsid w:val="00224C5A"/>
    <w:rsid w:val="002323C0"/>
    <w:rsid w:val="00237543"/>
    <w:rsid w:val="00244EB4"/>
    <w:rsid w:val="00246CCA"/>
    <w:rsid w:val="0026567C"/>
    <w:rsid w:val="002659E5"/>
    <w:rsid w:val="00274482"/>
    <w:rsid w:val="002958F8"/>
    <w:rsid w:val="002B0E19"/>
    <w:rsid w:val="002B490F"/>
    <w:rsid w:val="002B5290"/>
    <w:rsid w:val="002B7307"/>
    <w:rsid w:val="002C3007"/>
    <w:rsid w:val="002D1E4B"/>
    <w:rsid w:val="002E3CF0"/>
    <w:rsid w:val="002E58D1"/>
    <w:rsid w:val="0030006A"/>
    <w:rsid w:val="0032493D"/>
    <w:rsid w:val="003275F5"/>
    <w:rsid w:val="003306CC"/>
    <w:rsid w:val="00351232"/>
    <w:rsid w:val="003515D7"/>
    <w:rsid w:val="00352D10"/>
    <w:rsid w:val="00360EA7"/>
    <w:rsid w:val="0036356A"/>
    <w:rsid w:val="00370677"/>
    <w:rsid w:val="0037718C"/>
    <w:rsid w:val="003824F1"/>
    <w:rsid w:val="003833BD"/>
    <w:rsid w:val="00385C90"/>
    <w:rsid w:val="003869A7"/>
    <w:rsid w:val="00387EAF"/>
    <w:rsid w:val="00391B41"/>
    <w:rsid w:val="00393693"/>
    <w:rsid w:val="003A20EF"/>
    <w:rsid w:val="003D067B"/>
    <w:rsid w:val="003D219E"/>
    <w:rsid w:val="003D35B6"/>
    <w:rsid w:val="003E09B9"/>
    <w:rsid w:val="003F23A9"/>
    <w:rsid w:val="00402F8E"/>
    <w:rsid w:val="00405740"/>
    <w:rsid w:val="004172DC"/>
    <w:rsid w:val="00422B64"/>
    <w:rsid w:val="00425C09"/>
    <w:rsid w:val="0043175E"/>
    <w:rsid w:val="00433F11"/>
    <w:rsid w:val="004443C6"/>
    <w:rsid w:val="00450F0C"/>
    <w:rsid w:val="00451894"/>
    <w:rsid w:val="00460E87"/>
    <w:rsid w:val="00464006"/>
    <w:rsid w:val="0046595B"/>
    <w:rsid w:val="004676BB"/>
    <w:rsid w:val="00467D3C"/>
    <w:rsid w:val="00471814"/>
    <w:rsid w:val="004778F4"/>
    <w:rsid w:val="00481A02"/>
    <w:rsid w:val="004864BD"/>
    <w:rsid w:val="0048698F"/>
    <w:rsid w:val="00487325"/>
    <w:rsid w:val="004A0C50"/>
    <w:rsid w:val="004B7DEE"/>
    <w:rsid w:val="004C2CB5"/>
    <w:rsid w:val="004E5427"/>
    <w:rsid w:val="004F4E93"/>
    <w:rsid w:val="00520AC6"/>
    <w:rsid w:val="0052751F"/>
    <w:rsid w:val="005279E6"/>
    <w:rsid w:val="0053784B"/>
    <w:rsid w:val="00546A05"/>
    <w:rsid w:val="00552A42"/>
    <w:rsid w:val="00556247"/>
    <w:rsid w:val="00565445"/>
    <w:rsid w:val="00566AC6"/>
    <w:rsid w:val="0058077B"/>
    <w:rsid w:val="005864FA"/>
    <w:rsid w:val="00587603"/>
    <w:rsid w:val="00595DBE"/>
    <w:rsid w:val="005A0384"/>
    <w:rsid w:val="005A1790"/>
    <w:rsid w:val="005B1F1F"/>
    <w:rsid w:val="005B31E8"/>
    <w:rsid w:val="005B7DCA"/>
    <w:rsid w:val="005C0107"/>
    <w:rsid w:val="005C3AD3"/>
    <w:rsid w:val="005D3981"/>
    <w:rsid w:val="005E3355"/>
    <w:rsid w:val="005E3EEA"/>
    <w:rsid w:val="005F1ACA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722"/>
    <w:rsid w:val="006A2B37"/>
    <w:rsid w:val="006A65EA"/>
    <w:rsid w:val="006C29C7"/>
    <w:rsid w:val="006D279A"/>
    <w:rsid w:val="006D36AE"/>
    <w:rsid w:val="006E4870"/>
    <w:rsid w:val="006E6404"/>
    <w:rsid w:val="006F2B97"/>
    <w:rsid w:val="006F4AFD"/>
    <w:rsid w:val="007000C1"/>
    <w:rsid w:val="00702C70"/>
    <w:rsid w:val="007039B2"/>
    <w:rsid w:val="00704767"/>
    <w:rsid w:val="0071101F"/>
    <w:rsid w:val="007142BC"/>
    <w:rsid w:val="007162FB"/>
    <w:rsid w:val="007349F8"/>
    <w:rsid w:val="00734DCC"/>
    <w:rsid w:val="007474BB"/>
    <w:rsid w:val="007573EB"/>
    <w:rsid w:val="007609D9"/>
    <w:rsid w:val="007676D6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4677"/>
    <w:rsid w:val="008E79A7"/>
    <w:rsid w:val="008F1046"/>
    <w:rsid w:val="008F60F3"/>
    <w:rsid w:val="00904A1A"/>
    <w:rsid w:val="0090659B"/>
    <w:rsid w:val="009104D6"/>
    <w:rsid w:val="00927B5B"/>
    <w:rsid w:val="009413BF"/>
    <w:rsid w:val="00950FB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1288"/>
    <w:rsid w:val="009C5A4F"/>
    <w:rsid w:val="009D0E69"/>
    <w:rsid w:val="009E0399"/>
    <w:rsid w:val="009E1D33"/>
    <w:rsid w:val="009E3543"/>
    <w:rsid w:val="009E5E10"/>
    <w:rsid w:val="009E74D6"/>
    <w:rsid w:val="009E7EBF"/>
    <w:rsid w:val="009F0EED"/>
    <w:rsid w:val="009F61CA"/>
    <w:rsid w:val="00A00F2C"/>
    <w:rsid w:val="00A03D64"/>
    <w:rsid w:val="00A06C49"/>
    <w:rsid w:val="00A07F75"/>
    <w:rsid w:val="00A11A31"/>
    <w:rsid w:val="00A11C42"/>
    <w:rsid w:val="00A20866"/>
    <w:rsid w:val="00A21214"/>
    <w:rsid w:val="00A22B18"/>
    <w:rsid w:val="00A31E87"/>
    <w:rsid w:val="00A33225"/>
    <w:rsid w:val="00A405D2"/>
    <w:rsid w:val="00A42603"/>
    <w:rsid w:val="00A522E5"/>
    <w:rsid w:val="00A5310A"/>
    <w:rsid w:val="00A540AA"/>
    <w:rsid w:val="00A7717E"/>
    <w:rsid w:val="00A90E84"/>
    <w:rsid w:val="00AA5FA6"/>
    <w:rsid w:val="00AB495A"/>
    <w:rsid w:val="00AC4F8A"/>
    <w:rsid w:val="00AC640C"/>
    <w:rsid w:val="00AE30B7"/>
    <w:rsid w:val="00AE545A"/>
    <w:rsid w:val="00AF34FB"/>
    <w:rsid w:val="00AF7046"/>
    <w:rsid w:val="00B11B42"/>
    <w:rsid w:val="00B224BE"/>
    <w:rsid w:val="00B332D0"/>
    <w:rsid w:val="00B360C8"/>
    <w:rsid w:val="00B63307"/>
    <w:rsid w:val="00B659B0"/>
    <w:rsid w:val="00B65EAF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765C3"/>
    <w:rsid w:val="00C80AE1"/>
    <w:rsid w:val="00C819BF"/>
    <w:rsid w:val="00C822A4"/>
    <w:rsid w:val="00C85A5D"/>
    <w:rsid w:val="00C975A4"/>
    <w:rsid w:val="00CB2C98"/>
    <w:rsid w:val="00CC2A80"/>
    <w:rsid w:val="00CC520F"/>
    <w:rsid w:val="00CD2A6D"/>
    <w:rsid w:val="00CE6990"/>
    <w:rsid w:val="00CF5B5C"/>
    <w:rsid w:val="00CF7C2D"/>
    <w:rsid w:val="00D0198A"/>
    <w:rsid w:val="00D03230"/>
    <w:rsid w:val="00D05BFB"/>
    <w:rsid w:val="00D272E9"/>
    <w:rsid w:val="00D27B2D"/>
    <w:rsid w:val="00D3392D"/>
    <w:rsid w:val="00D34342"/>
    <w:rsid w:val="00D36BF6"/>
    <w:rsid w:val="00D55202"/>
    <w:rsid w:val="00D55AB3"/>
    <w:rsid w:val="00D56823"/>
    <w:rsid w:val="00D56983"/>
    <w:rsid w:val="00D57A3E"/>
    <w:rsid w:val="00D60679"/>
    <w:rsid w:val="00D73398"/>
    <w:rsid w:val="00D73FC6"/>
    <w:rsid w:val="00D746E5"/>
    <w:rsid w:val="00D80C23"/>
    <w:rsid w:val="00D83C42"/>
    <w:rsid w:val="00D915DE"/>
    <w:rsid w:val="00DA3820"/>
    <w:rsid w:val="00DB027A"/>
    <w:rsid w:val="00DB0C2E"/>
    <w:rsid w:val="00DB23FC"/>
    <w:rsid w:val="00DB4503"/>
    <w:rsid w:val="00DD0DA7"/>
    <w:rsid w:val="00DF3DE3"/>
    <w:rsid w:val="00DF7502"/>
    <w:rsid w:val="00E008E6"/>
    <w:rsid w:val="00E0422A"/>
    <w:rsid w:val="00E15840"/>
    <w:rsid w:val="00E17FE6"/>
    <w:rsid w:val="00E23859"/>
    <w:rsid w:val="00E2688F"/>
    <w:rsid w:val="00E27DEE"/>
    <w:rsid w:val="00E35A85"/>
    <w:rsid w:val="00E35B46"/>
    <w:rsid w:val="00E41BD2"/>
    <w:rsid w:val="00E57F3A"/>
    <w:rsid w:val="00E614E5"/>
    <w:rsid w:val="00EA7C07"/>
    <w:rsid w:val="00EB0E67"/>
    <w:rsid w:val="00EC260C"/>
    <w:rsid w:val="00EC74FA"/>
    <w:rsid w:val="00ED00CD"/>
    <w:rsid w:val="00ED4504"/>
    <w:rsid w:val="00ED6887"/>
    <w:rsid w:val="00ED6EE1"/>
    <w:rsid w:val="00EE03EB"/>
    <w:rsid w:val="00EE2D58"/>
    <w:rsid w:val="00EE3EA0"/>
    <w:rsid w:val="00EE4830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202E"/>
    <w:rsid w:val="00FA5AD7"/>
    <w:rsid w:val="00FA6352"/>
    <w:rsid w:val="00FA6F1C"/>
    <w:rsid w:val="00FB3225"/>
    <w:rsid w:val="00FB6E45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8927B"/>
  <w15:docId w15:val="{302C3C5C-FE4B-4C65-82A9-CA6A059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styleId="Mriekatabuky">
    <w:name w:val="Table Grid"/>
    <w:basedOn w:val="Normlnatabuka"/>
    <w:uiPriority w:val="59"/>
    <w:rsid w:val="00A3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D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20AEC-F7C9-4F44-BE61-4810FFD0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15</cp:revision>
  <cp:lastPrinted>2017-03-30T09:43:00Z</cp:lastPrinted>
  <dcterms:created xsi:type="dcterms:W3CDTF">2019-09-27T11:57:00Z</dcterms:created>
  <dcterms:modified xsi:type="dcterms:W3CDTF">2019-10-16T05:49:00Z</dcterms:modified>
</cp:coreProperties>
</file>