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BE" w:rsidRPr="005A52BE" w:rsidRDefault="0016714A" w:rsidP="005A52BE">
      <w:pPr>
        <w:jc w:val="right"/>
      </w:pPr>
      <w:r>
        <w:rPr>
          <w:noProof/>
        </w:rPr>
        <w:drawing>
          <wp:inline distT="0" distB="0" distL="0" distR="0">
            <wp:extent cx="2133600" cy="913271"/>
            <wp:effectExtent l="0" t="0" r="0" b="127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5944" cy="914274"/>
                    </a:xfrm>
                    <a:prstGeom prst="rect">
                      <a:avLst/>
                    </a:prstGeom>
                    <a:noFill/>
                    <a:ln>
                      <a:noFill/>
                    </a:ln>
                  </pic:spPr>
                </pic:pic>
              </a:graphicData>
            </a:graphic>
          </wp:inline>
        </w:drawing>
      </w:r>
      <w:r w:rsidR="005A52BE">
        <w:rPr>
          <w:noProof/>
        </w:rPr>
        <w:t xml:space="preserve">  </w:t>
      </w:r>
      <w:r w:rsidR="005A52BE">
        <w:rPr>
          <w:noProof/>
        </w:rPr>
        <w:tab/>
      </w:r>
      <w:r w:rsidR="005A52BE">
        <w:rPr>
          <w:noProof/>
        </w:rPr>
        <w:tab/>
      </w:r>
      <w:r>
        <w:rPr>
          <w:noProof/>
        </w:rPr>
        <w:tab/>
      </w:r>
      <w:r w:rsidR="005A52BE">
        <w:rPr>
          <w:noProof/>
        </w:rPr>
        <w:tab/>
      </w:r>
      <w:r w:rsidR="005A52BE">
        <w:rPr>
          <w:noProof/>
        </w:rPr>
        <w:tab/>
      </w:r>
      <w:r w:rsidR="005A52BE">
        <w:rPr>
          <w:noProof/>
        </w:rPr>
        <w:tab/>
        <w:t xml:space="preserve">         </w:t>
      </w:r>
      <w:r w:rsidR="005A52BE">
        <w:rPr>
          <w:noProof/>
        </w:rPr>
        <w:drawing>
          <wp:inline distT="0" distB="0" distL="0" distR="0" wp14:anchorId="73865080" wp14:editId="02CB3B1C">
            <wp:extent cx="923925" cy="923925"/>
            <wp:effectExtent l="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5A52BE" w:rsidRPr="005A52BE" w:rsidRDefault="004E22C1" w:rsidP="005A52BE">
      <w:pPr>
        <w:spacing w:after="0" w:line="240" w:lineRule="auto"/>
        <w:jc w:val="center"/>
        <w:textAlignment w:val="baseline"/>
        <w:outlineLvl w:val="0"/>
        <w:rPr>
          <w:rFonts w:eastAsia="Times New Roman" w:cs="Helvetica"/>
          <w:b/>
          <w:kern w:val="36"/>
          <w:sz w:val="40"/>
          <w:szCs w:val="40"/>
          <w:lang w:eastAsia="hu-HU"/>
        </w:rPr>
      </w:pPr>
      <w:proofErr w:type="spellStart"/>
      <w:r>
        <w:rPr>
          <w:rFonts w:eastAsia="Times New Roman" w:cs="Helvetica"/>
          <w:b/>
          <w:kern w:val="36"/>
          <w:sz w:val="40"/>
          <w:szCs w:val="40"/>
          <w:lang w:eastAsia="hu-HU"/>
        </w:rPr>
        <w:t>P</w:t>
      </w:r>
      <w:r w:rsidRPr="004E22C1">
        <w:rPr>
          <w:rFonts w:eastAsia="Times New Roman" w:cs="Helvetica"/>
          <w:b/>
          <w:kern w:val="36"/>
          <w:sz w:val="40"/>
          <w:szCs w:val="40"/>
          <w:lang w:eastAsia="hu-HU"/>
        </w:rPr>
        <w:t>ozvanie</w:t>
      </w:r>
      <w:proofErr w:type="spellEnd"/>
      <w:r w:rsidR="005A52BE">
        <w:rPr>
          <w:rFonts w:eastAsia="Times New Roman" w:cs="Helvetica"/>
          <w:b/>
          <w:kern w:val="36"/>
          <w:sz w:val="40"/>
          <w:szCs w:val="40"/>
          <w:lang w:eastAsia="hu-HU"/>
        </w:rPr>
        <w:t xml:space="preserve"> and Program</w:t>
      </w:r>
    </w:p>
    <w:p w:rsidR="005A52BE" w:rsidRDefault="005A52BE" w:rsidP="005A52BE">
      <w:pPr>
        <w:spacing w:after="0" w:line="240" w:lineRule="auto"/>
        <w:jc w:val="both"/>
        <w:textAlignment w:val="baseline"/>
        <w:outlineLvl w:val="0"/>
        <w:rPr>
          <w:rFonts w:eastAsia="Times New Roman" w:cs="Helvetica"/>
          <w:b/>
          <w:kern w:val="36"/>
          <w:sz w:val="24"/>
          <w:szCs w:val="24"/>
          <w:lang w:eastAsia="hu-HU"/>
        </w:rPr>
      </w:pPr>
    </w:p>
    <w:p w:rsidR="004E22C1" w:rsidRDefault="004E22C1" w:rsidP="004E22C1">
      <w:pPr>
        <w:spacing w:after="0" w:line="240" w:lineRule="auto"/>
        <w:jc w:val="both"/>
        <w:rPr>
          <w:b/>
          <w:bCs/>
          <w:sz w:val="24"/>
          <w:szCs w:val="24"/>
          <w:lang w:val="sk-SK"/>
        </w:rPr>
      </w:pPr>
      <w:r w:rsidRPr="004E22C1">
        <w:rPr>
          <w:b/>
          <w:bCs/>
          <w:sz w:val="24"/>
          <w:szCs w:val="24"/>
          <w:lang w:val="sk-SK"/>
        </w:rPr>
        <w:t>Projekt Interreg SKHU CBC EYES organizuje školenie pre startupy v spolupráci s Asistenčným miestom pre malé a stredné podniky China and South-East Asia IPR SME Helpdesk na tému „Podnikanie v Ázii – dôležitosť ochrany a vymáhateľnosti práv duševného vlastníctva“ dňa 20. júna 2018</w:t>
      </w:r>
    </w:p>
    <w:p w:rsidR="004E22C1" w:rsidRPr="004E22C1" w:rsidRDefault="004E22C1" w:rsidP="004E22C1">
      <w:pPr>
        <w:spacing w:after="0" w:line="240" w:lineRule="auto"/>
        <w:jc w:val="both"/>
        <w:rPr>
          <w:b/>
          <w:bCs/>
          <w:sz w:val="24"/>
          <w:szCs w:val="24"/>
          <w:lang w:val="sk-SK"/>
        </w:rPr>
      </w:pPr>
    </w:p>
    <w:p w:rsidR="004E22C1" w:rsidRPr="004E22C1" w:rsidRDefault="004E22C1" w:rsidP="004E22C1">
      <w:pPr>
        <w:spacing w:after="0" w:line="240" w:lineRule="auto"/>
        <w:jc w:val="both"/>
        <w:rPr>
          <w:sz w:val="24"/>
          <w:szCs w:val="24"/>
          <w:lang w:val="sk-SK"/>
        </w:rPr>
      </w:pPr>
      <w:r w:rsidRPr="004E22C1">
        <w:rPr>
          <w:bCs/>
          <w:sz w:val="24"/>
          <w:szCs w:val="24"/>
          <w:lang w:val="sk-SK"/>
        </w:rPr>
        <w:t>Juhovýchodná Ázia a Čína sú rastúce trhy, ktoré poskytujú hojné možnosti pre slovenské podniky. Avšak proces vstupu a/alebo udržania sa ona zahraničných trhoch si vyžaduje trpezlivosť, vytrvalosť a správnu prípravu, napr. pri hľadaní dôveryhodného obchodného partnera a prekonávaní  interkultúrnych rozdielov. Jedným z prvkov, ktoré sa často zanedbávajú, najmä medzi malými a stredným podnikmi, je ochrana práv duševného vlastníctva, ako sú obchodné známky, patenty, autorské práva, obchodné tajomstvá, priemyselné dizajny. Tieto práva sú vaším podstatným podnikateľským aktívom a musia byť chránené nielen v rámci hraníc Slovenska alebo Európskej únie, ale predovšetkým pri vstupe na zahraničné trhy, kde jestvuje riziko kopírovania produktov. Silná stratégia ochrany práv duševného vlastníctva a jeho portfólia je kľúčová pre pritiahnutie investorov a tiež pre úspech presadenia sa na trhu.</w:t>
      </w:r>
    </w:p>
    <w:p w:rsidR="004E22C1" w:rsidRPr="004E22C1" w:rsidRDefault="004E22C1" w:rsidP="004E22C1">
      <w:pPr>
        <w:spacing w:after="0" w:line="240" w:lineRule="auto"/>
        <w:jc w:val="both"/>
        <w:rPr>
          <w:sz w:val="24"/>
          <w:szCs w:val="24"/>
          <w:lang w:val="sk-SK"/>
        </w:rPr>
      </w:pPr>
      <w:r w:rsidRPr="004E22C1">
        <w:rPr>
          <w:sz w:val="24"/>
          <w:szCs w:val="24"/>
          <w:lang w:val="sk-SK"/>
        </w:rPr>
        <w:t xml:space="preserve">Na tomto podujatí expert Asistenčného miesta China IPR SME Helpdesk </w:t>
      </w:r>
      <w:r w:rsidRPr="004E22C1">
        <w:rPr>
          <w:b/>
          <w:i/>
          <w:iCs/>
          <w:sz w:val="24"/>
          <w:szCs w:val="24"/>
          <w:lang w:val="sk-SK"/>
        </w:rPr>
        <w:t>Michal Klaczynski</w:t>
      </w:r>
      <w:r w:rsidRPr="004E22C1">
        <w:rPr>
          <w:i/>
          <w:iCs/>
          <w:sz w:val="24"/>
          <w:szCs w:val="24"/>
          <w:lang w:val="sk-SK"/>
        </w:rPr>
        <w:t xml:space="preserve"> </w:t>
      </w:r>
      <w:r w:rsidRPr="004E22C1">
        <w:rPr>
          <w:iCs/>
          <w:sz w:val="24"/>
          <w:szCs w:val="24"/>
          <w:lang w:val="sk-SK"/>
        </w:rPr>
        <w:t>vás uvedie</w:t>
      </w:r>
      <w:r w:rsidRPr="004E22C1">
        <w:rPr>
          <w:sz w:val="24"/>
          <w:szCs w:val="24"/>
          <w:lang w:val="sk-SK"/>
        </w:rPr>
        <w:t xml:space="preserve"> do toho, ako sa najlepšie pripraviť po stránke práv duševného vlastníctva, ak uvažujete o vstupe na trhy Číny a juhovýchodnej Ázie.</w:t>
      </w:r>
    </w:p>
    <w:p w:rsidR="004E22C1" w:rsidRPr="004E22C1" w:rsidRDefault="004E22C1" w:rsidP="004E22C1">
      <w:pPr>
        <w:spacing w:after="0" w:line="240" w:lineRule="auto"/>
        <w:jc w:val="both"/>
        <w:rPr>
          <w:sz w:val="24"/>
          <w:szCs w:val="24"/>
          <w:lang w:val="sk-SK"/>
        </w:rPr>
      </w:pPr>
      <w:r w:rsidRPr="004E22C1">
        <w:rPr>
          <w:sz w:val="24"/>
          <w:szCs w:val="24"/>
          <w:lang w:val="sk-SK"/>
        </w:rPr>
        <w:t>Bude sa rozoberať tieto témy:</w:t>
      </w:r>
    </w:p>
    <w:p w:rsidR="004E22C1" w:rsidRPr="004E22C1" w:rsidRDefault="004E22C1" w:rsidP="004E22C1">
      <w:pPr>
        <w:numPr>
          <w:ilvl w:val="0"/>
          <w:numId w:val="2"/>
        </w:numPr>
        <w:spacing w:after="0" w:line="240" w:lineRule="auto"/>
        <w:jc w:val="both"/>
        <w:rPr>
          <w:sz w:val="24"/>
          <w:szCs w:val="24"/>
          <w:lang w:val="sk-SK"/>
        </w:rPr>
      </w:pPr>
      <w:r w:rsidRPr="004E22C1">
        <w:rPr>
          <w:sz w:val="24"/>
          <w:szCs w:val="24"/>
          <w:lang w:val="sk-SK"/>
        </w:rPr>
        <w:t>Rôzne druhy práv duševného vlastníctva (autorské práva, obchodné známky, obchodné tajomstvá, patenty a dizajny)</w:t>
      </w:r>
    </w:p>
    <w:p w:rsidR="004E22C1" w:rsidRPr="004E22C1" w:rsidRDefault="004E22C1" w:rsidP="004E22C1">
      <w:pPr>
        <w:numPr>
          <w:ilvl w:val="0"/>
          <w:numId w:val="2"/>
        </w:numPr>
        <w:spacing w:after="0" w:line="240" w:lineRule="auto"/>
        <w:jc w:val="both"/>
        <w:rPr>
          <w:sz w:val="24"/>
          <w:szCs w:val="24"/>
          <w:lang w:val="sk-SK"/>
        </w:rPr>
      </w:pPr>
      <w:r w:rsidRPr="004E22C1">
        <w:rPr>
          <w:sz w:val="24"/>
          <w:szCs w:val="24"/>
          <w:lang w:val="sk-SK"/>
        </w:rPr>
        <w:t>Režim ochrany práv duševného vlastníctva v Číne a juhovýchodnej Ázii</w:t>
      </w:r>
    </w:p>
    <w:p w:rsidR="004E22C1" w:rsidRPr="004E22C1" w:rsidRDefault="004E22C1" w:rsidP="004E22C1">
      <w:pPr>
        <w:numPr>
          <w:ilvl w:val="0"/>
          <w:numId w:val="2"/>
        </w:numPr>
        <w:spacing w:after="0" w:line="240" w:lineRule="auto"/>
        <w:jc w:val="both"/>
        <w:rPr>
          <w:sz w:val="24"/>
          <w:szCs w:val="24"/>
          <w:lang w:val="sk-SK"/>
        </w:rPr>
      </w:pPr>
      <w:r w:rsidRPr="004E22C1">
        <w:rPr>
          <w:sz w:val="24"/>
          <w:szCs w:val="24"/>
          <w:lang w:val="sk-SK"/>
        </w:rPr>
        <w:t>Mechanizmy prevencie a vymáhania</w:t>
      </w:r>
    </w:p>
    <w:p w:rsidR="004E22C1" w:rsidRPr="004E22C1" w:rsidRDefault="004E22C1" w:rsidP="004E22C1">
      <w:pPr>
        <w:numPr>
          <w:ilvl w:val="0"/>
          <w:numId w:val="2"/>
        </w:numPr>
        <w:spacing w:after="0" w:line="240" w:lineRule="auto"/>
        <w:jc w:val="both"/>
        <w:rPr>
          <w:sz w:val="24"/>
          <w:szCs w:val="24"/>
          <w:lang w:val="sk-SK"/>
        </w:rPr>
      </w:pPr>
      <w:r w:rsidRPr="004E22C1">
        <w:rPr>
          <w:sz w:val="24"/>
          <w:szCs w:val="24"/>
          <w:lang w:val="sk-SK"/>
        </w:rPr>
        <w:t>Praktické tipy čo robiť a nerobiť v oblasti práv duševného vlastníctva</w:t>
      </w:r>
    </w:p>
    <w:p w:rsidR="004E22C1" w:rsidRPr="004E22C1" w:rsidRDefault="004E22C1" w:rsidP="004E22C1">
      <w:pPr>
        <w:numPr>
          <w:ilvl w:val="0"/>
          <w:numId w:val="2"/>
        </w:numPr>
        <w:spacing w:after="0" w:line="240" w:lineRule="auto"/>
        <w:jc w:val="both"/>
        <w:rPr>
          <w:sz w:val="24"/>
          <w:szCs w:val="24"/>
          <w:lang w:val="sk-SK"/>
        </w:rPr>
      </w:pPr>
      <w:r w:rsidRPr="004E22C1">
        <w:rPr>
          <w:sz w:val="24"/>
          <w:szCs w:val="24"/>
          <w:lang w:val="sk-SK"/>
        </w:rPr>
        <w:t>Prípadové štúdie</w:t>
      </w:r>
    </w:p>
    <w:p w:rsidR="004E22C1" w:rsidRDefault="004E22C1" w:rsidP="004E22C1">
      <w:pPr>
        <w:spacing w:after="0" w:line="240" w:lineRule="auto"/>
        <w:jc w:val="both"/>
        <w:rPr>
          <w:sz w:val="24"/>
          <w:szCs w:val="24"/>
          <w:lang w:val="sk-SK"/>
        </w:rPr>
      </w:pPr>
      <w:r w:rsidRPr="004E22C1">
        <w:rPr>
          <w:sz w:val="24"/>
          <w:szCs w:val="24"/>
          <w:lang w:val="sk-SK"/>
        </w:rPr>
        <w:t>Náš expert by mohol poskytnúť aj individuálne konzultácie po svojej prezentácii.</w:t>
      </w:r>
    </w:p>
    <w:p w:rsidR="004E22C1" w:rsidRPr="004E22C1" w:rsidRDefault="004E22C1" w:rsidP="004E22C1">
      <w:pPr>
        <w:spacing w:after="0" w:line="240" w:lineRule="auto"/>
        <w:jc w:val="both"/>
        <w:rPr>
          <w:sz w:val="24"/>
          <w:szCs w:val="24"/>
          <w:lang w:val="sk-SK"/>
        </w:rPr>
      </w:pPr>
    </w:p>
    <w:p w:rsidR="004E22C1" w:rsidRPr="004E22C1" w:rsidRDefault="004E22C1" w:rsidP="004E22C1">
      <w:pPr>
        <w:spacing w:after="0" w:line="240" w:lineRule="auto"/>
        <w:jc w:val="both"/>
        <w:rPr>
          <w:b/>
          <w:sz w:val="24"/>
          <w:szCs w:val="24"/>
          <w:lang w:val="sk-SK"/>
        </w:rPr>
      </w:pPr>
      <w:r w:rsidRPr="004E22C1">
        <w:rPr>
          <w:b/>
          <w:bCs/>
          <w:sz w:val="24"/>
          <w:szCs w:val="24"/>
          <w:lang w:val="sk-SK"/>
        </w:rPr>
        <w:t xml:space="preserve">Školiteľ: </w:t>
      </w:r>
      <w:r w:rsidRPr="004E22C1">
        <w:rPr>
          <w:b/>
          <w:sz w:val="24"/>
          <w:szCs w:val="24"/>
          <w:lang w:val="sk-SK"/>
        </w:rPr>
        <w:t>Michal Klaczynski</w:t>
      </w:r>
    </w:p>
    <w:p w:rsidR="004E22C1" w:rsidRDefault="004E22C1" w:rsidP="004E22C1">
      <w:pPr>
        <w:spacing w:after="0" w:line="240" w:lineRule="auto"/>
        <w:jc w:val="both"/>
        <w:rPr>
          <w:sz w:val="24"/>
          <w:szCs w:val="24"/>
          <w:lang w:val="sk-SK"/>
        </w:rPr>
      </w:pPr>
      <w:r w:rsidRPr="004E22C1">
        <w:rPr>
          <w:b/>
          <w:bCs/>
          <w:sz w:val="24"/>
          <w:szCs w:val="24"/>
          <w:lang w:val="sk-SK"/>
        </w:rPr>
        <w:t>Spoločnosť:</w:t>
      </w:r>
      <w:r w:rsidRPr="004E22C1">
        <w:rPr>
          <w:sz w:val="24"/>
          <w:szCs w:val="24"/>
          <w:lang w:val="sk-SK"/>
        </w:rPr>
        <w:t xml:space="preserve"> Klaczynski Legal Consulting</w:t>
      </w:r>
    </w:p>
    <w:p w:rsidR="004E22C1" w:rsidRPr="004E22C1" w:rsidRDefault="004E22C1" w:rsidP="004E22C1">
      <w:pPr>
        <w:spacing w:after="0" w:line="240" w:lineRule="auto"/>
        <w:jc w:val="both"/>
        <w:rPr>
          <w:sz w:val="24"/>
          <w:szCs w:val="24"/>
          <w:lang w:val="sk-SK"/>
        </w:rPr>
      </w:pPr>
    </w:p>
    <w:p w:rsidR="004E22C1" w:rsidRDefault="004E22C1" w:rsidP="004E22C1">
      <w:pPr>
        <w:spacing w:after="0" w:line="240" w:lineRule="auto"/>
        <w:jc w:val="both"/>
        <w:rPr>
          <w:sz w:val="24"/>
          <w:szCs w:val="24"/>
          <w:lang w:val="sk-SK"/>
        </w:rPr>
      </w:pPr>
      <w:r w:rsidRPr="004E22C1">
        <w:rPr>
          <w:sz w:val="24"/>
          <w:szCs w:val="24"/>
          <w:lang w:val="sk-SK"/>
        </w:rPr>
        <w:drawing>
          <wp:inline distT="0" distB="0" distL="0" distR="0" wp14:anchorId="4B65AC68" wp14:editId="1693F8BC">
            <wp:extent cx="990600" cy="1304925"/>
            <wp:effectExtent l="0" t="0" r="0" b="9525"/>
            <wp:docPr id="2" name="Obrázok 2" descr="http://bvk.hu/wp-content/uploads/2018/06/michal_klaczynski.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vk.hu/wp-content/uploads/2018/06/michal_klaczynski.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304925"/>
                    </a:xfrm>
                    <a:prstGeom prst="rect">
                      <a:avLst/>
                    </a:prstGeom>
                    <a:noFill/>
                    <a:ln>
                      <a:noFill/>
                    </a:ln>
                  </pic:spPr>
                </pic:pic>
              </a:graphicData>
            </a:graphic>
          </wp:inline>
        </w:drawing>
      </w:r>
      <w:r>
        <w:rPr>
          <w:b/>
          <w:i/>
          <w:iCs/>
          <w:sz w:val="24"/>
          <w:szCs w:val="24"/>
          <w:lang w:val="sk-SK"/>
        </w:rPr>
        <w:t xml:space="preserve"> </w:t>
      </w:r>
      <w:r w:rsidRPr="004E22C1">
        <w:rPr>
          <w:b/>
          <w:i/>
          <w:iCs/>
          <w:sz w:val="24"/>
          <w:szCs w:val="24"/>
          <w:lang w:val="sk-SK"/>
        </w:rPr>
        <w:t>Michal Klaczynski</w:t>
      </w:r>
      <w:r w:rsidRPr="004E22C1">
        <w:rPr>
          <w:sz w:val="24"/>
          <w:szCs w:val="24"/>
          <w:lang w:val="sk-SK"/>
        </w:rPr>
        <w:t xml:space="preserve"> má viac ako desaťročné skúsenosti z poľskej a medzinárodnej podnikateľskej praxe  a v súčasnosti vedie svoju poradenskú firmu, pričom sa </w:t>
      </w:r>
      <w:r w:rsidRPr="004E22C1">
        <w:rPr>
          <w:sz w:val="24"/>
          <w:szCs w:val="24"/>
          <w:lang w:val="sk-SK"/>
        </w:rPr>
        <w:lastRenderedPageBreak/>
        <w:t>špecializuje na medzinárodné obchodné transakcie a regulačné záležitosti, vrátane asistencie pri podnikaní a ochrane duševného vlastníctva  v Číne. Jeho skúsenosti zahrnujú pomoc spoločnostiam zakladajúcim svoje podnikanie v Číne, poradenstvo  v regulácii priamych zahraničných investícií a v rokovaniach o dohodách o spoločných podnikoch (joint venture).. Tiež radí o rôznych aspektoch čínskej legislatívy o autorských právach, obchodných známkach a obchodnom tajomstve, a asistuje pri rokovania o licenciách, výrobných a distribučných zmluvách v podnikaní v Číne. Michal je absolventom Harvard Law School (LL.M.) v USA a Jagielonskej univerzity v Poľsku. Študoval na Sichuan United University (Chengdu v Číne)a v súčasnosti pracuje na PhD dizertácii z medzinárodného práva.</w:t>
      </w:r>
    </w:p>
    <w:p w:rsidR="004E22C1" w:rsidRPr="004E22C1" w:rsidRDefault="004E22C1" w:rsidP="004E22C1">
      <w:pPr>
        <w:spacing w:after="0" w:line="240" w:lineRule="auto"/>
        <w:jc w:val="both"/>
        <w:rPr>
          <w:sz w:val="24"/>
          <w:szCs w:val="24"/>
          <w:lang w:val="sk-SK"/>
        </w:rPr>
      </w:pPr>
    </w:p>
    <w:p w:rsidR="004E22C1" w:rsidRDefault="004E22C1" w:rsidP="004E22C1">
      <w:pPr>
        <w:spacing w:after="0" w:line="240" w:lineRule="auto"/>
        <w:jc w:val="both"/>
        <w:rPr>
          <w:sz w:val="24"/>
          <w:szCs w:val="24"/>
          <w:lang w:val="sk-SK"/>
        </w:rPr>
      </w:pPr>
      <w:r w:rsidRPr="004E22C1">
        <w:rPr>
          <w:sz w:val="24"/>
          <w:szCs w:val="24"/>
          <w:lang w:val="en-GB"/>
        </w:rPr>
        <w:drawing>
          <wp:inline distT="0" distB="0" distL="0" distR="0" wp14:anchorId="45BA0DCD" wp14:editId="0DB05295">
            <wp:extent cx="2990850" cy="866775"/>
            <wp:effectExtent l="0" t="0" r="0" b="9525"/>
            <wp:docPr id="3" name="Obrázok 3" descr="http://bvk.hu/wp-content/uploads/2018/06/China-IPR-002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vk.hu/wp-content/uploads/2018/06/China-IPR-002_edit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866775"/>
                    </a:xfrm>
                    <a:prstGeom prst="rect">
                      <a:avLst/>
                    </a:prstGeom>
                    <a:noFill/>
                    <a:ln>
                      <a:noFill/>
                    </a:ln>
                  </pic:spPr>
                </pic:pic>
              </a:graphicData>
            </a:graphic>
          </wp:inline>
        </w:drawing>
      </w:r>
      <w:r w:rsidRPr="004E22C1">
        <w:rPr>
          <w:sz w:val="24"/>
          <w:szCs w:val="24"/>
          <w:lang w:val="sk-SK"/>
        </w:rPr>
        <w:t>The China and South-East Asia IPR SME Helpdesk supports European Union Small and Medium-sized Enterprises (SMEs) to both protect and enforce their Intellectual Property Rights (IPR) in or relating to Mainland China, Hong Kong, Macao and Taiwan and in South-East Asia through the provision of free information and services. These take the form of jargon-free, first-line, confidential advice on intellectual property and related issues, plus training, materials and online resources. The IPR SME Helpdesk project is funded by the European Union and builds on the achievements of a pilot project since 2008.</w:t>
      </w:r>
    </w:p>
    <w:p w:rsidR="004E22C1" w:rsidRPr="004E22C1" w:rsidRDefault="004E22C1" w:rsidP="004E22C1">
      <w:pPr>
        <w:spacing w:after="0" w:line="240" w:lineRule="auto"/>
        <w:jc w:val="both"/>
        <w:rPr>
          <w:sz w:val="24"/>
          <w:szCs w:val="24"/>
          <w:lang w:val="sk-SK"/>
        </w:rPr>
      </w:pPr>
    </w:p>
    <w:p w:rsidR="004E22C1" w:rsidRPr="004E22C1" w:rsidRDefault="004E22C1" w:rsidP="004E22C1">
      <w:pPr>
        <w:spacing w:after="0" w:line="240" w:lineRule="auto"/>
        <w:jc w:val="both"/>
        <w:rPr>
          <w:sz w:val="24"/>
          <w:szCs w:val="24"/>
          <w:lang w:val="sk-SK"/>
        </w:rPr>
      </w:pPr>
      <w:r w:rsidRPr="004E22C1">
        <w:rPr>
          <w:b/>
          <w:bCs/>
          <w:sz w:val="24"/>
          <w:szCs w:val="24"/>
          <w:lang w:val="sk-SK"/>
        </w:rPr>
        <w:t>Dátum:</w:t>
      </w:r>
      <w:r w:rsidRPr="004E22C1">
        <w:rPr>
          <w:sz w:val="24"/>
          <w:szCs w:val="24"/>
          <w:lang w:val="sk-SK"/>
        </w:rPr>
        <w:t xml:space="preserve"> 20. jún 2018, 14:00 – 16:00</w:t>
      </w:r>
    </w:p>
    <w:p w:rsidR="004E22C1" w:rsidRDefault="004E22C1" w:rsidP="004E22C1">
      <w:pPr>
        <w:spacing w:after="0" w:line="240" w:lineRule="auto"/>
        <w:jc w:val="both"/>
        <w:rPr>
          <w:sz w:val="24"/>
          <w:szCs w:val="24"/>
          <w:lang w:val="sk-SK"/>
        </w:rPr>
      </w:pPr>
      <w:r w:rsidRPr="004E22C1">
        <w:rPr>
          <w:b/>
          <w:bCs/>
          <w:sz w:val="24"/>
          <w:szCs w:val="24"/>
          <w:lang w:val="sk-SK"/>
        </w:rPr>
        <w:t>Miesto konania</w:t>
      </w:r>
      <w:r w:rsidRPr="004E22C1">
        <w:rPr>
          <w:sz w:val="24"/>
          <w:szCs w:val="24"/>
          <w:lang w:val="sk-SK"/>
        </w:rPr>
        <w:t>: Budapest Enterprise Agency HQ</w:t>
      </w:r>
      <w:r w:rsidRPr="004E22C1">
        <w:rPr>
          <w:b/>
          <w:bCs/>
          <w:sz w:val="24"/>
          <w:szCs w:val="24"/>
          <w:lang w:val="sk-SK"/>
        </w:rPr>
        <w:t xml:space="preserve">, </w:t>
      </w:r>
      <w:r w:rsidRPr="004E22C1">
        <w:rPr>
          <w:sz w:val="24"/>
          <w:szCs w:val="24"/>
          <w:lang w:val="sk-SK"/>
        </w:rPr>
        <w:t>H-1072 Budapest, Rákóczi út 18.</w:t>
      </w:r>
    </w:p>
    <w:p w:rsidR="004E22C1" w:rsidRPr="004E22C1" w:rsidRDefault="004E22C1" w:rsidP="004E22C1">
      <w:pPr>
        <w:spacing w:after="0" w:line="240" w:lineRule="auto"/>
        <w:jc w:val="both"/>
        <w:rPr>
          <w:sz w:val="24"/>
          <w:szCs w:val="24"/>
          <w:lang w:val="sk-SK"/>
        </w:rPr>
      </w:pPr>
    </w:p>
    <w:p w:rsidR="004E22C1" w:rsidRDefault="004E22C1" w:rsidP="004E22C1">
      <w:pPr>
        <w:spacing w:after="0" w:line="240" w:lineRule="auto"/>
        <w:jc w:val="both"/>
        <w:rPr>
          <w:sz w:val="24"/>
          <w:szCs w:val="24"/>
          <w:lang w:val="sk-SK"/>
        </w:rPr>
      </w:pPr>
      <w:r w:rsidRPr="004E22C1">
        <w:rPr>
          <w:sz w:val="24"/>
          <w:szCs w:val="24"/>
          <w:lang w:val="sk-SK"/>
        </w:rPr>
        <w:t xml:space="preserve">Workshop je bezplatný, vyžaduje sa však registrácia! </w:t>
      </w:r>
    </w:p>
    <w:p w:rsidR="004E22C1" w:rsidRDefault="004E22C1" w:rsidP="004E22C1">
      <w:pPr>
        <w:spacing w:after="0" w:line="240" w:lineRule="auto"/>
        <w:jc w:val="both"/>
        <w:rPr>
          <w:b/>
          <w:sz w:val="24"/>
          <w:szCs w:val="24"/>
          <w:lang w:val="sk-SK"/>
        </w:rPr>
      </w:pPr>
    </w:p>
    <w:p w:rsidR="003406CD" w:rsidRDefault="004E22C1" w:rsidP="003406CD">
      <w:pPr>
        <w:spacing w:line="240" w:lineRule="auto"/>
        <w:jc w:val="both"/>
        <w:rPr>
          <w:sz w:val="24"/>
          <w:szCs w:val="24"/>
        </w:rPr>
      </w:pPr>
      <w:r w:rsidRPr="004E22C1">
        <w:rPr>
          <w:b/>
          <w:sz w:val="24"/>
          <w:szCs w:val="24"/>
          <w:lang w:val="sk-SK"/>
        </w:rPr>
        <w:t>Registrácia:</w:t>
      </w:r>
      <w:r>
        <w:rPr>
          <w:b/>
          <w:sz w:val="24"/>
          <w:szCs w:val="24"/>
          <w:lang w:val="sk-SK"/>
        </w:rPr>
        <w:t xml:space="preserve"> </w:t>
      </w:r>
      <w:hyperlink r:id="rId13" w:history="1">
        <w:r w:rsidR="003406CD">
          <w:rPr>
            <w:rStyle w:val="Hiperhivatkozs"/>
            <w:sz w:val="24"/>
            <w:szCs w:val="24"/>
          </w:rPr>
          <w:t>http://bvk.hu/be-smart-workshop-doing-business-in-asia-the-importance-of-intellectual-property-protection-an</w:t>
        </w:r>
        <w:r w:rsidR="003406CD">
          <w:rPr>
            <w:rStyle w:val="Lbjegyzet-hivatkozs"/>
            <w:color w:val="0000FF"/>
            <w:sz w:val="24"/>
            <w:szCs w:val="24"/>
            <w:u w:val="single"/>
          </w:rPr>
          <w:footnoteReference w:id="1"/>
        </w:r>
        <w:r w:rsidR="003406CD">
          <w:rPr>
            <w:rStyle w:val="Hiperhivatkozs"/>
            <w:sz w:val="24"/>
            <w:szCs w:val="24"/>
          </w:rPr>
          <w:t>d-enforcement-20-june-2018/</w:t>
        </w:r>
      </w:hyperlink>
      <w:r w:rsidR="003406CD">
        <w:rPr>
          <w:sz w:val="24"/>
          <w:szCs w:val="24"/>
        </w:rPr>
        <w:t xml:space="preserve"> </w:t>
      </w:r>
    </w:p>
    <w:p w:rsidR="004E22C1" w:rsidRPr="004E22C1" w:rsidRDefault="004E22C1" w:rsidP="004E22C1">
      <w:pPr>
        <w:spacing w:after="0" w:line="240" w:lineRule="auto"/>
        <w:jc w:val="both"/>
        <w:rPr>
          <w:b/>
          <w:sz w:val="24"/>
          <w:szCs w:val="24"/>
          <w:lang w:val="sk-SK"/>
        </w:rPr>
      </w:pPr>
      <w:bookmarkStart w:id="0" w:name="_GoBack"/>
      <w:bookmarkEnd w:id="0"/>
    </w:p>
    <w:p w:rsidR="005A52BE" w:rsidRPr="005A52BE" w:rsidRDefault="005A52BE" w:rsidP="004E22C1">
      <w:pPr>
        <w:spacing w:after="0" w:line="240" w:lineRule="auto"/>
        <w:jc w:val="both"/>
        <w:rPr>
          <w:sz w:val="24"/>
          <w:szCs w:val="24"/>
        </w:rPr>
      </w:pPr>
      <w:r>
        <w:rPr>
          <w:sz w:val="24"/>
          <w:szCs w:val="24"/>
        </w:rPr>
        <w:t xml:space="preserve"> </w:t>
      </w:r>
    </w:p>
    <w:sectPr w:rsidR="005A52BE" w:rsidRPr="005A52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2C1" w:rsidRDefault="004E22C1" w:rsidP="005A52BE">
      <w:pPr>
        <w:spacing w:after="0" w:line="240" w:lineRule="auto"/>
      </w:pPr>
      <w:r>
        <w:separator/>
      </w:r>
    </w:p>
  </w:endnote>
  <w:endnote w:type="continuationSeparator" w:id="0">
    <w:p w:rsidR="004E22C1" w:rsidRDefault="004E22C1" w:rsidP="005A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2C1" w:rsidRDefault="004E22C1" w:rsidP="005A52BE">
      <w:pPr>
        <w:spacing w:after="0" w:line="240" w:lineRule="auto"/>
      </w:pPr>
      <w:r>
        <w:separator/>
      </w:r>
    </w:p>
  </w:footnote>
  <w:footnote w:type="continuationSeparator" w:id="0">
    <w:p w:rsidR="004E22C1" w:rsidRDefault="004E22C1" w:rsidP="005A52BE">
      <w:pPr>
        <w:spacing w:after="0" w:line="240" w:lineRule="auto"/>
      </w:pPr>
      <w:r>
        <w:continuationSeparator/>
      </w:r>
    </w:p>
  </w:footnote>
  <w:footnote w:id="1">
    <w:p w:rsidR="003406CD" w:rsidRDefault="003406CD" w:rsidP="003406CD">
      <w:pPr>
        <w:pStyle w:val="Lbjegyzetszveg"/>
      </w:pPr>
      <w:r>
        <w:t xml:space="preserve">European </w:t>
      </w:r>
      <w:proofErr w:type="spellStart"/>
      <w:r>
        <w:t>Regional</w:t>
      </w:r>
      <w:proofErr w:type="spellEnd"/>
      <w:r>
        <w:t xml:space="preserve"> </w:t>
      </w:r>
      <w:proofErr w:type="spellStart"/>
      <w:r>
        <w:t>Development</w:t>
      </w:r>
      <w:proofErr w:type="spellEnd"/>
      <w:r>
        <w:t xml:space="preserve"> </w:t>
      </w:r>
      <w:proofErr w:type="spellStart"/>
      <w:r>
        <w:t>Fund</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3DD1"/>
    <w:multiLevelType w:val="multilevel"/>
    <w:tmpl w:val="80B08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C0EB8"/>
    <w:multiLevelType w:val="multilevel"/>
    <w:tmpl w:val="BC7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BE"/>
    <w:rsid w:val="0016714A"/>
    <w:rsid w:val="003406CD"/>
    <w:rsid w:val="004E22C1"/>
    <w:rsid w:val="005A52BE"/>
    <w:rsid w:val="00626401"/>
    <w:rsid w:val="007941FE"/>
    <w:rsid w:val="00852FB8"/>
    <w:rsid w:val="009C6244"/>
    <w:rsid w:val="00CC35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236C"/>
  <w15:chartTrackingRefBased/>
  <w15:docId w15:val="{3EB0861F-3FC0-46DE-A9A6-F5960305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5A5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A52BE"/>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5A52BE"/>
    <w:rPr>
      <w:color w:val="0000FF"/>
      <w:u w:val="single"/>
    </w:rPr>
  </w:style>
  <w:style w:type="paragraph" w:styleId="NormlWeb">
    <w:name w:val="Normal (Web)"/>
    <w:basedOn w:val="Norml"/>
    <w:uiPriority w:val="99"/>
    <w:semiHidden/>
    <w:unhideWhenUsed/>
    <w:rsid w:val="005A52B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A52BE"/>
    <w:rPr>
      <w:b/>
      <w:bCs/>
    </w:rPr>
  </w:style>
  <w:style w:type="character" w:styleId="Kiemels">
    <w:name w:val="Emphasis"/>
    <w:basedOn w:val="Bekezdsalapbettpusa"/>
    <w:uiPriority w:val="20"/>
    <w:qFormat/>
    <w:rsid w:val="005A52BE"/>
    <w:rPr>
      <w:i/>
      <w:iCs/>
    </w:rPr>
  </w:style>
  <w:style w:type="character" w:styleId="Feloldatlanmegemlts">
    <w:name w:val="Unresolved Mention"/>
    <w:basedOn w:val="Bekezdsalapbettpusa"/>
    <w:uiPriority w:val="99"/>
    <w:semiHidden/>
    <w:unhideWhenUsed/>
    <w:rsid w:val="005A52BE"/>
    <w:rPr>
      <w:color w:val="605E5C"/>
      <w:shd w:val="clear" w:color="auto" w:fill="E1DFDD"/>
    </w:rPr>
  </w:style>
  <w:style w:type="paragraph" w:styleId="Lbjegyzetszveg">
    <w:name w:val="footnote text"/>
    <w:basedOn w:val="Norml"/>
    <w:link w:val="LbjegyzetszvegChar"/>
    <w:uiPriority w:val="99"/>
    <w:semiHidden/>
    <w:unhideWhenUsed/>
    <w:rsid w:val="005A52B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A52BE"/>
    <w:rPr>
      <w:sz w:val="20"/>
      <w:szCs w:val="20"/>
    </w:rPr>
  </w:style>
  <w:style w:type="character" w:styleId="Lbjegyzet-hivatkozs">
    <w:name w:val="footnote reference"/>
    <w:basedOn w:val="Bekezdsalapbettpusa"/>
    <w:uiPriority w:val="99"/>
    <w:semiHidden/>
    <w:unhideWhenUsed/>
    <w:rsid w:val="005A52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7715">
      <w:bodyDiv w:val="1"/>
      <w:marLeft w:val="0"/>
      <w:marRight w:val="0"/>
      <w:marTop w:val="0"/>
      <w:marBottom w:val="0"/>
      <w:divBdr>
        <w:top w:val="none" w:sz="0" w:space="0" w:color="auto"/>
        <w:left w:val="none" w:sz="0" w:space="0" w:color="auto"/>
        <w:bottom w:val="none" w:sz="0" w:space="0" w:color="auto"/>
        <w:right w:val="none" w:sz="0" w:space="0" w:color="auto"/>
      </w:divBdr>
    </w:div>
    <w:div w:id="4166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903842">
          <w:marLeft w:val="0"/>
          <w:marRight w:val="0"/>
          <w:marTop w:val="0"/>
          <w:marBottom w:val="0"/>
          <w:divBdr>
            <w:top w:val="none" w:sz="0" w:space="0" w:color="auto"/>
            <w:left w:val="none" w:sz="0" w:space="0" w:color="auto"/>
            <w:bottom w:val="none" w:sz="0" w:space="0" w:color="auto"/>
            <w:right w:val="none" w:sz="0" w:space="0" w:color="auto"/>
          </w:divBdr>
        </w:div>
        <w:div w:id="972978258">
          <w:marLeft w:val="0"/>
          <w:marRight w:val="0"/>
          <w:marTop w:val="0"/>
          <w:marBottom w:val="0"/>
          <w:divBdr>
            <w:top w:val="none" w:sz="0" w:space="0" w:color="auto"/>
            <w:left w:val="none" w:sz="0" w:space="0" w:color="auto"/>
            <w:bottom w:val="none" w:sz="0" w:space="0" w:color="auto"/>
            <w:right w:val="none" w:sz="0" w:space="0" w:color="auto"/>
          </w:divBdr>
        </w:div>
      </w:divsChild>
    </w:div>
    <w:div w:id="490364884">
      <w:bodyDiv w:val="1"/>
      <w:marLeft w:val="0"/>
      <w:marRight w:val="0"/>
      <w:marTop w:val="0"/>
      <w:marBottom w:val="0"/>
      <w:divBdr>
        <w:top w:val="none" w:sz="0" w:space="0" w:color="auto"/>
        <w:left w:val="none" w:sz="0" w:space="0" w:color="auto"/>
        <w:bottom w:val="none" w:sz="0" w:space="0" w:color="auto"/>
        <w:right w:val="none" w:sz="0" w:space="0" w:color="auto"/>
      </w:divBdr>
    </w:div>
    <w:div w:id="13770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vk.hu/be-smart-workshop-doing-business-in-asia-the-importance-of-intellectual-property-protection-and-enforcement-20-june-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vk.hu/wp-content/uploads/2018/06/michal_klaczynski.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EF4A-85ED-4016-9471-2F97A2D6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3447</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 Mónika</dc:creator>
  <cp:keywords/>
  <dc:description/>
  <cp:lastModifiedBy>Mészáros Mónika</cp:lastModifiedBy>
  <cp:revision>2</cp:revision>
  <dcterms:created xsi:type="dcterms:W3CDTF">2018-06-14T07:48:00Z</dcterms:created>
  <dcterms:modified xsi:type="dcterms:W3CDTF">2018-06-14T07:48:00Z</dcterms:modified>
</cp:coreProperties>
</file>